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rPr>
      </w:pPr>
      <w:bookmarkStart w:id="0" w:name="_Toc124168115"/>
      <w:bookmarkStart w:id="1" w:name="_Toc124168124"/>
      <w:r>
        <w:rPr>
          <w:rFonts w:asciiTheme="minorEastAsia" w:hAnsiTheme="minorEastAsia" w:eastAsiaTheme="minorEastAsia"/>
        </w:rPr>
        <mc:AlternateContent>
          <mc:Choice Requires="wps">
            <w:drawing>
              <wp:anchor distT="0" distB="0" distL="114300" distR="114300" simplePos="0" relativeHeight="251660288" behindDoc="0" locked="0" layoutInCell="1" allowOverlap="1">
                <wp:simplePos x="0" y="0"/>
                <wp:positionH relativeFrom="column">
                  <wp:posOffset>4292600</wp:posOffset>
                </wp:positionH>
                <wp:positionV relativeFrom="paragraph">
                  <wp:posOffset>167640</wp:posOffset>
                </wp:positionV>
                <wp:extent cx="1368425" cy="1064895"/>
                <wp:effectExtent l="0" t="0" r="0" b="0"/>
                <wp:wrapNone/>
                <wp:docPr id="124" name="文本框 124"/>
                <wp:cNvGraphicFramePr/>
                <a:graphic xmlns:a="http://schemas.openxmlformats.org/drawingml/2006/main">
                  <a:graphicData uri="http://schemas.microsoft.com/office/word/2010/wordprocessingShape">
                    <wps:wsp>
                      <wps:cNvSpPr txBox="true">
                        <a:spLocks noChangeArrowheads="true"/>
                      </wps:cNvSpPr>
                      <wps:spPr bwMode="auto">
                        <a:xfrm>
                          <a:off x="0" y="0"/>
                          <a:ext cx="1368425" cy="1064895"/>
                        </a:xfrm>
                        <a:prstGeom prst="rect">
                          <a:avLst/>
                        </a:prstGeom>
                        <a:noFill/>
                        <a:ln>
                          <a:noFill/>
                        </a:ln>
                      </wps:spPr>
                      <wps:txbx>
                        <w:txbxContent>
                          <w:p>
                            <w:pPr>
                              <w:rPr>
                                <w:rFonts w:ascii="Adobe 黑体 Std R" w:hAnsi="Adobe 黑体 Std R" w:eastAsia="Adobe 黑体 Std R"/>
                                <w:sz w:val="124"/>
                                <w:szCs w:val="124"/>
                              </w:rPr>
                            </w:pPr>
                            <w:r>
                              <w:rPr>
                                <w:rFonts w:ascii="Adobe 黑体 Std R" w:hAnsi="Adobe 黑体 Std R" w:eastAsia="Adobe 黑体 Std R"/>
                                <w:sz w:val="124"/>
                                <w:szCs w:val="124"/>
                              </w:rPr>
                              <w:t>D</w:t>
                            </w:r>
                            <w:r>
                              <w:rPr>
                                <w:rFonts w:hint="eastAsia" w:ascii="Adobe 黑体 Std R" w:hAnsi="Adobe 黑体 Std R" w:eastAsia="Adobe 黑体 Std R"/>
                                <w:sz w:val="124"/>
                                <w:szCs w:val="124"/>
                              </w:rPr>
                              <w:t>B</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38pt;margin-top:13.2pt;height:83.85pt;width:107.75pt;z-index:251660288;mso-width-relative:page;mso-height-relative:page;" filled="f" stroked="f" coordsize="21600,21600" o:gfxdata="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TriNntgAAAAK&#10;AQAADwAAAAAAAAABACAAAAA4AAAAZHJzL2Rvd25yZXYueG1sUEsBAhQAFAAAAAgAh07iQPblpwIG&#10;AgAA2QMAAA4AAAAAAAAAAQAgAAAAPQEAAGRycy9lMm9Eb2MueG1sUEsFBgAAAAAGAAYAWQEAALUF&#10;AAAAAA==&#10;">
                <v:fill on="f" focussize="0,0"/>
                <v:stroke on="f"/>
                <v:imagedata o:title=""/>
                <o:lock v:ext="edit" aspectratio="f"/>
                <v:textbox>
                  <w:txbxContent>
                    <w:p>
                      <w:pPr>
                        <w:rPr>
                          <w:rFonts w:ascii="Adobe 黑体 Std R" w:hAnsi="Adobe 黑体 Std R" w:eastAsia="Adobe 黑体 Std R"/>
                          <w:sz w:val="124"/>
                          <w:szCs w:val="124"/>
                        </w:rPr>
                      </w:pPr>
                      <w:r>
                        <w:rPr>
                          <w:rFonts w:ascii="Adobe 黑体 Std R" w:hAnsi="Adobe 黑体 Std R" w:eastAsia="Adobe 黑体 Std R"/>
                          <w:sz w:val="124"/>
                          <w:szCs w:val="124"/>
                        </w:rPr>
                        <w:t>D</w:t>
                      </w:r>
                      <w:r>
                        <w:rPr>
                          <w:rFonts w:hint="eastAsia" w:ascii="Adobe 黑体 Std R" w:hAnsi="Adobe 黑体 Std R" w:eastAsia="Adobe 黑体 Std R"/>
                          <w:sz w:val="124"/>
                          <w:szCs w:val="124"/>
                        </w:rPr>
                        <w:t>B</w:t>
                      </w:r>
                    </w:p>
                  </w:txbxContent>
                </v:textbox>
              </v:shape>
            </w:pict>
          </mc:Fallback>
        </mc:AlternateContent>
      </w:r>
    </w:p>
    <w:p>
      <w:pPr>
        <w:rPr>
          <w:rFonts w:asciiTheme="minorEastAsia" w:hAnsiTheme="minorEastAsia" w:eastAsiaTheme="minorEastAsia"/>
        </w:rPr>
      </w:pPr>
    </w:p>
    <w:p>
      <w:pPr>
        <w:rPr>
          <w:rFonts w:asciiTheme="minorEastAsia" w:hAnsiTheme="minorEastAsia" w:eastAsiaTheme="minorEastAsia"/>
        </w:rPr>
      </w:pPr>
      <w:bookmarkStart w:id="2" w:name="_Toc404681284"/>
      <w:bookmarkStart w:id="3" w:name="_Toc397965640"/>
      <w:r>
        <w:rPr>
          <w:rFonts w:hint="eastAsia" w:asciiTheme="minorEastAsia" w:hAnsiTheme="minorEastAsia" w:eastAsiaTheme="minorEastAsia"/>
        </w:rPr>
        <w:t>U</w:t>
      </w:r>
      <w:r>
        <w:rPr>
          <w:rFonts w:asciiTheme="minorEastAsia" w:hAnsiTheme="minorEastAsia" w:eastAsiaTheme="minorEastAsia"/>
        </w:rPr>
        <w:t>G</w:t>
      </w:r>
      <w:bookmarkEnd w:id="2"/>
      <w:bookmarkEnd w:id="3"/>
    </w:p>
    <w:p>
      <w:pPr>
        <w:ind w:firstLine="2400" w:firstLineChars="500"/>
        <w:rPr>
          <w:rFonts w:asciiTheme="minorEastAsia" w:hAnsiTheme="minorEastAsia" w:eastAsiaTheme="minorEastAsia"/>
          <w:b/>
          <w:sz w:val="28"/>
          <w:szCs w:val="28"/>
        </w:rPr>
      </w:pPr>
      <w:r>
        <w:rPr>
          <w:rFonts w:asciiTheme="minorEastAsia" w:hAnsiTheme="minorEastAsia" w:eastAsiaTheme="minorEastAsia"/>
          <w:sz w:val="48"/>
          <w:szCs w:val="48"/>
        </w:rPr>
        <w:t>北京市地方</w:t>
      </w:r>
      <w:r>
        <w:rPr>
          <w:rFonts w:hint="eastAsia" w:asciiTheme="minorEastAsia" w:hAnsiTheme="minorEastAsia" w:eastAsiaTheme="minorEastAsia"/>
          <w:sz w:val="48"/>
          <w:szCs w:val="48"/>
        </w:rPr>
        <w:t>标准</w:t>
      </w:r>
    </w:p>
    <w:p>
      <w:pPr>
        <w:ind w:firstLine="480" w:firstLineChars="100"/>
        <w:rPr>
          <w:rFonts w:cs="Plotter" w:asciiTheme="minorEastAsia" w:hAnsiTheme="minorEastAsia" w:eastAsiaTheme="minorEastAsia"/>
          <w:sz w:val="48"/>
          <w:szCs w:val="48"/>
        </w:rPr>
      </w:pPr>
    </w:p>
    <w:p>
      <w:pPr>
        <w:rPr>
          <w:rFonts w:asciiTheme="minorEastAsia" w:hAnsiTheme="minorEastAsia" w:eastAsiaTheme="minorEastAsia"/>
          <w:b/>
          <w:szCs w:val="21"/>
        </w:rPr>
      </w:pPr>
    </w:p>
    <w:p>
      <w:pPr>
        <w:ind w:right="211" w:firstLine="5481" w:firstLineChars="2600"/>
        <w:rPr>
          <w:rFonts w:asciiTheme="minorEastAsia" w:hAnsiTheme="minorEastAsia" w:eastAsiaTheme="minorEastAsia"/>
          <w:b/>
          <w:snapToGrid w:val="0"/>
          <w:kern w:val="0"/>
          <w:szCs w:val="21"/>
        </w:rPr>
      </w:pPr>
      <w:r>
        <w:rPr>
          <w:rFonts w:asciiTheme="minorEastAsia" w:hAnsiTheme="minorEastAsia" w:eastAsiaTheme="minorEastAsia"/>
          <w:b/>
          <w:snapToGrid w:val="0"/>
          <w:kern w:val="0"/>
          <w:szCs w:val="21"/>
        </w:rPr>
        <w:t>编</w:t>
      </w:r>
      <w:r>
        <w:rPr>
          <w:rFonts w:hint="eastAsia" w:asciiTheme="minorEastAsia" w:hAnsiTheme="minorEastAsia" w:eastAsiaTheme="minorEastAsia"/>
          <w:b/>
          <w:snapToGrid w:val="0"/>
          <w:kern w:val="0"/>
          <w:szCs w:val="21"/>
        </w:rPr>
        <w:t xml:space="preserve">  </w:t>
      </w:r>
      <w:r>
        <w:rPr>
          <w:rFonts w:asciiTheme="minorEastAsia" w:hAnsiTheme="minorEastAsia" w:eastAsiaTheme="minorEastAsia"/>
          <w:b/>
          <w:snapToGrid w:val="0"/>
          <w:kern w:val="0"/>
          <w:szCs w:val="21"/>
        </w:rPr>
        <w:t>号：DB</w:t>
      </w:r>
      <w:r>
        <w:rPr>
          <w:rFonts w:hint="eastAsia" w:asciiTheme="minorEastAsia" w:hAnsiTheme="minorEastAsia" w:eastAsiaTheme="minorEastAsia"/>
          <w:b/>
          <w:snapToGrid w:val="0"/>
          <w:kern w:val="0"/>
          <w:szCs w:val="21"/>
        </w:rPr>
        <w:t>11/T XXXX-202 X</w:t>
      </w:r>
    </w:p>
    <w:p>
      <w:pPr>
        <w:ind w:right="844" w:firstLine="5481" w:firstLineChars="2600"/>
        <w:rPr>
          <w:rFonts w:cs="Plotter" w:asciiTheme="minorEastAsia" w:hAnsiTheme="minorEastAsia" w:eastAsiaTheme="minorEastAsia"/>
          <w:b/>
          <w:szCs w:val="21"/>
        </w:rPr>
      </w:pPr>
      <w:r>
        <w:rPr>
          <w:rFonts w:hint="eastAsia" w:asciiTheme="minorEastAsia" w:hAnsiTheme="minorEastAsia" w:eastAsiaTheme="minorEastAsia"/>
          <w:b/>
          <w:szCs w:val="21"/>
        </w:rPr>
        <w:t>备案号：××</w:t>
      </w:r>
      <w:r>
        <w:rPr>
          <w:rFonts w:hint="eastAsia" w:asciiTheme="minorEastAsia" w:hAnsiTheme="minorEastAsia" w:eastAsiaTheme="minorEastAsia"/>
          <w:b/>
          <w:snapToGrid w:val="0"/>
          <w:kern w:val="0"/>
          <w:szCs w:val="21"/>
        </w:rPr>
        <w:t>-</w:t>
      </w:r>
      <w:r>
        <w:rPr>
          <w:rFonts w:asciiTheme="minorEastAsia" w:hAnsiTheme="minorEastAsia" w:eastAsiaTheme="minorEastAsia"/>
          <w:b/>
          <w:szCs w:val="21"/>
        </w:rPr>
        <w:t>20</w:t>
      </w:r>
      <w:r>
        <w:rPr>
          <w:rFonts w:hint="eastAsia" w:asciiTheme="minorEastAsia" w:hAnsiTheme="minorEastAsia" w:eastAsiaTheme="minorEastAsia"/>
          <w:b/>
          <w:szCs w:val="21"/>
        </w:rPr>
        <w:t>2×</w:t>
      </w:r>
    </w:p>
    <w:p>
      <w:pPr>
        <w:rPr>
          <w:rFonts w:asciiTheme="minorEastAsia" w:hAnsiTheme="minorEastAsia" w:eastAsiaTheme="minorEastAsia"/>
          <w:sz w:val="28"/>
          <w:szCs w:val="28"/>
        </w:rPr>
      </w:pPr>
      <w:r>
        <w:rPr>
          <w:rFonts w:asciiTheme="minorEastAsia" w:hAnsiTheme="minorEastAsia" w:eastAsiaTheme="minorEastAsia"/>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49530</wp:posOffset>
                </wp:positionV>
                <wp:extent cx="5480050" cy="0"/>
                <wp:effectExtent l="13335" t="12700" r="12065" b="6350"/>
                <wp:wrapNone/>
                <wp:docPr id="7" name="直接连接符 123"/>
                <wp:cNvGraphicFramePr/>
                <a:graphic xmlns:a="http://schemas.openxmlformats.org/drawingml/2006/main">
                  <a:graphicData uri="http://schemas.microsoft.com/office/word/2010/wordprocessingShape">
                    <wps:wsp>
                      <wps:cNvCnPr>
                        <a:cxnSpLocks noChangeShapeType="true"/>
                      </wps:cNvCnPr>
                      <wps:spPr bwMode="auto">
                        <a:xfrm>
                          <a:off x="0" y="0"/>
                          <a:ext cx="5480050" cy="0"/>
                        </a:xfrm>
                        <a:prstGeom prst="line">
                          <a:avLst/>
                        </a:prstGeom>
                        <a:noFill/>
                        <a:ln w="9525">
                          <a:solidFill>
                            <a:srgbClr val="000000"/>
                          </a:solidFill>
                          <a:round/>
                        </a:ln>
                      </wps:spPr>
                      <wps:bodyPr/>
                    </wps:wsp>
                  </a:graphicData>
                </a:graphic>
              </wp:anchor>
            </w:drawing>
          </mc:Choice>
          <mc:Fallback>
            <w:pict>
              <v:line id="直接连接符 123" o:spid="_x0000_s1026" o:spt="20" style="position:absolute;left:0pt;margin-top:3.9pt;height:0pt;width:431.5pt;mso-position-horizontal:center;z-index:251659264;mso-width-relative:page;mso-height-relative:page;" filled="f" stroked="t" coordsize="21600,21600" o:gfxdata="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B+0rdIAAAAEAQAADwAA&#10;AAAAAAABACAAAAA4AAAAZHJzL2Rvd25yZXYueG1sUEsBAhQAFAAAAAgAh07iQMK8/yvNAQAAYQMA&#10;AA4AAAAAAAAAAQAgAAAANwEAAGRycy9lMm9Eb2MueG1sUEsFBgAAAAAGAAYAWQEAAHYFAAAAAA==&#10;">
                <v:fill on="f" focussize="0,0"/>
                <v:stroke color="#000000" joinstyle="round"/>
                <v:imagedata o:title=""/>
                <o:lock v:ext="edit" aspectratio="f"/>
              </v:line>
            </w:pict>
          </mc:Fallback>
        </mc:AlternateContent>
      </w:r>
    </w:p>
    <w:p>
      <w:pPr>
        <w:spacing w:line="360" w:lineRule="auto"/>
        <w:rPr>
          <w:rFonts w:asciiTheme="minorEastAsia" w:hAnsiTheme="minorEastAsia" w:eastAsiaTheme="minorEastAsia"/>
          <w:sz w:val="28"/>
          <w:szCs w:val="28"/>
        </w:rPr>
      </w:pPr>
    </w:p>
    <w:p>
      <w:pPr>
        <w:spacing w:line="360" w:lineRule="auto"/>
        <w:rPr>
          <w:rFonts w:asciiTheme="minorEastAsia" w:hAnsiTheme="minorEastAsia" w:eastAsiaTheme="minorEastAsia"/>
          <w:sz w:val="28"/>
          <w:szCs w:val="28"/>
        </w:rPr>
      </w:pPr>
    </w:p>
    <w:p>
      <w:pPr>
        <w:spacing w:line="360" w:lineRule="auto"/>
        <w:jc w:val="center"/>
        <w:rPr>
          <w:rFonts w:asciiTheme="minorEastAsia" w:hAnsiTheme="minorEastAsia" w:eastAsiaTheme="minorEastAsia"/>
          <w:sz w:val="44"/>
          <w:szCs w:val="44"/>
        </w:rPr>
      </w:pPr>
      <w:r>
        <w:rPr>
          <w:rFonts w:hint="eastAsia" w:asciiTheme="minorEastAsia" w:hAnsiTheme="minorEastAsia" w:eastAsiaTheme="minorEastAsia"/>
          <w:sz w:val="44"/>
          <w:szCs w:val="44"/>
        </w:rPr>
        <w:t>房屋建筑和市政基础设施电气工程施工质量验收规范</w:t>
      </w:r>
    </w:p>
    <w:p>
      <w:pPr>
        <w:spacing w:line="360" w:lineRule="auto"/>
        <w:jc w:val="center"/>
        <w:rPr>
          <w:rFonts w:eastAsia="黑体"/>
          <w:b/>
          <w:bCs/>
          <w:kern w:val="0"/>
          <w:sz w:val="32"/>
          <w:szCs w:val="32"/>
        </w:rPr>
      </w:pPr>
      <w:r>
        <w:rPr>
          <w:rFonts w:eastAsia="黑体"/>
          <w:b/>
          <w:bCs/>
          <w:kern w:val="0"/>
          <w:sz w:val="32"/>
          <w:szCs w:val="32"/>
        </w:rPr>
        <w:t xml:space="preserve">Code for </w:t>
      </w:r>
      <w:r>
        <w:rPr>
          <w:rFonts w:hint="eastAsia" w:eastAsia="黑体"/>
          <w:b/>
          <w:bCs/>
          <w:kern w:val="0"/>
          <w:sz w:val="32"/>
          <w:szCs w:val="32"/>
        </w:rPr>
        <w:t>a</w:t>
      </w:r>
      <w:r>
        <w:rPr>
          <w:rFonts w:eastAsia="黑体"/>
          <w:b/>
          <w:bCs/>
          <w:kern w:val="0"/>
          <w:sz w:val="32"/>
          <w:szCs w:val="32"/>
        </w:rPr>
        <w:t xml:space="preserve">cceptance of </w:t>
      </w:r>
      <w:r>
        <w:rPr>
          <w:rFonts w:hint="eastAsia" w:eastAsia="黑体"/>
          <w:b/>
          <w:bCs/>
          <w:kern w:val="0"/>
          <w:sz w:val="32"/>
          <w:szCs w:val="32"/>
        </w:rPr>
        <w:t>c</w:t>
      </w:r>
      <w:r>
        <w:rPr>
          <w:rFonts w:eastAsia="黑体"/>
          <w:b/>
          <w:bCs/>
          <w:kern w:val="0"/>
          <w:sz w:val="32"/>
          <w:szCs w:val="32"/>
        </w:rPr>
        <w:t xml:space="preserve">onstruction </w:t>
      </w:r>
      <w:r>
        <w:rPr>
          <w:rFonts w:hint="eastAsia" w:eastAsia="黑体"/>
          <w:b/>
          <w:bCs/>
          <w:kern w:val="0"/>
          <w:sz w:val="32"/>
          <w:szCs w:val="32"/>
        </w:rPr>
        <w:t>q</w:t>
      </w:r>
      <w:r>
        <w:rPr>
          <w:rFonts w:eastAsia="黑体"/>
          <w:b/>
          <w:bCs/>
          <w:kern w:val="0"/>
          <w:sz w:val="32"/>
          <w:szCs w:val="32"/>
        </w:rPr>
        <w:t xml:space="preserve">uality of </w:t>
      </w:r>
      <w:r>
        <w:rPr>
          <w:rFonts w:hint="eastAsia" w:eastAsia="黑体"/>
          <w:b/>
          <w:bCs/>
          <w:kern w:val="0"/>
          <w:sz w:val="32"/>
          <w:szCs w:val="32"/>
        </w:rPr>
        <w:t>e</w:t>
      </w:r>
      <w:r>
        <w:rPr>
          <w:rFonts w:eastAsia="黑体"/>
          <w:b/>
          <w:bCs/>
          <w:kern w:val="0"/>
          <w:sz w:val="32"/>
          <w:szCs w:val="32"/>
        </w:rPr>
        <w:t xml:space="preserve">lectrical </w:t>
      </w:r>
      <w:r>
        <w:rPr>
          <w:rFonts w:hint="eastAsia" w:eastAsia="黑体"/>
          <w:b/>
          <w:bCs/>
          <w:kern w:val="0"/>
          <w:sz w:val="32"/>
          <w:szCs w:val="32"/>
        </w:rPr>
        <w:t>e</w:t>
      </w:r>
      <w:r>
        <w:rPr>
          <w:rFonts w:eastAsia="黑体"/>
          <w:b/>
          <w:bCs/>
          <w:kern w:val="0"/>
          <w:sz w:val="32"/>
          <w:szCs w:val="32"/>
        </w:rPr>
        <w:t xml:space="preserve">ngineering in </w:t>
      </w:r>
      <w:r>
        <w:rPr>
          <w:rFonts w:hint="eastAsia" w:eastAsia="黑体"/>
          <w:b/>
          <w:bCs/>
          <w:kern w:val="0"/>
          <w:sz w:val="32"/>
          <w:szCs w:val="32"/>
        </w:rPr>
        <w:t>h</w:t>
      </w:r>
      <w:r>
        <w:rPr>
          <w:rFonts w:eastAsia="黑体"/>
          <w:b/>
          <w:bCs/>
          <w:kern w:val="0"/>
          <w:sz w:val="32"/>
          <w:szCs w:val="32"/>
        </w:rPr>
        <w:t xml:space="preserve">ousing </w:t>
      </w:r>
      <w:r>
        <w:rPr>
          <w:rFonts w:hint="eastAsia" w:eastAsia="黑体"/>
          <w:b/>
          <w:bCs/>
          <w:kern w:val="0"/>
          <w:sz w:val="32"/>
          <w:szCs w:val="32"/>
        </w:rPr>
        <w:t>c</w:t>
      </w:r>
      <w:r>
        <w:rPr>
          <w:rFonts w:eastAsia="黑体"/>
          <w:b/>
          <w:bCs/>
          <w:kern w:val="0"/>
          <w:sz w:val="32"/>
          <w:szCs w:val="32"/>
        </w:rPr>
        <w:t xml:space="preserve">onstruction and </w:t>
      </w:r>
      <w:r>
        <w:rPr>
          <w:rFonts w:hint="eastAsia" w:eastAsia="黑体"/>
          <w:b/>
          <w:bCs/>
          <w:kern w:val="0"/>
          <w:sz w:val="32"/>
          <w:szCs w:val="32"/>
        </w:rPr>
        <w:t>m</w:t>
      </w:r>
      <w:r>
        <w:rPr>
          <w:rFonts w:eastAsia="黑体"/>
          <w:b/>
          <w:bCs/>
          <w:kern w:val="0"/>
          <w:sz w:val="32"/>
          <w:szCs w:val="32"/>
        </w:rPr>
        <w:t xml:space="preserve">unicipal </w:t>
      </w:r>
      <w:r>
        <w:rPr>
          <w:rFonts w:hint="eastAsia" w:eastAsia="黑体"/>
          <w:b/>
          <w:bCs/>
          <w:kern w:val="0"/>
          <w:sz w:val="32"/>
          <w:szCs w:val="32"/>
        </w:rPr>
        <w:t>i</w:t>
      </w:r>
      <w:r>
        <w:rPr>
          <w:rFonts w:eastAsia="黑体"/>
          <w:b/>
          <w:bCs/>
          <w:kern w:val="0"/>
          <w:sz w:val="32"/>
          <w:szCs w:val="32"/>
        </w:rPr>
        <w:t>nfrastructure</w:t>
      </w:r>
    </w:p>
    <w:p>
      <w:pPr>
        <w:jc w:val="cente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jc w:val="center"/>
        <w:rPr>
          <w:rFonts w:asciiTheme="minorEastAsia" w:hAnsiTheme="minorEastAsia" w:eastAsiaTheme="minorEastAsia"/>
          <w:b/>
          <w:sz w:val="28"/>
          <w:szCs w:val="28"/>
        </w:rPr>
      </w:pPr>
      <w:r>
        <w:rPr>
          <w:rFonts w:asciiTheme="minorEastAsia" w:hAnsiTheme="minorEastAsia" w:eastAsiaTheme="minorEastAsia"/>
          <w:b/>
          <w:sz w:val="28"/>
          <w:szCs w:val="28"/>
        </w:rPr>
        <w:t>20</w:t>
      </w:r>
      <w:r>
        <w:rPr>
          <w:rFonts w:hint="eastAsia" w:asciiTheme="minorEastAsia" w:hAnsiTheme="minorEastAsia" w:eastAsiaTheme="minorEastAsia"/>
          <w:b/>
          <w:sz w:val="28"/>
          <w:szCs w:val="28"/>
        </w:rPr>
        <w:t>2</w:t>
      </w:r>
      <w:r>
        <w:rPr>
          <w:rFonts w:asciiTheme="minorEastAsia" w:hAnsiTheme="minorEastAsia" w:eastAsiaTheme="minorEastAsia"/>
          <w:b/>
          <w:sz w:val="28"/>
          <w:szCs w:val="28"/>
        </w:rPr>
        <w:t>×</w:t>
      </w:r>
      <w:r>
        <w:rPr>
          <w:rFonts w:hint="eastAsia" w:asciiTheme="minorEastAsia" w:hAnsiTheme="minorEastAsia" w:eastAsiaTheme="minorEastAsia"/>
          <w:b/>
          <w:color w:val="000000"/>
          <w:sz w:val="28"/>
          <w:szCs w:val="28"/>
        </w:rPr>
        <w:t>-</w:t>
      </w:r>
      <w:r>
        <w:rPr>
          <w:rFonts w:asciiTheme="minorEastAsia" w:hAnsiTheme="minorEastAsia" w:eastAsiaTheme="minorEastAsia"/>
          <w:b/>
          <w:sz w:val="28"/>
          <w:szCs w:val="28"/>
        </w:rPr>
        <w:t>××</w:t>
      </w:r>
      <w:r>
        <w:rPr>
          <w:rFonts w:hint="eastAsia" w:asciiTheme="minorEastAsia" w:hAnsiTheme="minorEastAsia" w:eastAsiaTheme="minorEastAsia"/>
          <w:b/>
          <w:color w:val="000000"/>
          <w:sz w:val="28"/>
          <w:szCs w:val="28"/>
        </w:rPr>
        <w:t>-</w:t>
      </w:r>
      <w:r>
        <w:rPr>
          <w:rFonts w:asciiTheme="minorEastAsia" w:hAnsiTheme="minorEastAsia" w:eastAsiaTheme="minorEastAsia"/>
          <w:b/>
          <w:sz w:val="28"/>
          <w:szCs w:val="28"/>
        </w:rPr>
        <w:t>××</w:t>
      </w:r>
      <w:r>
        <w:rPr>
          <w:rFonts w:hint="eastAsia" w:asciiTheme="minorEastAsia" w:hAnsiTheme="minorEastAsia" w:eastAsiaTheme="minorEastAsia"/>
          <w:b/>
          <w:sz w:val="28"/>
          <w:szCs w:val="28"/>
        </w:rPr>
        <w:t>发布</w:t>
      </w:r>
      <w:r>
        <w:rPr>
          <w:rFonts w:asciiTheme="minorEastAsia" w:hAnsiTheme="minorEastAsia" w:eastAsiaTheme="minorEastAsia"/>
          <w:b/>
          <w:sz w:val="28"/>
          <w:szCs w:val="28"/>
        </w:rPr>
        <w:t xml:space="preserve">                 20</w:t>
      </w:r>
      <w:r>
        <w:rPr>
          <w:rFonts w:hint="eastAsia" w:asciiTheme="minorEastAsia" w:hAnsiTheme="minorEastAsia" w:eastAsiaTheme="minorEastAsia"/>
          <w:b/>
          <w:sz w:val="28"/>
          <w:szCs w:val="28"/>
        </w:rPr>
        <w:t>2</w:t>
      </w:r>
      <w:r>
        <w:rPr>
          <w:rFonts w:asciiTheme="minorEastAsia" w:hAnsiTheme="minorEastAsia" w:eastAsiaTheme="minorEastAsia"/>
          <w:b/>
          <w:sz w:val="28"/>
          <w:szCs w:val="28"/>
        </w:rPr>
        <w:t>×</w:t>
      </w:r>
      <w:r>
        <w:rPr>
          <w:rFonts w:hint="eastAsia" w:asciiTheme="minorEastAsia" w:hAnsiTheme="minorEastAsia" w:eastAsiaTheme="minorEastAsia"/>
          <w:b/>
          <w:color w:val="000000"/>
          <w:sz w:val="28"/>
          <w:szCs w:val="28"/>
        </w:rPr>
        <w:t>-</w:t>
      </w:r>
      <w:r>
        <w:rPr>
          <w:rFonts w:asciiTheme="minorEastAsia" w:hAnsiTheme="minorEastAsia" w:eastAsiaTheme="minorEastAsia"/>
          <w:b/>
          <w:sz w:val="28"/>
          <w:szCs w:val="28"/>
        </w:rPr>
        <w:t>××</w:t>
      </w:r>
      <w:r>
        <w:rPr>
          <w:rFonts w:hint="eastAsia" w:asciiTheme="minorEastAsia" w:hAnsiTheme="minorEastAsia" w:eastAsiaTheme="minorEastAsia"/>
          <w:b/>
          <w:color w:val="000000"/>
          <w:sz w:val="28"/>
          <w:szCs w:val="28"/>
        </w:rPr>
        <w:t>-</w:t>
      </w:r>
      <w:r>
        <w:rPr>
          <w:rFonts w:asciiTheme="minorEastAsia" w:hAnsiTheme="minorEastAsia" w:eastAsiaTheme="minorEastAsia"/>
          <w:b/>
          <w:sz w:val="28"/>
          <w:szCs w:val="28"/>
        </w:rPr>
        <w:t>××</w:t>
      </w:r>
      <w:r>
        <w:rPr>
          <w:rFonts w:hint="eastAsia" w:asciiTheme="minorEastAsia" w:hAnsiTheme="minorEastAsia" w:eastAsiaTheme="minorEastAsia"/>
          <w:b/>
          <w:sz w:val="28"/>
          <w:szCs w:val="28"/>
        </w:rPr>
        <w:t>实施</w:t>
      </w:r>
    </w:p>
    <w:p>
      <w:pPr>
        <w:rPr>
          <w:rFonts w:asciiTheme="minorEastAsia" w:hAnsiTheme="minorEastAsia" w:eastAsiaTheme="minorEastAsia"/>
          <w:sz w:val="28"/>
          <w:szCs w:val="28"/>
        </w:rPr>
      </w:pPr>
      <w:r>
        <w:rPr>
          <w:rFonts w:asciiTheme="minorEastAsia" w:hAnsiTheme="minorEastAsia" w:eastAsiaTheme="minorEastAsia"/>
        </w:rPr>
        <mc:AlternateContent>
          <mc:Choice Requires="wps">
            <w:drawing>
              <wp:anchor distT="0" distB="0" distL="114300" distR="114300" simplePos="0" relativeHeight="251661312" behindDoc="0" locked="0" layoutInCell="1" allowOverlap="1">
                <wp:simplePos x="0" y="0"/>
                <wp:positionH relativeFrom="column">
                  <wp:posOffset>-102870</wp:posOffset>
                </wp:positionH>
                <wp:positionV relativeFrom="paragraph">
                  <wp:posOffset>85725</wp:posOffset>
                </wp:positionV>
                <wp:extent cx="5480050" cy="0"/>
                <wp:effectExtent l="9525" t="7620" r="6350" b="11430"/>
                <wp:wrapNone/>
                <wp:docPr id="6" name="Line 4"/>
                <wp:cNvGraphicFramePr/>
                <a:graphic xmlns:a="http://schemas.openxmlformats.org/drawingml/2006/main">
                  <a:graphicData uri="http://schemas.microsoft.com/office/word/2010/wordprocessingShape">
                    <wps:wsp>
                      <wps:cNvCnPr>
                        <a:cxnSpLocks noChangeShapeType="true"/>
                      </wps:cNvCnPr>
                      <wps:spPr bwMode="auto">
                        <a:xfrm>
                          <a:off x="0" y="0"/>
                          <a:ext cx="5480050" cy="0"/>
                        </a:xfrm>
                        <a:prstGeom prst="line">
                          <a:avLst/>
                        </a:prstGeom>
                        <a:noFill/>
                        <a:ln w="9525">
                          <a:solidFill>
                            <a:srgbClr val="000000"/>
                          </a:solidFill>
                          <a:round/>
                        </a:ln>
                      </wps:spPr>
                      <wps:bodyPr/>
                    </wps:wsp>
                  </a:graphicData>
                </a:graphic>
              </wp:anchor>
            </w:drawing>
          </mc:Choice>
          <mc:Fallback>
            <w:pict>
              <v:line id="Line 4" o:spid="_x0000_s1026" o:spt="20" style="position:absolute;left:0pt;margin-left:-8.1pt;margin-top:6.75pt;height:0pt;width:431.5pt;z-index:251661312;mso-width-relative:page;mso-height-relative:page;" filled="f" stroked="t" coordsize="21600,21600" o:gfxdata="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799UJ1gAAAAkBAAAPAAAAAAAAAAEAIAAAADgAAABkcnMvZG93bnJl&#10;di54bWxQSwECFAAUAAAACACHTuJAJwmLLrABAABUAwAADgAAAAAAAAABACAAAAA7AQAAZHJzL2Uy&#10;b0RvYy54bWxQSwUGAAAAAAYABgBZAQAAXQUAAAAA&#10;">
                <v:fill on="f" focussize="0,0"/>
                <v:stroke color="#000000" joinstyle="round"/>
                <v:imagedata o:title=""/>
                <o:lock v:ext="edit" aspectratio="f"/>
              </v:line>
            </w:pict>
          </mc:Fallback>
        </mc:AlternateContent>
      </w:r>
    </w:p>
    <w:p>
      <w:pPr>
        <w:ind w:firstLine="1911" w:firstLineChars="595"/>
        <w:rPr>
          <w:rFonts w:asciiTheme="minorEastAsia" w:hAnsiTheme="minorEastAsia" w:eastAsiaTheme="minorEastAsia"/>
          <w:b/>
          <w:sz w:val="32"/>
          <w:szCs w:val="32"/>
        </w:rPr>
      </w:pPr>
      <w:r>
        <w:rPr>
          <w:rFonts w:asciiTheme="minorEastAsia" w:hAnsiTheme="minorEastAsia" w:eastAsiaTheme="minorEastAsia"/>
          <w:b/>
          <w:sz w:val="32"/>
          <w:szCs w:val="32"/>
        </w:rPr>
        <mc:AlternateContent>
          <mc:Choice Requires="wps">
            <w:drawing>
              <wp:anchor distT="45720" distB="45720" distL="114300" distR="114300" simplePos="0" relativeHeight="251662336" behindDoc="0" locked="0" layoutInCell="1" allowOverlap="1">
                <wp:simplePos x="0" y="0"/>
                <wp:positionH relativeFrom="column">
                  <wp:posOffset>3524250</wp:posOffset>
                </wp:positionH>
                <wp:positionV relativeFrom="paragraph">
                  <wp:posOffset>73660</wp:posOffset>
                </wp:positionV>
                <wp:extent cx="1410970" cy="354965"/>
                <wp:effectExtent l="0" t="0" r="0" b="0"/>
                <wp:wrapSquare wrapText="bothSides"/>
                <wp:docPr id="217"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1410970" cy="354965"/>
                        </a:xfrm>
                        <a:prstGeom prst="rect">
                          <a:avLst/>
                        </a:prstGeom>
                        <a:noFill/>
                        <a:ln w="9525">
                          <a:noFill/>
                          <a:miter lim="800000"/>
                        </a:ln>
                      </wps:spPr>
                      <wps:txbx>
                        <w:txbxContent>
                          <w:p>
                            <w:r>
                              <w:rPr>
                                <w:rFonts w:ascii="黑体" w:eastAsia="黑体"/>
                                <w:b/>
                                <w:sz w:val="32"/>
                                <w:szCs w:val="32"/>
                              </w:rPr>
                              <w:t>联合</w:t>
                            </w:r>
                            <w:r>
                              <w:rPr>
                                <w:rFonts w:hint="eastAsia" w:ascii="黑体" w:eastAsia="黑体"/>
                                <w:b/>
                                <w:sz w:val="32"/>
                                <w:szCs w:val="32"/>
                              </w:rPr>
                              <w:t>发布</w:t>
                            </w:r>
                          </w:p>
                        </w:txbxContent>
                      </wps:txbx>
                      <wps:bodyPr rot="0" vert="horz" wrap="square" lIns="91440" tIns="45720" rIns="91440" bIns="45720" anchor="t" anchorCtr="false">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77.5pt;margin-top:5.8pt;height:27.95pt;width:111.1pt;mso-wrap-distance-bottom:3.6pt;mso-wrap-distance-left:9pt;mso-wrap-distance-right:9pt;mso-wrap-distance-top:3.6pt;z-index:251662336;mso-width-relative:page;mso-height-relative:margin;mso-height-percent:200;" filled="f" stroked="f" coordsize="21600,21600" o:gfxdata="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GzMVe9cAAAAJAQAADwAAAAAAAAABACAAAAA4AAAAZHJzL2Rvd25yZXYueG1sUEsBAhQAFAAAAAgA&#10;h07iQCXl18UQAgAA5wMAAA4AAAAAAAAAAQAgAAAAPAEAAGRycy9lMm9Eb2MueG1sUEsFBgAAAAAG&#10;AAYAWQEAAL4FAAAAAA==&#10;">
                <v:fill on="f" focussize="0,0"/>
                <v:stroke on="f" miterlimit="8" joinstyle="miter"/>
                <v:imagedata o:title=""/>
                <o:lock v:ext="edit" aspectratio="f"/>
                <v:textbox style="mso-fit-shape-to-text:t;">
                  <w:txbxContent>
                    <w:p>
                      <w:r>
                        <w:rPr>
                          <w:rFonts w:ascii="黑体" w:eastAsia="黑体"/>
                          <w:b/>
                          <w:sz w:val="32"/>
                          <w:szCs w:val="32"/>
                        </w:rPr>
                        <w:t>联合</w:t>
                      </w:r>
                      <w:r>
                        <w:rPr>
                          <w:rFonts w:hint="eastAsia" w:ascii="黑体" w:eastAsia="黑体"/>
                          <w:b/>
                          <w:sz w:val="32"/>
                          <w:szCs w:val="32"/>
                        </w:rPr>
                        <w:t>发布</w:t>
                      </w:r>
                    </w:p>
                  </w:txbxContent>
                </v:textbox>
                <w10:wrap type="square"/>
              </v:shape>
            </w:pict>
          </mc:Fallback>
        </mc:AlternateContent>
      </w:r>
      <w:r>
        <w:rPr>
          <w:rFonts w:asciiTheme="minorEastAsia" w:hAnsiTheme="minorEastAsia" w:eastAsiaTheme="minorEastAsia"/>
          <w:b/>
          <w:spacing w:val="0"/>
          <w:w w:val="79"/>
          <w:kern w:val="0"/>
          <w:sz w:val="32"/>
          <w:szCs w:val="32"/>
          <w:fitText w:val="3050" w:id="-1288467968"/>
        </w:rPr>
        <w:t>北京市</w:t>
      </w:r>
      <w:r>
        <w:rPr>
          <w:rFonts w:hint="eastAsia" w:asciiTheme="minorEastAsia" w:hAnsiTheme="minorEastAsia" w:eastAsiaTheme="minorEastAsia"/>
          <w:b/>
          <w:spacing w:val="0"/>
          <w:w w:val="79"/>
          <w:kern w:val="0"/>
          <w:sz w:val="32"/>
          <w:szCs w:val="32"/>
          <w:fitText w:val="3050" w:id="-1288467968"/>
        </w:rPr>
        <w:t>住房和城乡</w:t>
      </w:r>
      <w:r>
        <w:rPr>
          <w:rFonts w:asciiTheme="minorEastAsia" w:hAnsiTheme="minorEastAsia" w:eastAsiaTheme="minorEastAsia"/>
          <w:b/>
          <w:spacing w:val="0"/>
          <w:w w:val="79"/>
          <w:kern w:val="0"/>
          <w:sz w:val="32"/>
          <w:szCs w:val="32"/>
          <w:fitText w:val="3050" w:id="-1288467968"/>
        </w:rPr>
        <w:t>建设委</w:t>
      </w:r>
      <w:r>
        <w:rPr>
          <w:rFonts w:asciiTheme="minorEastAsia" w:hAnsiTheme="minorEastAsia" w:eastAsiaTheme="minorEastAsia"/>
          <w:b/>
          <w:spacing w:val="1"/>
          <w:w w:val="79"/>
          <w:kern w:val="0"/>
          <w:sz w:val="32"/>
          <w:szCs w:val="32"/>
          <w:fitText w:val="3050" w:id="-1288467968"/>
        </w:rPr>
        <w:t>员</w:t>
      </w:r>
    </w:p>
    <w:p>
      <w:pPr>
        <w:ind w:firstLine="1926" w:firstLineChars="615"/>
        <w:rPr>
          <w:rFonts w:asciiTheme="minorEastAsia" w:hAnsiTheme="minorEastAsia" w:eastAsiaTheme="minorEastAsia"/>
          <w:b/>
          <w:spacing w:val="3"/>
          <w:w w:val="67"/>
          <w:kern w:val="0"/>
          <w:sz w:val="32"/>
          <w:szCs w:val="32"/>
        </w:rPr>
      </w:pPr>
      <w:r>
        <w:rPr>
          <w:rFonts w:hint="eastAsia" w:asciiTheme="minorEastAsia" w:hAnsiTheme="minorEastAsia" w:eastAsiaTheme="minorEastAsia"/>
          <w:b/>
          <w:spacing w:val="49"/>
          <w:w w:val="67"/>
          <w:kern w:val="0"/>
          <w:sz w:val="32"/>
          <w:szCs w:val="32"/>
        </w:rPr>
        <w:t>北京市市场监督管理</w:t>
      </w:r>
      <w:r>
        <w:rPr>
          <w:rFonts w:hint="eastAsia" w:asciiTheme="minorEastAsia" w:hAnsiTheme="minorEastAsia" w:eastAsiaTheme="minorEastAsia"/>
          <w:b/>
          <w:spacing w:val="3"/>
          <w:w w:val="67"/>
          <w:kern w:val="0"/>
          <w:sz w:val="32"/>
          <w:szCs w:val="32"/>
        </w:rPr>
        <w:t>局</w:t>
      </w:r>
    </w:p>
    <w:p>
      <w:pPr>
        <w:ind w:firstLine="1728" w:firstLineChars="615"/>
        <w:rPr>
          <w:rFonts w:asciiTheme="minorEastAsia" w:hAnsiTheme="minorEastAsia" w:eastAsiaTheme="minorEastAsia"/>
          <w:b/>
          <w:sz w:val="28"/>
          <w:szCs w:val="28"/>
        </w:rPr>
        <w:sectPr>
          <w:footerReference r:id="rId3" w:type="default"/>
          <w:footerReference r:id="rId4" w:type="even"/>
          <w:pgSz w:w="11907" w:h="16840"/>
          <w:pgMar w:top="1440" w:right="1797" w:bottom="1440" w:left="1797" w:header="851" w:footer="992" w:gutter="0"/>
          <w:pgNumType w:start="1"/>
          <w:cols w:space="720" w:num="1"/>
          <w:docGrid w:linePitch="312" w:charSpace="0"/>
        </w:sectPr>
      </w:pPr>
    </w:p>
    <w:p>
      <w:pPr>
        <w:jc w:val="center"/>
        <w:rPr>
          <w:rFonts w:eastAsia="黑体"/>
          <w:b/>
          <w:sz w:val="32"/>
          <w:szCs w:val="32"/>
        </w:rPr>
      </w:pPr>
      <w:bookmarkStart w:id="4" w:name="_Toc137203260"/>
      <w:bookmarkStart w:id="5" w:name="_Toc135234815"/>
      <w:bookmarkStart w:id="6" w:name="_Toc137203359"/>
      <w:bookmarkStart w:id="7" w:name="_Toc137216215"/>
      <w:bookmarkStart w:id="8" w:name="_Toc137203160"/>
      <w:bookmarkStart w:id="9" w:name="_Toc136855111"/>
      <w:bookmarkStart w:id="10" w:name="_Toc136869057"/>
      <w:bookmarkStart w:id="11" w:name="_Toc136868022"/>
      <w:bookmarkStart w:id="12" w:name="_Toc136855177"/>
      <w:bookmarkStart w:id="13" w:name="_Toc136855377"/>
      <w:bookmarkStart w:id="14" w:name="_Toc136869473"/>
      <w:bookmarkStart w:id="15" w:name="_Toc135299497"/>
    </w:p>
    <w:p>
      <w:pPr>
        <w:jc w:val="center"/>
        <w:rPr>
          <w:rFonts w:eastAsia="黑体"/>
          <w:b/>
          <w:sz w:val="32"/>
          <w:szCs w:val="32"/>
        </w:rPr>
      </w:pPr>
    </w:p>
    <w:p>
      <w:pPr>
        <w:jc w:val="center"/>
        <w:rPr>
          <w:rFonts w:eastAsia="黑体"/>
          <w:b/>
          <w:sz w:val="32"/>
          <w:szCs w:val="32"/>
        </w:rPr>
      </w:pPr>
      <w:r>
        <w:rPr>
          <w:rFonts w:hint="eastAsia" w:eastAsia="黑体"/>
          <w:b/>
          <w:sz w:val="32"/>
          <w:szCs w:val="32"/>
        </w:rPr>
        <w:t>北京</w:t>
      </w:r>
      <w:r>
        <w:rPr>
          <w:rFonts w:eastAsia="黑体"/>
          <w:b/>
          <w:sz w:val="32"/>
          <w:szCs w:val="32"/>
        </w:rPr>
        <w:t>市地方标准</w:t>
      </w:r>
    </w:p>
    <w:p>
      <w:pPr>
        <w:jc w:val="center"/>
        <w:rPr>
          <w:rFonts w:eastAsia="黑体"/>
          <w:b/>
          <w:sz w:val="32"/>
          <w:szCs w:val="32"/>
        </w:rPr>
      </w:pPr>
    </w:p>
    <w:p>
      <w:pPr>
        <w:jc w:val="center"/>
        <w:rPr>
          <w:rFonts w:eastAsia="黑体"/>
          <w:b/>
          <w:sz w:val="32"/>
          <w:szCs w:val="32"/>
        </w:rPr>
      </w:pPr>
    </w:p>
    <w:p>
      <w:pPr>
        <w:jc w:val="center"/>
        <w:rPr>
          <w:rFonts w:eastAsia="黑体"/>
          <w:b/>
          <w:sz w:val="32"/>
          <w:szCs w:val="32"/>
        </w:rPr>
      </w:pPr>
    </w:p>
    <w:p>
      <w:pPr>
        <w:jc w:val="center"/>
        <w:rPr>
          <w:rFonts w:eastAsia="黑体"/>
          <w:b/>
          <w:sz w:val="32"/>
          <w:szCs w:val="32"/>
        </w:rPr>
      </w:pPr>
    </w:p>
    <w:p>
      <w:pPr>
        <w:spacing w:line="360" w:lineRule="auto"/>
        <w:jc w:val="center"/>
        <w:rPr>
          <w:rFonts w:asciiTheme="minorEastAsia" w:hAnsiTheme="minorEastAsia" w:eastAsiaTheme="minorEastAsia"/>
          <w:sz w:val="44"/>
          <w:szCs w:val="44"/>
        </w:rPr>
      </w:pPr>
      <w:r>
        <w:rPr>
          <w:rFonts w:hint="eastAsia" w:asciiTheme="minorEastAsia" w:hAnsiTheme="minorEastAsia" w:eastAsiaTheme="minorEastAsia"/>
          <w:sz w:val="44"/>
          <w:szCs w:val="44"/>
        </w:rPr>
        <w:t>房屋建筑和市政基础设施电气工程施工质量验收规范</w:t>
      </w:r>
    </w:p>
    <w:p>
      <w:pPr>
        <w:spacing w:line="360" w:lineRule="auto"/>
        <w:jc w:val="center"/>
        <w:rPr>
          <w:rFonts w:eastAsia="黑体"/>
          <w:b/>
          <w:bCs/>
          <w:kern w:val="0"/>
          <w:sz w:val="32"/>
          <w:szCs w:val="32"/>
        </w:rPr>
      </w:pPr>
      <w:r>
        <w:rPr>
          <w:rFonts w:eastAsia="黑体"/>
          <w:b/>
          <w:bCs/>
          <w:kern w:val="0"/>
          <w:sz w:val="32"/>
          <w:szCs w:val="32"/>
        </w:rPr>
        <w:t xml:space="preserve">Code for </w:t>
      </w:r>
      <w:r>
        <w:rPr>
          <w:rFonts w:hint="eastAsia" w:eastAsia="黑体"/>
          <w:b/>
          <w:bCs/>
          <w:kern w:val="0"/>
          <w:sz w:val="32"/>
          <w:szCs w:val="32"/>
        </w:rPr>
        <w:t>a</w:t>
      </w:r>
      <w:r>
        <w:rPr>
          <w:rFonts w:eastAsia="黑体"/>
          <w:b/>
          <w:bCs/>
          <w:kern w:val="0"/>
          <w:sz w:val="32"/>
          <w:szCs w:val="32"/>
        </w:rPr>
        <w:t xml:space="preserve">cceptance of </w:t>
      </w:r>
      <w:r>
        <w:rPr>
          <w:rFonts w:hint="eastAsia" w:eastAsia="黑体"/>
          <w:b/>
          <w:bCs/>
          <w:kern w:val="0"/>
          <w:sz w:val="32"/>
          <w:szCs w:val="32"/>
        </w:rPr>
        <w:t>c</w:t>
      </w:r>
      <w:r>
        <w:rPr>
          <w:rFonts w:eastAsia="黑体"/>
          <w:b/>
          <w:bCs/>
          <w:kern w:val="0"/>
          <w:sz w:val="32"/>
          <w:szCs w:val="32"/>
        </w:rPr>
        <w:t xml:space="preserve">onstruction </w:t>
      </w:r>
      <w:r>
        <w:rPr>
          <w:rFonts w:hint="eastAsia" w:eastAsia="黑体"/>
          <w:b/>
          <w:bCs/>
          <w:kern w:val="0"/>
          <w:sz w:val="32"/>
          <w:szCs w:val="32"/>
        </w:rPr>
        <w:t>q</w:t>
      </w:r>
      <w:r>
        <w:rPr>
          <w:rFonts w:eastAsia="黑体"/>
          <w:b/>
          <w:bCs/>
          <w:kern w:val="0"/>
          <w:sz w:val="32"/>
          <w:szCs w:val="32"/>
        </w:rPr>
        <w:t xml:space="preserve">uality of </w:t>
      </w:r>
      <w:r>
        <w:rPr>
          <w:rFonts w:hint="eastAsia" w:eastAsia="黑体"/>
          <w:b/>
          <w:bCs/>
          <w:kern w:val="0"/>
          <w:sz w:val="32"/>
          <w:szCs w:val="32"/>
        </w:rPr>
        <w:t>e</w:t>
      </w:r>
      <w:r>
        <w:rPr>
          <w:rFonts w:eastAsia="黑体"/>
          <w:b/>
          <w:bCs/>
          <w:kern w:val="0"/>
          <w:sz w:val="32"/>
          <w:szCs w:val="32"/>
        </w:rPr>
        <w:t xml:space="preserve">lectrical </w:t>
      </w:r>
      <w:r>
        <w:rPr>
          <w:rFonts w:hint="eastAsia" w:eastAsia="黑体"/>
          <w:b/>
          <w:bCs/>
          <w:kern w:val="0"/>
          <w:sz w:val="32"/>
          <w:szCs w:val="32"/>
        </w:rPr>
        <w:t>e</w:t>
      </w:r>
      <w:r>
        <w:rPr>
          <w:rFonts w:eastAsia="黑体"/>
          <w:b/>
          <w:bCs/>
          <w:kern w:val="0"/>
          <w:sz w:val="32"/>
          <w:szCs w:val="32"/>
        </w:rPr>
        <w:t xml:space="preserve">ngineering in </w:t>
      </w:r>
      <w:r>
        <w:rPr>
          <w:rFonts w:hint="eastAsia" w:eastAsia="黑体"/>
          <w:b/>
          <w:bCs/>
          <w:kern w:val="0"/>
          <w:sz w:val="32"/>
          <w:szCs w:val="32"/>
        </w:rPr>
        <w:t>h</w:t>
      </w:r>
      <w:r>
        <w:rPr>
          <w:rFonts w:eastAsia="黑体"/>
          <w:b/>
          <w:bCs/>
          <w:kern w:val="0"/>
          <w:sz w:val="32"/>
          <w:szCs w:val="32"/>
        </w:rPr>
        <w:t xml:space="preserve">ousing </w:t>
      </w:r>
      <w:r>
        <w:rPr>
          <w:rFonts w:hint="eastAsia" w:eastAsia="黑体"/>
          <w:b/>
          <w:bCs/>
          <w:kern w:val="0"/>
          <w:sz w:val="32"/>
          <w:szCs w:val="32"/>
        </w:rPr>
        <w:t>c</w:t>
      </w:r>
      <w:r>
        <w:rPr>
          <w:rFonts w:eastAsia="黑体"/>
          <w:b/>
          <w:bCs/>
          <w:kern w:val="0"/>
          <w:sz w:val="32"/>
          <w:szCs w:val="32"/>
        </w:rPr>
        <w:t xml:space="preserve">onstruction and </w:t>
      </w:r>
      <w:r>
        <w:rPr>
          <w:rFonts w:hint="eastAsia" w:eastAsia="黑体"/>
          <w:b/>
          <w:bCs/>
          <w:kern w:val="0"/>
          <w:sz w:val="32"/>
          <w:szCs w:val="32"/>
        </w:rPr>
        <w:t>m</w:t>
      </w:r>
      <w:r>
        <w:rPr>
          <w:rFonts w:eastAsia="黑体"/>
          <w:b/>
          <w:bCs/>
          <w:kern w:val="0"/>
          <w:sz w:val="32"/>
          <w:szCs w:val="32"/>
        </w:rPr>
        <w:t xml:space="preserve">unicipal </w:t>
      </w:r>
      <w:r>
        <w:rPr>
          <w:rFonts w:hint="eastAsia" w:eastAsia="黑体"/>
          <w:b/>
          <w:bCs/>
          <w:kern w:val="0"/>
          <w:sz w:val="32"/>
          <w:szCs w:val="32"/>
        </w:rPr>
        <w:t>i</w:t>
      </w:r>
      <w:r>
        <w:rPr>
          <w:rFonts w:eastAsia="黑体"/>
          <w:b/>
          <w:bCs/>
          <w:kern w:val="0"/>
          <w:sz w:val="32"/>
          <w:szCs w:val="32"/>
        </w:rPr>
        <w:t>nfrastructure</w:t>
      </w:r>
    </w:p>
    <w:p>
      <w:pPr>
        <w:spacing w:line="480" w:lineRule="exact"/>
        <w:jc w:val="center"/>
        <w:rPr>
          <w:rFonts w:eastAsia="黑体"/>
          <w:b/>
          <w:bCs/>
          <w:sz w:val="28"/>
          <w:szCs w:val="28"/>
        </w:rPr>
      </w:pPr>
    </w:p>
    <w:p>
      <w:pPr>
        <w:jc w:val="center"/>
        <w:rPr>
          <w:rFonts w:eastAsia="黑体"/>
          <w:b/>
          <w:sz w:val="32"/>
          <w:szCs w:val="32"/>
        </w:rPr>
      </w:pPr>
    </w:p>
    <w:p>
      <w:pPr>
        <w:rPr>
          <w:rFonts w:eastAsia="黑体"/>
          <w:b/>
          <w:sz w:val="32"/>
          <w:szCs w:val="32"/>
        </w:rPr>
      </w:pPr>
    </w:p>
    <w:p>
      <w:pPr>
        <w:ind w:firstLine="2930" w:firstLineChars="1390"/>
        <w:rPr>
          <w:rFonts w:eastAsia="黑体"/>
          <w:b/>
          <w:szCs w:val="21"/>
        </w:rPr>
      </w:pPr>
      <w:r>
        <w:rPr>
          <w:rFonts w:eastAsia="黑体"/>
          <w:b/>
          <w:szCs w:val="21"/>
        </w:rPr>
        <w:t>编  号：DB11/</w:t>
      </w:r>
      <w:r>
        <w:rPr>
          <w:rFonts w:hint="eastAsia" w:eastAsia="黑体"/>
          <w:b/>
          <w:szCs w:val="21"/>
        </w:rPr>
        <w:t>T</w:t>
      </w:r>
      <w:r>
        <w:rPr>
          <w:rFonts w:eastAsia="黑体"/>
          <w:b/>
          <w:szCs w:val="21"/>
        </w:rPr>
        <w:t>XXXX-20</w:t>
      </w:r>
      <w:r>
        <w:rPr>
          <w:rFonts w:hint="eastAsia" w:eastAsia="黑体"/>
          <w:b/>
          <w:szCs w:val="21"/>
        </w:rPr>
        <w:t>2</w:t>
      </w:r>
      <w:r>
        <w:rPr>
          <w:rFonts w:eastAsia="黑体"/>
          <w:b/>
          <w:szCs w:val="21"/>
        </w:rPr>
        <w:t>3</w:t>
      </w:r>
    </w:p>
    <w:p>
      <w:pPr>
        <w:ind w:firstLine="2930" w:firstLineChars="1390"/>
        <w:rPr>
          <w:rFonts w:eastAsia="黑体"/>
          <w:b/>
          <w:sz w:val="32"/>
          <w:szCs w:val="32"/>
        </w:rPr>
      </w:pPr>
      <w:r>
        <w:rPr>
          <w:rFonts w:eastAsia="黑体"/>
          <w:b/>
          <w:szCs w:val="21"/>
        </w:rPr>
        <w:t>备案号：J</w:t>
      </w:r>
      <w:r>
        <w:rPr>
          <w:szCs w:val="21"/>
        </w:rPr>
        <w:t>×</w:t>
      </w:r>
      <w:r>
        <w:rPr>
          <w:rFonts w:eastAsia="黑体"/>
          <w:b/>
          <w:szCs w:val="21"/>
        </w:rPr>
        <w:t xml:space="preserve">   -20</w:t>
      </w:r>
      <w:r>
        <w:rPr>
          <w:rFonts w:hint="eastAsia" w:eastAsia="黑体"/>
          <w:b/>
          <w:szCs w:val="21"/>
        </w:rPr>
        <w:t>2</w:t>
      </w:r>
      <w:r>
        <w:rPr>
          <w:rFonts w:eastAsia="黑体"/>
          <w:b/>
          <w:szCs w:val="21"/>
        </w:rPr>
        <w:t>3</w:t>
      </w:r>
    </w:p>
    <w:p>
      <w:pPr>
        <w:rPr>
          <w:szCs w:val="21"/>
        </w:rPr>
      </w:pPr>
    </w:p>
    <w:p>
      <w:pPr>
        <w:rPr>
          <w:szCs w:val="21"/>
        </w:rPr>
      </w:pPr>
    </w:p>
    <w:p>
      <w:pPr>
        <w:rPr>
          <w:szCs w:val="21"/>
        </w:rPr>
      </w:pPr>
    </w:p>
    <w:p>
      <w:pPr>
        <w:ind w:firstLine="2299" w:firstLineChars="1095"/>
        <w:rPr>
          <w:szCs w:val="21"/>
        </w:rPr>
      </w:pPr>
      <w:r>
        <w:rPr>
          <w:rFonts w:hAnsi="宋体"/>
          <w:szCs w:val="21"/>
        </w:rPr>
        <w:t>主编</w:t>
      </w:r>
      <w:r>
        <w:rPr>
          <w:rFonts w:hint="eastAsia" w:hAnsi="宋体"/>
          <w:szCs w:val="21"/>
        </w:rPr>
        <w:t>单位</w:t>
      </w:r>
      <w:r>
        <w:rPr>
          <w:rFonts w:hAnsi="宋体"/>
          <w:szCs w:val="21"/>
        </w:rPr>
        <w:t>：</w:t>
      </w:r>
      <w:r>
        <w:rPr>
          <w:szCs w:val="21"/>
        </w:rPr>
        <w:t>中国建筑一局（集团）有限公司</w:t>
      </w:r>
    </w:p>
    <w:p>
      <w:pPr>
        <w:ind w:firstLine="2299" w:firstLineChars="1095"/>
        <w:rPr>
          <w:szCs w:val="21"/>
        </w:rPr>
      </w:pPr>
      <w:r>
        <w:rPr>
          <w:rFonts w:hAnsi="宋体"/>
          <w:szCs w:val="21"/>
        </w:rPr>
        <w:t>批准部门：北京市</w:t>
      </w:r>
      <w:r>
        <w:rPr>
          <w:rFonts w:hint="eastAsia" w:hAnsi="宋体"/>
          <w:szCs w:val="21"/>
        </w:rPr>
        <w:t>市场监督管理</w:t>
      </w:r>
      <w:r>
        <w:rPr>
          <w:rFonts w:hAnsi="宋体"/>
          <w:szCs w:val="21"/>
        </w:rPr>
        <w:t>局</w:t>
      </w:r>
    </w:p>
    <w:p>
      <w:pPr>
        <w:ind w:firstLine="2299" w:firstLineChars="1095"/>
        <w:rPr>
          <w:szCs w:val="21"/>
        </w:rPr>
      </w:pPr>
      <w:r>
        <w:rPr>
          <w:rFonts w:hAnsi="宋体"/>
          <w:szCs w:val="21"/>
        </w:rPr>
        <w:t>施行日期：</w:t>
      </w:r>
      <w:r>
        <w:rPr>
          <w:color w:val="000000"/>
          <w:szCs w:val="21"/>
        </w:rPr>
        <w:t>20××</w:t>
      </w:r>
      <w:r>
        <w:rPr>
          <w:rFonts w:hAnsi="宋体"/>
          <w:color w:val="000000"/>
          <w:szCs w:val="21"/>
        </w:rPr>
        <w:t>年</w:t>
      </w:r>
      <w:r>
        <w:rPr>
          <w:color w:val="000000"/>
          <w:szCs w:val="21"/>
        </w:rPr>
        <w:t>×</w:t>
      </w:r>
      <w:r>
        <w:rPr>
          <w:rFonts w:hAnsi="宋体"/>
          <w:color w:val="000000"/>
          <w:szCs w:val="21"/>
        </w:rPr>
        <w:t>月</w:t>
      </w:r>
      <w:r>
        <w:rPr>
          <w:color w:val="000000"/>
          <w:szCs w:val="21"/>
        </w:rPr>
        <w:t>×</w:t>
      </w:r>
      <w:r>
        <w:rPr>
          <w:rFonts w:hAnsi="宋体"/>
          <w:color w:val="000000"/>
          <w:szCs w:val="21"/>
        </w:rPr>
        <w:t>日</w:t>
      </w:r>
    </w:p>
    <w:p>
      <w:pPr>
        <w:rPr>
          <w:rFonts w:eastAsia="黑体"/>
          <w:b/>
          <w:sz w:val="32"/>
          <w:szCs w:val="32"/>
        </w:rPr>
      </w:pPr>
    </w:p>
    <w:p>
      <w:pPr>
        <w:rPr>
          <w:rFonts w:eastAsia="黑体"/>
          <w:b/>
          <w:sz w:val="32"/>
          <w:szCs w:val="32"/>
        </w:rPr>
      </w:pPr>
    </w:p>
    <w:p>
      <w:pPr>
        <w:rPr>
          <w:rFonts w:eastAsia="黑体"/>
          <w:b/>
          <w:sz w:val="32"/>
          <w:szCs w:val="32"/>
        </w:rPr>
      </w:pPr>
    </w:p>
    <w:p>
      <w:pPr>
        <w:rPr>
          <w:rFonts w:eastAsia="黑体"/>
          <w:b/>
          <w:sz w:val="32"/>
          <w:szCs w:val="32"/>
        </w:rPr>
      </w:pPr>
    </w:p>
    <w:p>
      <w:pPr>
        <w:rPr>
          <w:rFonts w:eastAsia="黑体"/>
          <w:b/>
          <w:sz w:val="32"/>
          <w:szCs w:val="32"/>
        </w:rPr>
      </w:pPr>
    </w:p>
    <w:p>
      <w:pPr>
        <w:rPr>
          <w:rFonts w:eastAsia="黑体"/>
          <w:b/>
          <w:sz w:val="32"/>
          <w:szCs w:val="32"/>
        </w:rPr>
      </w:pPr>
    </w:p>
    <w:p>
      <w:pPr>
        <w:rPr>
          <w:rFonts w:eastAsia="黑体"/>
          <w:b/>
          <w:sz w:val="32"/>
          <w:szCs w:val="32"/>
        </w:rPr>
      </w:pPr>
    </w:p>
    <w:p>
      <w:pPr>
        <w:rPr>
          <w:rFonts w:eastAsia="黑体"/>
          <w:b/>
          <w:sz w:val="32"/>
          <w:szCs w:val="32"/>
        </w:rPr>
      </w:pPr>
    </w:p>
    <w:p>
      <w:pPr>
        <w:pStyle w:val="2"/>
        <w:numPr>
          <w:ilvl w:val="0"/>
          <w:numId w:val="0"/>
        </w:numPr>
        <w:snapToGrid w:val="0"/>
        <w:spacing w:before="240" w:beforeLines="100" w:after="240" w:afterLines="100" w:line="360" w:lineRule="auto"/>
        <w:jc w:val="center"/>
        <w:rPr>
          <w:rFonts w:ascii="宋体" w:hAnsi="宋体" w:cs="宋体"/>
          <w:bCs w:val="0"/>
          <w:kern w:val="2"/>
          <w:sz w:val="28"/>
          <w:szCs w:val="28"/>
        </w:rPr>
        <w:sectPr>
          <w:footerReference r:id="rId5" w:type="default"/>
          <w:pgSz w:w="11907" w:h="16840"/>
          <w:pgMar w:top="1440" w:right="1797" w:bottom="1440" w:left="1797" w:header="851" w:footer="992" w:gutter="0"/>
          <w:pgNumType w:start="1"/>
          <w:cols w:space="720" w:num="1"/>
          <w:docGrid w:linePitch="312" w:charSpace="0"/>
        </w:sectPr>
      </w:pPr>
      <w:r>
        <w:rPr>
          <w:rFonts w:eastAsia="黑体"/>
          <w:b w:val="0"/>
          <w:bCs w:val="0"/>
          <w:kern w:val="2"/>
          <w:sz w:val="21"/>
          <w:szCs w:val="21"/>
        </w:rPr>
        <w:t xml:space="preserve">2023 </w:t>
      </w:r>
      <w:r>
        <w:rPr>
          <w:rFonts w:hint="eastAsia" w:eastAsia="黑体"/>
          <w:b w:val="0"/>
          <w:bCs w:val="0"/>
          <w:kern w:val="2"/>
          <w:sz w:val="21"/>
          <w:szCs w:val="21"/>
        </w:rPr>
        <w:t>北京</w:t>
      </w:r>
      <w:r>
        <w:rPr>
          <w:rFonts w:hint="eastAsia"/>
        </w:rPr>
        <w:t xml:space="preserve">             </w:t>
      </w:r>
    </w:p>
    <w:p>
      <w:pPr>
        <w:pStyle w:val="2"/>
        <w:numPr>
          <w:ilvl w:val="0"/>
          <w:numId w:val="0"/>
        </w:numPr>
        <w:snapToGrid w:val="0"/>
        <w:spacing w:before="240" w:beforeLines="100" w:after="240" w:afterLines="100" w:line="360" w:lineRule="auto"/>
        <w:jc w:val="center"/>
        <w:rPr>
          <w:rFonts w:ascii="宋体" w:hAnsi="宋体" w:cs="宋体"/>
          <w:bCs w:val="0"/>
          <w:kern w:val="2"/>
          <w:sz w:val="28"/>
          <w:szCs w:val="28"/>
        </w:rPr>
      </w:pPr>
      <w:r>
        <w:rPr>
          <w:rFonts w:hint="eastAsia" w:ascii="宋体" w:hAnsi="宋体" w:cs="宋体"/>
          <w:bCs w:val="0"/>
          <w:kern w:val="2"/>
          <w:sz w:val="28"/>
          <w:szCs w:val="28"/>
        </w:rPr>
        <w:t>前</w:t>
      </w:r>
      <w:r>
        <w:rPr>
          <w:sz w:val="28"/>
        </w:rPr>
        <w:t xml:space="preserve">    </w:t>
      </w:r>
      <w:r>
        <w:rPr>
          <w:rFonts w:hint="eastAsia" w:ascii="宋体" w:hAnsi="宋体" w:cs="宋体"/>
          <w:bCs w:val="0"/>
          <w:kern w:val="2"/>
          <w:sz w:val="28"/>
          <w:szCs w:val="28"/>
        </w:rPr>
        <w:t>言</w:t>
      </w:r>
      <w:bookmarkEnd w:id="4"/>
      <w:bookmarkEnd w:id="5"/>
      <w:bookmarkEnd w:id="6"/>
      <w:bookmarkEnd w:id="7"/>
      <w:bookmarkEnd w:id="8"/>
      <w:bookmarkEnd w:id="9"/>
      <w:bookmarkEnd w:id="10"/>
      <w:bookmarkEnd w:id="11"/>
      <w:bookmarkEnd w:id="12"/>
      <w:bookmarkEnd w:id="13"/>
      <w:bookmarkEnd w:id="14"/>
      <w:bookmarkEnd w:id="15"/>
    </w:p>
    <w:p>
      <w:pPr>
        <w:spacing w:line="360" w:lineRule="auto"/>
        <w:ind w:firstLine="420" w:firstLineChars="200"/>
        <w:rPr>
          <w:rFonts w:ascii="宋体" w:hAnsi="宋体"/>
          <w:szCs w:val="21"/>
        </w:rPr>
      </w:pPr>
      <w:r>
        <w:rPr>
          <w:rFonts w:hint="eastAsia" w:ascii="宋体" w:hAnsi="宋体"/>
          <w:szCs w:val="21"/>
        </w:rPr>
        <w:t>根据北京市市场监督管理局</w:t>
      </w:r>
      <w:r>
        <w:rPr>
          <w:rFonts w:hint="eastAsia"/>
          <w:szCs w:val="21"/>
        </w:rPr>
        <w:t>《202</w:t>
      </w:r>
      <w:r>
        <w:rPr>
          <w:szCs w:val="21"/>
        </w:rPr>
        <w:t>2</w:t>
      </w:r>
      <w:r>
        <w:rPr>
          <w:rFonts w:hint="eastAsia"/>
          <w:szCs w:val="21"/>
        </w:rPr>
        <w:t>年北京市地方标准制修订项目计划》（京市监发〔</w:t>
      </w:r>
      <w:r>
        <w:rPr>
          <w:szCs w:val="21"/>
        </w:rPr>
        <w:t>2022</w:t>
      </w:r>
      <w:r>
        <w:rPr>
          <w:rFonts w:hint="eastAsia"/>
          <w:szCs w:val="21"/>
        </w:rPr>
        <w:t>〕</w:t>
      </w:r>
      <w:r>
        <w:rPr>
          <w:szCs w:val="21"/>
        </w:rPr>
        <w:t>30</w:t>
      </w:r>
      <w:r>
        <w:rPr>
          <w:rFonts w:hint="eastAsia"/>
          <w:szCs w:val="21"/>
        </w:rPr>
        <w:t>号）的</w:t>
      </w:r>
      <w:r>
        <w:rPr>
          <w:rFonts w:hint="eastAsia" w:ascii="宋体" w:hAnsi="宋体"/>
          <w:szCs w:val="21"/>
        </w:rPr>
        <w:t>要求，规范编制组经</w:t>
      </w:r>
      <w:r>
        <w:rPr>
          <w:rFonts w:hint="eastAsia"/>
          <w:szCs w:val="21"/>
        </w:rPr>
        <w:t>广泛</w:t>
      </w:r>
      <w:r>
        <w:rPr>
          <w:rFonts w:hint="eastAsia" w:ascii="宋体" w:hAnsi="宋体"/>
          <w:szCs w:val="21"/>
        </w:rPr>
        <w:t>调查研究，认真总结实践经验，参考国内相关标准，并在广泛征求意见的基础上，制定本规范。</w:t>
      </w:r>
    </w:p>
    <w:p>
      <w:pPr>
        <w:tabs>
          <w:tab w:val="left" w:pos="480"/>
        </w:tabs>
        <w:spacing w:line="360" w:lineRule="auto"/>
        <w:ind w:firstLine="420" w:firstLineChars="200"/>
        <w:rPr>
          <w:szCs w:val="21"/>
        </w:rPr>
      </w:pPr>
      <w:r>
        <w:rPr>
          <w:rFonts w:hint="eastAsia"/>
          <w:szCs w:val="21"/>
        </w:rPr>
        <w:t>本规范的</w:t>
      </w:r>
      <w:r>
        <w:rPr>
          <w:szCs w:val="21"/>
        </w:rPr>
        <w:t>主要技术内容</w:t>
      </w:r>
      <w:r>
        <w:rPr>
          <w:rFonts w:hint="eastAsia"/>
          <w:szCs w:val="21"/>
        </w:rPr>
        <w:t>是</w:t>
      </w:r>
      <w:r>
        <w:rPr>
          <w:szCs w:val="21"/>
        </w:rPr>
        <w:t>：1.总则</w:t>
      </w:r>
      <w:r>
        <w:rPr>
          <w:rFonts w:hint="eastAsia"/>
          <w:szCs w:val="21"/>
        </w:rPr>
        <w:t>；</w:t>
      </w:r>
      <w:r>
        <w:rPr>
          <w:szCs w:val="21"/>
        </w:rPr>
        <w:t>2.术语</w:t>
      </w:r>
      <w:r>
        <w:rPr>
          <w:rFonts w:hint="eastAsia"/>
          <w:szCs w:val="21"/>
        </w:rPr>
        <w:t>；</w:t>
      </w:r>
      <w:r>
        <w:rPr>
          <w:szCs w:val="21"/>
        </w:rPr>
        <w:t>3.基本规定</w:t>
      </w:r>
      <w:r>
        <w:rPr>
          <w:rFonts w:hint="eastAsia"/>
          <w:szCs w:val="21"/>
        </w:rPr>
        <w:t>；</w:t>
      </w:r>
      <w:r>
        <w:rPr>
          <w:szCs w:val="21"/>
        </w:rPr>
        <w:t>4.</w:t>
      </w:r>
      <w:r>
        <w:rPr>
          <w:rFonts w:hint="eastAsia"/>
          <w:szCs w:val="21"/>
        </w:rPr>
        <w:t>电源；</w:t>
      </w:r>
      <w:r>
        <w:rPr>
          <w:szCs w:val="21"/>
        </w:rPr>
        <w:t>5</w:t>
      </w:r>
      <w:r>
        <w:rPr>
          <w:rFonts w:hint="eastAsia"/>
          <w:szCs w:val="21"/>
        </w:rPr>
        <w:t>管线；</w:t>
      </w:r>
      <w:r>
        <w:rPr>
          <w:szCs w:val="21"/>
        </w:rPr>
        <w:t>6.</w:t>
      </w:r>
      <w:r>
        <w:rPr>
          <w:rFonts w:hint="eastAsia"/>
          <w:szCs w:val="21"/>
        </w:rPr>
        <w:t>动力设备；</w:t>
      </w:r>
      <w:r>
        <w:rPr>
          <w:szCs w:val="21"/>
        </w:rPr>
        <w:t>7.</w:t>
      </w:r>
      <w:r>
        <w:rPr>
          <w:rFonts w:hint="eastAsia"/>
          <w:szCs w:val="21"/>
        </w:rPr>
        <w:t>照明；</w:t>
      </w:r>
      <w:r>
        <w:rPr>
          <w:szCs w:val="21"/>
        </w:rPr>
        <w:t>8.</w:t>
      </w:r>
      <w:r>
        <w:rPr>
          <w:rFonts w:hint="eastAsia"/>
          <w:szCs w:val="21"/>
        </w:rPr>
        <w:t>防雷、接</w:t>
      </w:r>
      <w:r>
        <w:rPr>
          <w:rFonts w:hint="eastAsia"/>
          <w:color w:val="000000"/>
          <w:szCs w:val="21"/>
        </w:rPr>
        <w:t>地及</w:t>
      </w:r>
      <w:r>
        <w:rPr>
          <w:rFonts w:hint="eastAsia"/>
          <w:szCs w:val="21"/>
        </w:rPr>
        <w:t>等电位</w:t>
      </w:r>
      <w:r>
        <w:rPr>
          <w:szCs w:val="21"/>
        </w:rPr>
        <w:t>。</w:t>
      </w:r>
    </w:p>
    <w:p>
      <w:pPr>
        <w:spacing w:line="360" w:lineRule="auto"/>
        <w:ind w:firstLine="420" w:firstLineChars="200"/>
        <w:rPr>
          <w:szCs w:val="21"/>
        </w:rPr>
      </w:pPr>
      <w:r>
        <w:rPr>
          <w:szCs w:val="21"/>
        </w:rPr>
        <w:t>本规范由北京市住房和城乡建设委员会和北京市市场监督管理局共同管理，由北京市住房和城乡建设委员会归口并负责组织实施，由中国建筑一局（集团）有限公司负责具体技术内容的解释。执行过程中如有意见和建议，请寄送中国建筑一局（集团）有限公司（地址：北京市丰台区西四环南路52号，邮政编码：100161，E-mail</w:t>
      </w:r>
      <w:r>
        <w:rPr>
          <w:rFonts w:hint="eastAsia"/>
          <w:b/>
        </w:rPr>
        <w:t>：</w:t>
      </w:r>
      <w:r>
        <w:rPr>
          <w:szCs w:val="21"/>
        </w:rPr>
        <w:t>csceczhj@163.com，电话：010-83982040）。</w:t>
      </w:r>
    </w:p>
    <w:p>
      <w:pPr>
        <w:spacing w:line="360" w:lineRule="auto"/>
        <w:ind w:firstLine="420" w:firstLineChars="200"/>
        <w:rPr>
          <w:szCs w:val="21"/>
        </w:rPr>
      </w:pPr>
      <w:r>
        <w:rPr>
          <w:szCs w:val="21"/>
        </w:rPr>
        <w:t>本规范主编单位：中国建筑一局（集团）有限公司</w:t>
      </w:r>
    </w:p>
    <w:p>
      <w:pPr>
        <w:spacing w:line="360" w:lineRule="auto"/>
        <w:ind w:firstLine="420" w:firstLineChars="200"/>
        <w:rPr>
          <w:szCs w:val="21"/>
        </w:rPr>
      </w:pPr>
      <w:bookmarkStart w:id="16" w:name="_Hlk2601745"/>
      <w:r>
        <w:rPr>
          <w:szCs w:val="21"/>
        </w:rPr>
        <w:t>本规范主要起草人员：</w:t>
      </w:r>
      <w:bookmarkEnd w:id="16"/>
      <w:bookmarkStart w:id="17" w:name="_Hlk2601760"/>
      <w:r>
        <w:rPr>
          <w:szCs w:val="21"/>
        </w:rPr>
        <w:t xml:space="preserve"> </w:t>
      </w:r>
    </w:p>
    <w:p>
      <w:pPr>
        <w:spacing w:line="360" w:lineRule="auto"/>
        <w:ind w:firstLine="420" w:firstLineChars="200"/>
        <w:rPr>
          <w:szCs w:val="21"/>
        </w:rPr>
        <w:sectPr>
          <w:footerReference r:id="rId6" w:type="default"/>
          <w:pgSz w:w="11907" w:h="16840"/>
          <w:pgMar w:top="1440" w:right="1797" w:bottom="1440" w:left="1797" w:header="851" w:footer="992" w:gutter="0"/>
          <w:pgNumType w:start="1"/>
          <w:cols w:space="720" w:num="1"/>
          <w:docGrid w:linePitch="312" w:charSpace="0"/>
        </w:sectPr>
      </w:pPr>
      <w:r>
        <w:rPr>
          <w:szCs w:val="21"/>
        </w:rPr>
        <w:t>本规范主要审查人员：</w:t>
      </w:r>
      <w:bookmarkEnd w:id="17"/>
      <w:r>
        <w:rPr>
          <w:szCs w:val="21"/>
        </w:rPr>
        <w:t xml:space="preserve"> </w:t>
      </w:r>
    </w:p>
    <w:p>
      <w:pPr>
        <w:pStyle w:val="2"/>
        <w:numPr>
          <w:ilvl w:val="0"/>
          <w:numId w:val="0"/>
        </w:numPr>
        <w:snapToGrid w:val="0"/>
        <w:spacing w:before="120" w:beforeLines="50" w:after="120" w:afterLines="50" w:line="360" w:lineRule="auto"/>
        <w:jc w:val="center"/>
      </w:pPr>
      <w:bookmarkStart w:id="18" w:name="_Toc136869058"/>
      <w:bookmarkStart w:id="19" w:name="_Toc135299498"/>
      <w:bookmarkStart w:id="20" w:name="_Toc137216216"/>
      <w:bookmarkStart w:id="21" w:name="_Toc136869474"/>
      <w:bookmarkStart w:id="22" w:name="_Toc135234816"/>
      <w:bookmarkStart w:id="23" w:name="_Toc136855378"/>
      <w:bookmarkStart w:id="24" w:name="_Toc136868023"/>
      <w:r>
        <w:rPr>
          <w:rFonts w:hint="eastAsia" w:ascii="宋体" w:hAnsi="宋体" w:cs="宋体"/>
          <w:bCs w:val="0"/>
          <w:kern w:val="2"/>
          <w:sz w:val="28"/>
          <w:szCs w:val="28"/>
        </w:rPr>
        <w:t xml:space="preserve">目 </w:t>
      </w:r>
      <w:r>
        <w:rPr>
          <w:rFonts w:ascii="宋体" w:hAnsi="宋体" w:cs="宋体"/>
          <w:bCs w:val="0"/>
          <w:kern w:val="2"/>
          <w:sz w:val="28"/>
          <w:szCs w:val="28"/>
        </w:rPr>
        <w:t xml:space="preserve">   </w:t>
      </w:r>
      <w:r>
        <w:rPr>
          <w:rFonts w:hint="eastAsia" w:ascii="宋体" w:hAnsi="宋体" w:cs="宋体"/>
          <w:bCs w:val="0"/>
          <w:kern w:val="2"/>
          <w:sz w:val="28"/>
          <w:szCs w:val="28"/>
        </w:rPr>
        <w:t>次</w:t>
      </w:r>
      <w:bookmarkEnd w:id="18"/>
      <w:bookmarkEnd w:id="19"/>
      <w:bookmarkEnd w:id="20"/>
      <w:bookmarkEnd w:id="21"/>
      <w:bookmarkEnd w:id="22"/>
      <w:bookmarkEnd w:id="23"/>
      <w:bookmarkEnd w:id="24"/>
      <w:r>
        <w:rPr>
          <w:rFonts w:asciiTheme="minorEastAsia" w:hAnsiTheme="minorEastAsia" w:eastAsiaTheme="minorEastAsia"/>
        </w:rPr>
        <w:fldChar w:fldCharType="begin"/>
      </w:r>
      <w:r>
        <w:rPr>
          <w:rFonts w:asciiTheme="minorEastAsia" w:hAnsiTheme="minorEastAsia" w:eastAsiaTheme="minorEastAsia"/>
        </w:rPr>
        <w:instrText xml:space="preserve"> TOC \o "1-2" \h \z \u </w:instrText>
      </w:r>
      <w:r>
        <w:rPr>
          <w:rFonts w:asciiTheme="minorEastAsia" w:hAnsiTheme="minorEastAsia" w:eastAsiaTheme="minorEastAsia"/>
        </w:rPr>
        <w:fldChar w:fldCharType="separate"/>
      </w:r>
    </w:p>
    <w:p>
      <w:pPr>
        <w:pStyle w:val="19"/>
        <w:tabs>
          <w:tab w:val="left" w:pos="440"/>
          <w:tab w:val="right" w:leader="dot" w:pos="8303"/>
        </w:tabs>
        <w:spacing w:before="120" w:after="120"/>
        <w:rPr>
          <w:rFonts w:eastAsiaTheme="minorEastAsia" w:cstheme="minorBidi"/>
          <w:b w:val="0"/>
          <w:kern w:val="2"/>
          <w:sz w:val="21"/>
        </w:rPr>
      </w:pPr>
      <w:r>
        <w:fldChar w:fldCharType="begin"/>
      </w:r>
      <w:r>
        <w:instrText xml:space="preserve"> HYPERLINK \l "_Toc137216218" </w:instrText>
      </w:r>
      <w:r>
        <w:fldChar w:fldCharType="separate"/>
      </w:r>
      <w:r>
        <w:rPr>
          <w:rStyle w:val="31"/>
          <w:rFonts w:ascii="宋体" w:hAnsi="宋体" w:cs="宋体"/>
          <w:u w:color="ED7D31" w:themeColor="accent2"/>
        </w:rPr>
        <w:t>1</w:t>
      </w:r>
      <w:r>
        <w:rPr>
          <w:rFonts w:eastAsiaTheme="minorEastAsia" w:cstheme="minorBidi"/>
          <w:b w:val="0"/>
          <w:kern w:val="2"/>
          <w:sz w:val="21"/>
        </w:rPr>
        <w:tab/>
      </w:r>
      <w:r>
        <w:rPr>
          <w:rStyle w:val="31"/>
          <w:rFonts w:ascii="宋体" w:hAnsi="宋体" w:cs="宋体"/>
        </w:rPr>
        <w:t>总    则</w:t>
      </w:r>
      <w:r>
        <w:tab/>
      </w:r>
      <w:r>
        <w:fldChar w:fldCharType="begin"/>
      </w:r>
      <w:r>
        <w:instrText xml:space="preserve"> PAGEREF _Toc137216218 \h </w:instrText>
      </w:r>
      <w:r>
        <w:fldChar w:fldCharType="separate"/>
      </w:r>
      <w:r>
        <w:t>1</w:t>
      </w:r>
      <w:r>
        <w:fldChar w:fldCharType="end"/>
      </w:r>
      <w:r>
        <w:fldChar w:fldCharType="end"/>
      </w:r>
    </w:p>
    <w:p>
      <w:pPr>
        <w:pStyle w:val="19"/>
        <w:tabs>
          <w:tab w:val="left" w:pos="440"/>
          <w:tab w:val="right" w:leader="dot" w:pos="8303"/>
        </w:tabs>
        <w:spacing w:before="120" w:after="120"/>
        <w:rPr>
          <w:rFonts w:eastAsiaTheme="minorEastAsia" w:cstheme="minorBidi"/>
          <w:b w:val="0"/>
          <w:kern w:val="2"/>
          <w:sz w:val="21"/>
        </w:rPr>
      </w:pPr>
      <w:r>
        <w:fldChar w:fldCharType="begin"/>
      </w:r>
      <w:r>
        <w:instrText xml:space="preserve"> HYPERLINK \l "_Toc137216219" </w:instrText>
      </w:r>
      <w:r>
        <w:fldChar w:fldCharType="separate"/>
      </w:r>
      <w:r>
        <w:rPr>
          <w:rStyle w:val="31"/>
          <w:rFonts w:ascii="宋体" w:hAnsi="宋体" w:cs="宋体"/>
          <w:u w:color="ED7D31" w:themeColor="accent2"/>
        </w:rPr>
        <w:t>2</w:t>
      </w:r>
      <w:r>
        <w:rPr>
          <w:rFonts w:eastAsiaTheme="minorEastAsia" w:cstheme="minorBidi"/>
          <w:b w:val="0"/>
          <w:kern w:val="2"/>
          <w:sz w:val="21"/>
        </w:rPr>
        <w:tab/>
      </w:r>
      <w:r>
        <w:rPr>
          <w:rStyle w:val="31"/>
          <w:rFonts w:ascii="宋体" w:hAnsi="宋体" w:cs="宋体"/>
        </w:rPr>
        <w:t>术语和代号</w:t>
      </w:r>
      <w:r>
        <w:tab/>
      </w:r>
      <w:r>
        <w:fldChar w:fldCharType="begin"/>
      </w:r>
      <w:r>
        <w:instrText xml:space="preserve"> PAGEREF _Toc137216219 \h </w:instrText>
      </w:r>
      <w:r>
        <w:fldChar w:fldCharType="separate"/>
      </w:r>
      <w:r>
        <w:t>2</w:t>
      </w:r>
      <w:r>
        <w:fldChar w:fldCharType="end"/>
      </w:r>
      <w:r>
        <w:fldChar w:fldCharType="end"/>
      </w:r>
    </w:p>
    <w:p>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"_Toc137216220" </w:instrText>
      </w:r>
      <w:r>
        <w:fldChar w:fldCharType="separate"/>
      </w:r>
      <w:r>
        <w:rPr>
          <w:rStyle w:val="31"/>
          <w:rFonts w:ascii="宋体" w:hAnsi="宋体" w:eastAsia="宋体" w:cs="宋体"/>
        </w:rPr>
        <w:t>2.1 术语</w:t>
      </w:r>
      <w:r>
        <w:tab/>
      </w:r>
      <w:r>
        <w:fldChar w:fldCharType="begin"/>
      </w:r>
      <w:r>
        <w:instrText xml:space="preserve"> PAGEREF _Toc137216220 \h </w:instrText>
      </w:r>
      <w:r>
        <w:fldChar w:fldCharType="separate"/>
      </w:r>
      <w:r>
        <w:t>2</w:t>
      </w:r>
      <w:r>
        <w:fldChar w:fldCharType="end"/>
      </w:r>
      <w:r>
        <w:fldChar w:fldCharType="end"/>
      </w:r>
    </w:p>
    <w:p>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"_Toc137216221" </w:instrText>
      </w:r>
      <w:r>
        <w:fldChar w:fldCharType="separate"/>
      </w:r>
      <w:r>
        <w:rPr>
          <w:rStyle w:val="31"/>
          <w:rFonts w:ascii="宋体" w:hAnsi="宋体" w:eastAsia="宋体" w:cs="宋体"/>
        </w:rPr>
        <w:t>2.2 代号</w:t>
      </w:r>
      <w:r>
        <w:tab/>
      </w:r>
      <w:r>
        <w:fldChar w:fldCharType="begin"/>
      </w:r>
      <w:r>
        <w:instrText xml:space="preserve"> PAGEREF _Toc137216221 \h </w:instrText>
      </w:r>
      <w:r>
        <w:fldChar w:fldCharType="separate"/>
      </w:r>
      <w:r>
        <w:t>3</w:t>
      </w:r>
      <w:r>
        <w:fldChar w:fldCharType="end"/>
      </w:r>
      <w:r>
        <w:fldChar w:fldCharType="end"/>
      </w:r>
    </w:p>
    <w:p>
      <w:pPr>
        <w:pStyle w:val="19"/>
        <w:tabs>
          <w:tab w:val="left" w:pos="440"/>
          <w:tab w:val="right" w:leader="dot" w:pos="8303"/>
        </w:tabs>
        <w:spacing w:before="120" w:after="120"/>
        <w:rPr>
          <w:rFonts w:eastAsiaTheme="minorEastAsia" w:cstheme="minorBidi"/>
          <w:b w:val="0"/>
          <w:kern w:val="2"/>
          <w:sz w:val="21"/>
        </w:rPr>
      </w:pPr>
      <w:r>
        <w:fldChar w:fldCharType="begin"/>
      </w:r>
      <w:r>
        <w:instrText xml:space="preserve"> HYPERLINK \l "_Toc137216222" </w:instrText>
      </w:r>
      <w:r>
        <w:fldChar w:fldCharType="separate"/>
      </w:r>
      <w:r>
        <w:rPr>
          <w:rStyle w:val="31"/>
          <w:rFonts w:ascii="宋体" w:hAnsi="宋体" w:cs="宋体"/>
          <w:u w:color="ED7D31" w:themeColor="accent2"/>
        </w:rPr>
        <w:t>3</w:t>
      </w:r>
      <w:r>
        <w:rPr>
          <w:rFonts w:eastAsiaTheme="minorEastAsia" w:cstheme="minorBidi"/>
          <w:b w:val="0"/>
          <w:kern w:val="2"/>
          <w:sz w:val="21"/>
        </w:rPr>
        <w:tab/>
      </w:r>
      <w:r>
        <w:rPr>
          <w:rStyle w:val="31"/>
          <w:rFonts w:ascii="宋体" w:hAnsi="宋体" w:cs="宋体"/>
        </w:rPr>
        <w:t>基本规定</w:t>
      </w:r>
      <w:r>
        <w:tab/>
      </w:r>
      <w:r>
        <w:fldChar w:fldCharType="begin"/>
      </w:r>
      <w:r>
        <w:instrText xml:space="preserve"> PAGEREF _Toc137216222 \h </w:instrText>
      </w:r>
      <w:r>
        <w:fldChar w:fldCharType="separate"/>
      </w:r>
      <w:r>
        <w:t>4</w:t>
      </w:r>
      <w:r>
        <w:fldChar w:fldCharType="end"/>
      </w:r>
      <w:r>
        <w:fldChar w:fldCharType="end"/>
      </w:r>
    </w:p>
    <w:p>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"_Toc137216223" </w:instrText>
      </w:r>
      <w:r>
        <w:fldChar w:fldCharType="separate"/>
      </w:r>
      <w:r>
        <w:rPr>
          <w:rStyle w:val="31"/>
          <w:rFonts w:ascii="宋体" w:hAnsi="宋体" w:eastAsia="宋体"/>
        </w:rPr>
        <w:t>3.1 一般规定</w:t>
      </w:r>
      <w:r>
        <w:tab/>
      </w:r>
      <w:r>
        <w:fldChar w:fldCharType="begin"/>
      </w:r>
      <w:r>
        <w:instrText xml:space="preserve"> PAGEREF _Toc137216223 \h </w:instrText>
      </w:r>
      <w:r>
        <w:fldChar w:fldCharType="separate"/>
      </w:r>
      <w:r>
        <w:t>4</w:t>
      </w:r>
      <w:r>
        <w:fldChar w:fldCharType="end"/>
      </w:r>
      <w:r>
        <w:fldChar w:fldCharType="end"/>
      </w:r>
    </w:p>
    <w:p>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"_Toc137216224" </w:instrText>
      </w:r>
      <w:r>
        <w:fldChar w:fldCharType="separate"/>
      </w:r>
      <w:r>
        <w:rPr>
          <w:rStyle w:val="31"/>
          <w:rFonts w:ascii="宋体" w:hAnsi="宋体" w:eastAsia="宋体"/>
        </w:rPr>
        <w:t>3.2 主要设备、材料、成品和半成品进场验收</w:t>
      </w:r>
      <w:r>
        <w:tab/>
      </w:r>
      <w:r>
        <w:fldChar w:fldCharType="begin"/>
      </w:r>
      <w:r>
        <w:instrText xml:space="preserve"> PAGEREF _Toc137216224 \h </w:instrText>
      </w:r>
      <w:r>
        <w:fldChar w:fldCharType="separate"/>
      </w:r>
      <w:r>
        <w:t>5</w:t>
      </w:r>
      <w:r>
        <w:fldChar w:fldCharType="end"/>
      </w:r>
      <w:r>
        <w:fldChar w:fldCharType="end"/>
      </w:r>
    </w:p>
    <w:p>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"_Toc137216225" </w:instrText>
      </w:r>
      <w:r>
        <w:fldChar w:fldCharType="separate"/>
      </w:r>
      <w:r>
        <w:rPr>
          <w:rStyle w:val="31"/>
          <w:rFonts w:ascii="宋体" w:hAnsi="宋体" w:eastAsia="宋体"/>
        </w:rPr>
        <w:t>3.3 工序交接确认</w:t>
      </w:r>
      <w:r>
        <w:tab/>
      </w:r>
      <w:r>
        <w:fldChar w:fldCharType="begin"/>
      </w:r>
      <w:r>
        <w:instrText xml:space="preserve"> PAGEREF _Toc137216225 \h </w:instrText>
      </w:r>
      <w:r>
        <w:fldChar w:fldCharType="separate"/>
      </w:r>
      <w:r>
        <w:t>7</w:t>
      </w:r>
      <w:r>
        <w:fldChar w:fldCharType="end"/>
      </w:r>
      <w:r>
        <w:fldChar w:fldCharType="end"/>
      </w:r>
    </w:p>
    <w:p>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"_Toc137216226" </w:instrText>
      </w:r>
      <w:r>
        <w:fldChar w:fldCharType="separate"/>
      </w:r>
      <w:r>
        <w:rPr>
          <w:rStyle w:val="31"/>
          <w:rFonts w:ascii="宋体" w:hAnsi="宋体" w:eastAsia="宋体"/>
        </w:rPr>
        <w:t>3.4 分部（子分部）工程验收</w:t>
      </w:r>
      <w:r>
        <w:tab/>
      </w:r>
      <w:r>
        <w:fldChar w:fldCharType="begin"/>
      </w:r>
      <w:r>
        <w:instrText xml:space="preserve"> PAGEREF _Toc137216226 \h </w:instrText>
      </w:r>
      <w:r>
        <w:fldChar w:fldCharType="separate"/>
      </w:r>
      <w:r>
        <w:t>8</w:t>
      </w:r>
      <w:r>
        <w:fldChar w:fldCharType="end"/>
      </w:r>
      <w:r>
        <w:fldChar w:fldCharType="end"/>
      </w:r>
    </w:p>
    <w:p>
      <w:pPr>
        <w:pStyle w:val="19"/>
        <w:tabs>
          <w:tab w:val="left" w:pos="440"/>
          <w:tab w:val="right" w:leader="dot" w:pos="8303"/>
        </w:tabs>
        <w:spacing w:before="120" w:after="120"/>
        <w:rPr>
          <w:rFonts w:eastAsiaTheme="minorEastAsia" w:cstheme="minorBidi"/>
          <w:b w:val="0"/>
          <w:kern w:val="2"/>
          <w:sz w:val="21"/>
        </w:rPr>
      </w:pPr>
      <w:r>
        <w:fldChar w:fldCharType="begin"/>
      </w:r>
      <w:r>
        <w:instrText xml:space="preserve"> HYPERLINK \l "_Toc137216227" </w:instrText>
      </w:r>
      <w:r>
        <w:fldChar w:fldCharType="separate"/>
      </w:r>
      <w:r>
        <w:rPr>
          <w:rStyle w:val="31"/>
          <w:rFonts w:asciiTheme="minorEastAsia" w:hAnsiTheme="minorEastAsia"/>
          <w:u w:color="ED7D31" w:themeColor="accent2"/>
        </w:rPr>
        <w:t>4</w:t>
      </w:r>
      <w:r>
        <w:rPr>
          <w:rFonts w:eastAsiaTheme="minorEastAsia" w:cstheme="minorBidi"/>
          <w:b w:val="0"/>
          <w:kern w:val="2"/>
          <w:sz w:val="21"/>
        </w:rPr>
        <w:tab/>
      </w:r>
      <w:r>
        <w:rPr>
          <w:rStyle w:val="31"/>
          <w:rFonts w:asciiTheme="minorEastAsia" w:hAnsiTheme="minorEastAsia"/>
        </w:rPr>
        <w:t>电源</w:t>
      </w:r>
      <w:r>
        <w:tab/>
      </w:r>
      <w:r>
        <w:fldChar w:fldCharType="begin"/>
      </w:r>
      <w:r>
        <w:instrText xml:space="preserve"> PAGEREF _Toc137216227 \h </w:instrText>
      </w:r>
      <w:r>
        <w:fldChar w:fldCharType="separate"/>
      </w:r>
      <w:r>
        <w:t>10</w:t>
      </w:r>
      <w:r>
        <w:fldChar w:fldCharType="end"/>
      </w:r>
      <w:r>
        <w:fldChar w:fldCharType="end"/>
      </w:r>
    </w:p>
    <w:p>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"_Toc137216228" </w:instrText>
      </w:r>
      <w:r>
        <w:fldChar w:fldCharType="separate"/>
      </w:r>
      <w:r>
        <w:rPr>
          <w:rStyle w:val="31"/>
          <w:rFonts w:ascii="宋体" w:hAnsi="宋体" w:eastAsia="宋体" w:cs="宋体"/>
        </w:rPr>
        <w:t>4.1 变压器、箱式变电所、光伏发电设备安装</w:t>
      </w:r>
      <w:r>
        <w:tab/>
      </w:r>
      <w:r>
        <w:fldChar w:fldCharType="begin"/>
      </w:r>
      <w:r>
        <w:instrText xml:space="preserve"> PAGEREF _Toc137216228 \h </w:instrText>
      </w:r>
      <w:r>
        <w:fldChar w:fldCharType="separate"/>
      </w:r>
      <w:r>
        <w:t>10</w:t>
      </w:r>
      <w:r>
        <w:fldChar w:fldCharType="end"/>
      </w:r>
      <w:r>
        <w:fldChar w:fldCharType="end"/>
      </w:r>
    </w:p>
    <w:p>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"_Toc137216229" </w:instrText>
      </w:r>
      <w:r>
        <w:fldChar w:fldCharType="separate"/>
      </w:r>
      <w:r>
        <w:rPr>
          <w:rStyle w:val="31"/>
          <w:rFonts w:ascii="宋体" w:hAnsi="宋体" w:eastAsia="宋体" w:cs="宋体"/>
        </w:rPr>
        <w:t>4.2 成套配电柜、控制柜（台、箱）和配电箱（盘）安装</w:t>
      </w:r>
      <w:r>
        <w:tab/>
      </w:r>
      <w:r>
        <w:fldChar w:fldCharType="begin"/>
      </w:r>
      <w:r>
        <w:instrText xml:space="preserve"> PAGEREF _Toc137216229 \h </w:instrText>
      </w:r>
      <w:r>
        <w:fldChar w:fldCharType="separate"/>
      </w:r>
      <w:r>
        <w:t>14</w:t>
      </w:r>
      <w:r>
        <w:fldChar w:fldCharType="end"/>
      </w:r>
      <w:r>
        <w:fldChar w:fldCharType="end"/>
      </w:r>
    </w:p>
    <w:p>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"_Toc137216230" </w:instrText>
      </w:r>
      <w:r>
        <w:fldChar w:fldCharType="separate"/>
      </w:r>
      <w:r>
        <w:rPr>
          <w:rStyle w:val="31"/>
          <w:rFonts w:ascii="宋体" w:hAnsi="宋体" w:eastAsia="宋体" w:cs="宋体"/>
        </w:rPr>
        <w:t>4.3 备用电源</w:t>
      </w:r>
      <w:r>
        <w:tab/>
      </w:r>
      <w:r>
        <w:fldChar w:fldCharType="begin"/>
      </w:r>
      <w:r>
        <w:instrText xml:space="preserve"> PAGEREF _Toc137216230 \h </w:instrText>
      </w:r>
      <w:r>
        <w:fldChar w:fldCharType="separate"/>
      </w:r>
      <w:r>
        <w:t>19</w:t>
      </w:r>
      <w:r>
        <w:fldChar w:fldCharType="end"/>
      </w:r>
      <w:r>
        <w:fldChar w:fldCharType="end"/>
      </w:r>
    </w:p>
    <w:p>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"_Toc137216231" </w:instrText>
      </w:r>
      <w:r>
        <w:fldChar w:fldCharType="separate"/>
      </w:r>
      <w:r>
        <w:rPr>
          <w:rStyle w:val="31"/>
          <w:rFonts w:ascii="宋体" w:hAnsi="宋体" w:eastAsia="宋体" w:cs="宋体"/>
        </w:rPr>
        <w:t>4.4 消防电源</w:t>
      </w:r>
      <w:r>
        <w:tab/>
      </w:r>
      <w:r>
        <w:fldChar w:fldCharType="begin"/>
      </w:r>
      <w:r>
        <w:instrText xml:space="preserve"> PAGEREF _Toc137216231 \h </w:instrText>
      </w:r>
      <w:r>
        <w:fldChar w:fldCharType="separate"/>
      </w:r>
      <w:r>
        <w:t>22</w:t>
      </w:r>
      <w:r>
        <w:fldChar w:fldCharType="end"/>
      </w:r>
      <w:r>
        <w:fldChar w:fldCharType="end"/>
      </w:r>
    </w:p>
    <w:p>
      <w:pPr>
        <w:pStyle w:val="19"/>
        <w:tabs>
          <w:tab w:val="left" w:pos="440"/>
          <w:tab w:val="right" w:leader="dot" w:pos="8303"/>
        </w:tabs>
        <w:spacing w:before="120" w:after="120"/>
        <w:rPr>
          <w:rFonts w:eastAsiaTheme="minorEastAsia" w:cstheme="minorBidi"/>
          <w:b w:val="0"/>
          <w:kern w:val="2"/>
          <w:sz w:val="21"/>
        </w:rPr>
      </w:pPr>
      <w:r>
        <w:fldChar w:fldCharType="begin"/>
      </w:r>
      <w:r>
        <w:instrText xml:space="preserve"> HYPERLINK \l "_Toc137216232" </w:instrText>
      </w:r>
      <w:r>
        <w:fldChar w:fldCharType="separate"/>
      </w:r>
      <w:r>
        <w:rPr>
          <w:rStyle w:val="31"/>
          <w:rFonts w:asciiTheme="minorEastAsia" w:hAnsiTheme="minorEastAsia"/>
          <w:u w:color="ED7D31" w:themeColor="accent2"/>
        </w:rPr>
        <w:t>5</w:t>
      </w:r>
      <w:r>
        <w:rPr>
          <w:rFonts w:eastAsiaTheme="minorEastAsia" w:cstheme="minorBidi"/>
          <w:b w:val="0"/>
          <w:kern w:val="2"/>
          <w:sz w:val="21"/>
        </w:rPr>
        <w:tab/>
      </w:r>
      <w:r>
        <w:rPr>
          <w:rStyle w:val="31"/>
          <w:rFonts w:asciiTheme="minorEastAsia" w:hAnsiTheme="minorEastAsia"/>
        </w:rPr>
        <w:t>管线</w:t>
      </w:r>
      <w:r>
        <w:tab/>
      </w:r>
      <w:r>
        <w:fldChar w:fldCharType="begin"/>
      </w:r>
      <w:r>
        <w:instrText xml:space="preserve"> PAGEREF _Toc137216232 \h </w:instrText>
      </w:r>
      <w:r>
        <w:fldChar w:fldCharType="separate"/>
      </w:r>
      <w:r>
        <w:t>23</w:t>
      </w:r>
      <w:r>
        <w:fldChar w:fldCharType="end"/>
      </w:r>
      <w:r>
        <w:fldChar w:fldCharType="end"/>
      </w:r>
    </w:p>
    <w:p>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"_Toc137216233" </w:instrText>
      </w:r>
      <w:r>
        <w:fldChar w:fldCharType="separate"/>
      </w:r>
      <w:r>
        <w:rPr>
          <w:rStyle w:val="31"/>
          <w:rFonts w:asciiTheme="minorEastAsia" w:hAnsiTheme="minorEastAsia"/>
        </w:rPr>
        <w:t>5.1 母线槽安装</w:t>
      </w:r>
      <w:r>
        <w:tab/>
      </w:r>
      <w:r>
        <w:fldChar w:fldCharType="begin"/>
      </w:r>
      <w:r>
        <w:instrText xml:space="preserve"> PAGEREF _Toc137216233 \h </w:instrText>
      </w:r>
      <w:r>
        <w:fldChar w:fldCharType="separate"/>
      </w:r>
      <w:r>
        <w:t>23</w:t>
      </w:r>
      <w:r>
        <w:fldChar w:fldCharType="end"/>
      </w:r>
      <w:r>
        <w:fldChar w:fldCharType="end"/>
      </w:r>
    </w:p>
    <w:p>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"_Toc137216234" </w:instrText>
      </w:r>
      <w:r>
        <w:fldChar w:fldCharType="separate"/>
      </w:r>
      <w:r>
        <w:rPr>
          <w:rStyle w:val="31"/>
          <w:rFonts w:asciiTheme="minorEastAsia" w:hAnsiTheme="minorEastAsia"/>
        </w:rPr>
        <w:t>5.2 梯架、托盘和槽盒安装</w:t>
      </w:r>
      <w:r>
        <w:tab/>
      </w:r>
      <w:r>
        <w:fldChar w:fldCharType="begin"/>
      </w:r>
      <w:r>
        <w:instrText xml:space="preserve"> PAGEREF _Toc137216234 \h </w:instrText>
      </w:r>
      <w:r>
        <w:fldChar w:fldCharType="separate"/>
      </w:r>
      <w:r>
        <w:t>26</w:t>
      </w:r>
      <w:r>
        <w:fldChar w:fldCharType="end"/>
      </w:r>
      <w:r>
        <w:fldChar w:fldCharType="end"/>
      </w:r>
    </w:p>
    <w:p>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"_Toc137216235" </w:instrText>
      </w:r>
      <w:r>
        <w:fldChar w:fldCharType="separate"/>
      </w:r>
      <w:r>
        <w:rPr>
          <w:rStyle w:val="31"/>
          <w:rFonts w:asciiTheme="minorEastAsia" w:hAnsiTheme="minorEastAsia"/>
        </w:rPr>
        <w:t>5.3 导管敷设</w:t>
      </w:r>
      <w:r>
        <w:tab/>
      </w:r>
      <w:r>
        <w:fldChar w:fldCharType="begin"/>
      </w:r>
      <w:r>
        <w:instrText xml:space="preserve"> PAGEREF _Toc137216235 \h </w:instrText>
      </w:r>
      <w:r>
        <w:fldChar w:fldCharType="separate"/>
      </w:r>
      <w:r>
        <w:t>28</w:t>
      </w:r>
      <w:r>
        <w:fldChar w:fldCharType="end"/>
      </w:r>
      <w:r>
        <w:fldChar w:fldCharType="end"/>
      </w:r>
    </w:p>
    <w:p>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"_Toc137216236" </w:instrText>
      </w:r>
      <w:r>
        <w:fldChar w:fldCharType="separate"/>
      </w:r>
      <w:r>
        <w:rPr>
          <w:rStyle w:val="31"/>
          <w:rFonts w:asciiTheme="minorEastAsia" w:hAnsiTheme="minorEastAsia"/>
        </w:rPr>
        <w:t>5.4 电缆敷设</w:t>
      </w:r>
      <w:r>
        <w:tab/>
      </w:r>
      <w:r>
        <w:fldChar w:fldCharType="begin"/>
      </w:r>
      <w:r>
        <w:instrText xml:space="preserve"> PAGEREF _Toc137216236 \h </w:instrText>
      </w:r>
      <w:r>
        <w:fldChar w:fldCharType="separate"/>
      </w:r>
      <w:r>
        <w:t>33</w:t>
      </w:r>
      <w:r>
        <w:fldChar w:fldCharType="end"/>
      </w:r>
      <w:r>
        <w:fldChar w:fldCharType="end"/>
      </w:r>
    </w:p>
    <w:p>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"_Toc137216237" </w:instrText>
      </w:r>
      <w:r>
        <w:fldChar w:fldCharType="separate"/>
      </w:r>
      <w:r>
        <w:rPr>
          <w:rStyle w:val="31"/>
          <w:rFonts w:asciiTheme="minorEastAsia" w:hAnsiTheme="minorEastAsia"/>
        </w:rPr>
        <w:t>5.5 矿物电缆敷设</w:t>
      </w:r>
      <w:r>
        <w:tab/>
      </w:r>
      <w:r>
        <w:fldChar w:fldCharType="begin"/>
      </w:r>
      <w:r>
        <w:instrText xml:space="preserve"> PAGEREF _Toc137216237 \h </w:instrText>
      </w:r>
      <w:r>
        <w:fldChar w:fldCharType="separate"/>
      </w:r>
      <w:r>
        <w:t>40</w:t>
      </w:r>
      <w:r>
        <w:fldChar w:fldCharType="end"/>
      </w:r>
      <w:r>
        <w:fldChar w:fldCharType="end"/>
      </w:r>
    </w:p>
    <w:p>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"_Toc137216238" </w:instrText>
      </w:r>
      <w:r>
        <w:fldChar w:fldCharType="separate"/>
      </w:r>
      <w:r>
        <w:rPr>
          <w:rStyle w:val="31"/>
          <w:rFonts w:asciiTheme="minorEastAsia" w:hAnsiTheme="minorEastAsia"/>
        </w:rPr>
        <w:t>5.6 预分支电缆</w:t>
      </w:r>
      <w:r>
        <w:tab/>
      </w:r>
      <w:r>
        <w:fldChar w:fldCharType="begin"/>
      </w:r>
      <w:r>
        <w:instrText xml:space="preserve"> PAGEREF _Toc137216238 \h </w:instrText>
      </w:r>
      <w:r>
        <w:fldChar w:fldCharType="separate"/>
      </w:r>
      <w:r>
        <w:t>41</w:t>
      </w:r>
      <w:r>
        <w:fldChar w:fldCharType="end"/>
      </w:r>
      <w:r>
        <w:fldChar w:fldCharType="end"/>
      </w:r>
    </w:p>
    <w:p>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"_Toc137216239" </w:instrText>
      </w:r>
      <w:r>
        <w:fldChar w:fldCharType="separate"/>
      </w:r>
      <w:r>
        <w:rPr>
          <w:rStyle w:val="31"/>
          <w:rFonts w:asciiTheme="minorEastAsia" w:hAnsiTheme="minorEastAsia"/>
        </w:rPr>
        <w:t>5.7 导管内穿线和槽盒内敷线</w:t>
      </w:r>
      <w:r>
        <w:tab/>
      </w:r>
      <w:r>
        <w:fldChar w:fldCharType="begin"/>
      </w:r>
      <w:r>
        <w:instrText xml:space="preserve"> PAGEREF _Toc137216239 \h </w:instrText>
      </w:r>
      <w:r>
        <w:fldChar w:fldCharType="separate"/>
      </w:r>
      <w:r>
        <w:t>42</w:t>
      </w:r>
      <w:r>
        <w:fldChar w:fldCharType="end"/>
      </w:r>
      <w:r>
        <w:fldChar w:fldCharType="end"/>
      </w:r>
    </w:p>
    <w:p>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"_Toc137216240" </w:instrText>
      </w:r>
      <w:r>
        <w:fldChar w:fldCharType="separate"/>
      </w:r>
      <w:r>
        <w:rPr>
          <w:rStyle w:val="31"/>
          <w:rFonts w:asciiTheme="minorEastAsia" w:hAnsiTheme="minorEastAsia"/>
        </w:rPr>
        <w:t>5.8 塑料护套线直敷布线</w:t>
      </w:r>
      <w:r>
        <w:tab/>
      </w:r>
      <w:r>
        <w:fldChar w:fldCharType="begin"/>
      </w:r>
      <w:r>
        <w:instrText xml:space="preserve"> PAGEREF _Toc137216240 \h </w:instrText>
      </w:r>
      <w:r>
        <w:fldChar w:fldCharType="separate"/>
      </w:r>
      <w:r>
        <w:t>44</w:t>
      </w:r>
      <w:r>
        <w:fldChar w:fldCharType="end"/>
      </w:r>
      <w:r>
        <w:fldChar w:fldCharType="end"/>
      </w:r>
    </w:p>
    <w:p>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"_Toc137216241" </w:instrText>
      </w:r>
      <w:r>
        <w:fldChar w:fldCharType="separate"/>
      </w:r>
      <w:r>
        <w:rPr>
          <w:rStyle w:val="31"/>
          <w:rFonts w:asciiTheme="minorEastAsia" w:hAnsiTheme="minorEastAsia"/>
        </w:rPr>
        <w:t>5.9 钢索配线</w:t>
      </w:r>
      <w:r>
        <w:tab/>
      </w:r>
      <w:r>
        <w:fldChar w:fldCharType="begin"/>
      </w:r>
      <w:r>
        <w:instrText xml:space="preserve"> PAGEREF _Toc137216241 \h </w:instrText>
      </w:r>
      <w:r>
        <w:fldChar w:fldCharType="separate"/>
      </w:r>
      <w:r>
        <w:t>45</w:t>
      </w:r>
      <w:r>
        <w:fldChar w:fldCharType="end"/>
      </w:r>
      <w:r>
        <w:fldChar w:fldCharType="end"/>
      </w:r>
    </w:p>
    <w:p>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"_Toc137216242" </w:instrText>
      </w:r>
      <w:r>
        <w:fldChar w:fldCharType="separate"/>
      </w:r>
      <w:r>
        <w:rPr>
          <w:rStyle w:val="31"/>
          <w:rFonts w:asciiTheme="minorEastAsia" w:hAnsiTheme="minorEastAsia"/>
        </w:rPr>
        <w:t>5.10 电缆头制作、导线连接和线路绝缘测试</w:t>
      </w:r>
      <w:r>
        <w:tab/>
      </w:r>
      <w:r>
        <w:fldChar w:fldCharType="begin"/>
      </w:r>
      <w:r>
        <w:instrText xml:space="preserve"> PAGEREF _Toc137216242 \h </w:instrText>
      </w:r>
      <w:r>
        <w:fldChar w:fldCharType="separate"/>
      </w:r>
      <w:r>
        <w:t>46</w:t>
      </w:r>
      <w:r>
        <w:fldChar w:fldCharType="end"/>
      </w:r>
      <w:r>
        <w:fldChar w:fldCharType="end"/>
      </w:r>
    </w:p>
    <w:p>
      <w:pPr>
        <w:pStyle w:val="19"/>
        <w:tabs>
          <w:tab w:val="left" w:pos="440"/>
          <w:tab w:val="right" w:leader="dot" w:pos="8303"/>
        </w:tabs>
        <w:spacing w:before="120" w:after="120"/>
        <w:rPr>
          <w:rFonts w:eastAsiaTheme="minorEastAsia" w:cstheme="minorBidi"/>
          <w:b w:val="0"/>
          <w:kern w:val="2"/>
          <w:sz w:val="21"/>
        </w:rPr>
      </w:pPr>
      <w:r>
        <w:fldChar w:fldCharType="begin"/>
      </w:r>
      <w:r>
        <w:instrText xml:space="preserve"> HYPERLINK \l "_Toc137216243" </w:instrText>
      </w:r>
      <w:r>
        <w:fldChar w:fldCharType="separate"/>
      </w:r>
      <w:r>
        <w:rPr>
          <w:rStyle w:val="31"/>
          <w:rFonts w:asciiTheme="minorEastAsia" w:hAnsiTheme="minorEastAsia"/>
          <w:u w:color="ED7D31" w:themeColor="accent2"/>
        </w:rPr>
        <w:t>6</w:t>
      </w:r>
      <w:r>
        <w:rPr>
          <w:rFonts w:eastAsiaTheme="minorEastAsia" w:cstheme="minorBidi"/>
          <w:b w:val="0"/>
          <w:kern w:val="2"/>
          <w:sz w:val="21"/>
        </w:rPr>
        <w:tab/>
      </w:r>
      <w:r>
        <w:rPr>
          <w:rStyle w:val="31"/>
          <w:rFonts w:asciiTheme="minorEastAsia" w:hAnsiTheme="minorEastAsia"/>
        </w:rPr>
        <w:t>动力设备</w:t>
      </w:r>
      <w:r>
        <w:tab/>
      </w:r>
      <w:r>
        <w:fldChar w:fldCharType="begin"/>
      </w:r>
      <w:r>
        <w:instrText xml:space="preserve"> PAGEREF _Toc137216243 \h </w:instrText>
      </w:r>
      <w:r>
        <w:fldChar w:fldCharType="separate"/>
      </w:r>
      <w:r>
        <w:t>49</w:t>
      </w:r>
      <w:r>
        <w:fldChar w:fldCharType="end"/>
      </w:r>
      <w:r>
        <w:fldChar w:fldCharType="end"/>
      </w:r>
    </w:p>
    <w:p>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"_Toc137216244" </w:instrText>
      </w:r>
      <w:r>
        <w:fldChar w:fldCharType="separate"/>
      </w:r>
      <w:r>
        <w:rPr>
          <w:rStyle w:val="31"/>
        </w:rPr>
        <w:t>6.1 电动机、电加热器及电动执行机构检查接线</w:t>
      </w:r>
      <w:r>
        <w:tab/>
      </w:r>
      <w:r>
        <w:fldChar w:fldCharType="begin"/>
      </w:r>
      <w:r>
        <w:instrText xml:space="preserve"> PAGEREF _Toc137216244 \h </w:instrText>
      </w:r>
      <w:r>
        <w:fldChar w:fldCharType="separate"/>
      </w:r>
      <w:r>
        <w:t>49</w:t>
      </w:r>
      <w:r>
        <w:fldChar w:fldCharType="end"/>
      </w:r>
      <w:r>
        <w:fldChar w:fldCharType="end"/>
      </w:r>
    </w:p>
    <w:p>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"_Toc137216245" </w:instrText>
      </w:r>
      <w:r>
        <w:fldChar w:fldCharType="separate"/>
      </w:r>
      <w:r>
        <w:rPr>
          <w:rStyle w:val="31"/>
          <w:rFonts w:asciiTheme="minorEastAsia" w:hAnsiTheme="minorEastAsia"/>
        </w:rPr>
        <w:t>6.2 市政、轨道交通工程特殊动力设备</w:t>
      </w:r>
      <w:r>
        <w:tab/>
      </w:r>
      <w:r>
        <w:fldChar w:fldCharType="begin"/>
      </w:r>
      <w:r>
        <w:instrText xml:space="preserve"> PAGEREF _Toc137216245 \h </w:instrText>
      </w:r>
      <w:r>
        <w:fldChar w:fldCharType="separate"/>
      </w:r>
      <w:r>
        <w:t>51</w:t>
      </w:r>
      <w:r>
        <w:fldChar w:fldCharType="end"/>
      </w:r>
      <w:r>
        <w:fldChar w:fldCharType="end"/>
      </w:r>
    </w:p>
    <w:p>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"_Toc137216246" </w:instrText>
      </w:r>
      <w:r>
        <w:fldChar w:fldCharType="separate"/>
      </w:r>
      <w:r>
        <w:rPr>
          <w:rStyle w:val="31"/>
          <w:rFonts w:asciiTheme="minorEastAsia" w:hAnsiTheme="minorEastAsia"/>
        </w:rPr>
        <w:t>6.3 消防设备安装</w:t>
      </w:r>
      <w:r>
        <w:tab/>
      </w:r>
      <w:r>
        <w:fldChar w:fldCharType="begin"/>
      </w:r>
      <w:r>
        <w:instrText xml:space="preserve"> PAGEREF _Toc137216246 \h </w:instrText>
      </w:r>
      <w:r>
        <w:fldChar w:fldCharType="separate"/>
      </w:r>
      <w:r>
        <w:t>54</w:t>
      </w:r>
      <w:r>
        <w:fldChar w:fldCharType="end"/>
      </w:r>
      <w:r>
        <w:fldChar w:fldCharType="end"/>
      </w:r>
    </w:p>
    <w:p>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"_Toc137216247" </w:instrText>
      </w:r>
      <w:r>
        <w:fldChar w:fldCharType="separate"/>
      </w:r>
      <w:r>
        <w:rPr>
          <w:rStyle w:val="31"/>
          <w:rFonts w:asciiTheme="minorEastAsia" w:hAnsiTheme="minorEastAsia"/>
        </w:rPr>
        <w:t>6.4 电动汽车供电设备</w:t>
      </w:r>
      <w:r>
        <w:tab/>
      </w:r>
      <w:r>
        <w:fldChar w:fldCharType="begin"/>
      </w:r>
      <w:r>
        <w:instrText xml:space="preserve"> PAGEREF _Toc137216247 \h </w:instrText>
      </w:r>
      <w:r>
        <w:fldChar w:fldCharType="separate"/>
      </w:r>
      <w:r>
        <w:t>60</w:t>
      </w:r>
      <w:r>
        <w:fldChar w:fldCharType="end"/>
      </w:r>
      <w:r>
        <w:fldChar w:fldCharType="end"/>
      </w:r>
    </w:p>
    <w:p>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"_Toc137216248" </w:instrText>
      </w:r>
      <w:r>
        <w:fldChar w:fldCharType="separate"/>
      </w:r>
      <w:r>
        <w:rPr>
          <w:rStyle w:val="31"/>
          <w:rFonts w:asciiTheme="minorEastAsia" w:hAnsiTheme="minorEastAsia"/>
        </w:rPr>
        <w:t>6.5 其他常用动力设备安装</w:t>
      </w:r>
      <w:r>
        <w:tab/>
      </w:r>
      <w:r>
        <w:fldChar w:fldCharType="begin"/>
      </w:r>
      <w:r>
        <w:instrText xml:space="preserve"> PAGEREF _Toc137216248 \h </w:instrText>
      </w:r>
      <w:r>
        <w:fldChar w:fldCharType="separate"/>
      </w:r>
      <w:r>
        <w:t>62</w:t>
      </w:r>
      <w:r>
        <w:fldChar w:fldCharType="end"/>
      </w:r>
      <w:r>
        <w:fldChar w:fldCharType="end"/>
      </w:r>
    </w:p>
    <w:p>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"_Toc137216249" </w:instrText>
      </w:r>
      <w:r>
        <w:fldChar w:fldCharType="separate"/>
      </w:r>
      <w:r>
        <w:rPr>
          <w:rStyle w:val="31"/>
          <w:rFonts w:asciiTheme="minorEastAsia" w:hAnsiTheme="minorEastAsia"/>
        </w:rPr>
        <w:t>6.6 电气设备试验和试运行</w:t>
      </w:r>
      <w:r>
        <w:tab/>
      </w:r>
      <w:r>
        <w:fldChar w:fldCharType="begin"/>
      </w:r>
      <w:r>
        <w:instrText xml:space="preserve"> PAGEREF _Toc137216249 \h </w:instrText>
      </w:r>
      <w:r>
        <w:fldChar w:fldCharType="separate"/>
      </w:r>
      <w:r>
        <w:t>64</w:t>
      </w:r>
      <w:r>
        <w:fldChar w:fldCharType="end"/>
      </w:r>
      <w:r>
        <w:fldChar w:fldCharType="end"/>
      </w:r>
    </w:p>
    <w:p>
      <w:pPr>
        <w:pStyle w:val="19"/>
        <w:tabs>
          <w:tab w:val="left" w:pos="440"/>
          <w:tab w:val="right" w:leader="dot" w:pos="8303"/>
        </w:tabs>
        <w:spacing w:before="120" w:after="120"/>
        <w:rPr>
          <w:rFonts w:eastAsiaTheme="minorEastAsia" w:cstheme="minorBidi"/>
          <w:b w:val="0"/>
          <w:kern w:val="2"/>
          <w:sz w:val="21"/>
        </w:rPr>
      </w:pPr>
      <w:r>
        <w:fldChar w:fldCharType="begin"/>
      </w:r>
      <w:r>
        <w:instrText xml:space="preserve"> HYPERLINK \l "_Toc137216250" </w:instrText>
      </w:r>
      <w:r>
        <w:fldChar w:fldCharType="separate"/>
      </w:r>
      <w:r>
        <w:rPr>
          <w:rStyle w:val="31"/>
          <w:rFonts w:asciiTheme="minorEastAsia" w:hAnsiTheme="minorEastAsia"/>
          <w:u w:color="ED7D31" w:themeColor="accent2"/>
        </w:rPr>
        <w:t>7</w:t>
      </w:r>
      <w:r>
        <w:rPr>
          <w:rFonts w:eastAsiaTheme="minorEastAsia" w:cstheme="minorBidi"/>
          <w:b w:val="0"/>
          <w:kern w:val="2"/>
          <w:sz w:val="21"/>
        </w:rPr>
        <w:tab/>
      </w:r>
      <w:r>
        <w:rPr>
          <w:rStyle w:val="31"/>
          <w:rFonts w:asciiTheme="minorEastAsia" w:hAnsiTheme="minorEastAsia"/>
        </w:rPr>
        <w:t>照明</w:t>
      </w:r>
      <w:r>
        <w:tab/>
      </w:r>
      <w:r>
        <w:fldChar w:fldCharType="begin"/>
      </w:r>
      <w:r>
        <w:instrText xml:space="preserve"> PAGEREF _Toc137216250 \h </w:instrText>
      </w:r>
      <w:r>
        <w:fldChar w:fldCharType="separate"/>
      </w:r>
      <w:r>
        <w:t>66</w:t>
      </w:r>
      <w:r>
        <w:fldChar w:fldCharType="end"/>
      </w:r>
      <w:r>
        <w:fldChar w:fldCharType="end"/>
      </w:r>
    </w:p>
    <w:p>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"_Toc137216251" </w:instrText>
      </w:r>
      <w:r>
        <w:fldChar w:fldCharType="separate"/>
      </w:r>
      <w:r>
        <w:rPr>
          <w:rStyle w:val="31"/>
          <w:rFonts w:asciiTheme="minorEastAsia" w:hAnsiTheme="minorEastAsia"/>
        </w:rPr>
        <w:t>7.1 电气照明装置安装</w:t>
      </w:r>
      <w:r>
        <w:tab/>
      </w:r>
      <w:r>
        <w:fldChar w:fldCharType="begin"/>
      </w:r>
      <w:r>
        <w:instrText xml:space="preserve"> PAGEREF _Toc137216251 \h </w:instrText>
      </w:r>
      <w:r>
        <w:fldChar w:fldCharType="separate"/>
      </w:r>
      <w:r>
        <w:t>66</w:t>
      </w:r>
      <w:r>
        <w:fldChar w:fldCharType="end"/>
      </w:r>
      <w:r>
        <w:fldChar w:fldCharType="end"/>
      </w:r>
    </w:p>
    <w:p>
      <w:pPr>
        <w:pStyle w:val="22"/>
        <w:tabs>
          <w:tab w:val="right" w:leader="dot" w:pos="8303"/>
        </w:tabs>
        <w:spacing w:before="120" w:after="120"/>
        <w:ind w:firstLine="200"/>
        <w:sectPr>
          <w:headerReference r:id="rId7" w:type="default"/>
          <w:footerReference r:id="rId8" w:type="default"/>
          <w:pgSz w:w="11907" w:h="16840"/>
          <w:pgMar w:top="1440" w:right="1797" w:bottom="1440" w:left="1797" w:header="851" w:footer="992" w:gutter="0"/>
          <w:pgNumType w:start="1"/>
          <w:cols w:space="720" w:num="1"/>
          <w:docGrid w:linePitch="312" w:charSpace="0"/>
        </w:sectPr>
      </w:pPr>
    </w:p>
    <w:p>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"_Toc137216252" </w:instrText>
      </w:r>
      <w:r>
        <w:fldChar w:fldCharType="separate"/>
      </w:r>
      <w:r>
        <w:rPr>
          <w:rStyle w:val="31"/>
          <w:rFonts w:asciiTheme="minorEastAsia" w:hAnsiTheme="minorEastAsia"/>
        </w:rPr>
        <w:t>7.2 开关、插座、风扇安装</w:t>
      </w:r>
      <w:r>
        <w:tab/>
      </w:r>
      <w:r>
        <w:fldChar w:fldCharType="begin"/>
      </w:r>
      <w:r>
        <w:instrText xml:space="preserve"> PAGEREF _Toc137216252 \h </w:instrText>
      </w:r>
      <w:r>
        <w:fldChar w:fldCharType="separate"/>
      </w:r>
      <w:r>
        <w:t>74</w:t>
      </w:r>
      <w:r>
        <w:fldChar w:fldCharType="end"/>
      </w:r>
      <w:r>
        <w:fldChar w:fldCharType="end"/>
      </w:r>
    </w:p>
    <w:p>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"_Toc137216253" </w:instrText>
      </w:r>
      <w:r>
        <w:fldChar w:fldCharType="separate"/>
      </w:r>
      <w:r>
        <w:rPr>
          <w:rStyle w:val="31"/>
          <w:rFonts w:asciiTheme="minorEastAsia" w:hAnsiTheme="minorEastAsia"/>
        </w:rPr>
        <w:t>7.3 建筑物通电试运行</w:t>
      </w:r>
      <w:r>
        <w:tab/>
      </w:r>
      <w:r>
        <w:fldChar w:fldCharType="begin"/>
      </w:r>
      <w:r>
        <w:instrText xml:space="preserve"> PAGEREF _Toc137216253 \h </w:instrText>
      </w:r>
      <w:r>
        <w:fldChar w:fldCharType="separate"/>
      </w:r>
      <w:r>
        <w:t>76</w:t>
      </w:r>
      <w:r>
        <w:fldChar w:fldCharType="end"/>
      </w:r>
      <w:r>
        <w:fldChar w:fldCharType="end"/>
      </w:r>
    </w:p>
    <w:p>
      <w:pPr>
        <w:pStyle w:val="19"/>
        <w:tabs>
          <w:tab w:val="left" w:pos="440"/>
          <w:tab w:val="right" w:leader="dot" w:pos="8303"/>
        </w:tabs>
        <w:spacing w:before="120" w:after="120"/>
        <w:rPr>
          <w:rFonts w:eastAsiaTheme="minorEastAsia" w:cstheme="minorBidi"/>
          <w:b w:val="0"/>
          <w:kern w:val="2"/>
          <w:sz w:val="21"/>
        </w:rPr>
      </w:pPr>
      <w:r>
        <w:fldChar w:fldCharType="begin"/>
      </w:r>
      <w:r>
        <w:instrText xml:space="preserve"> HYPERLINK \l "_Toc137216254" </w:instrText>
      </w:r>
      <w:r>
        <w:fldChar w:fldCharType="separate"/>
      </w:r>
      <w:r>
        <w:rPr>
          <w:rStyle w:val="31"/>
          <w:rFonts w:asciiTheme="minorEastAsia" w:hAnsiTheme="minorEastAsia"/>
          <w:u w:color="ED7D31" w:themeColor="accent2"/>
        </w:rPr>
        <w:t>8</w:t>
      </w:r>
      <w:r>
        <w:rPr>
          <w:rFonts w:eastAsiaTheme="minorEastAsia" w:cstheme="minorBidi"/>
          <w:b w:val="0"/>
          <w:kern w:val="2"/>
          <w:sz w:val="21"/>
        </w:rPr>
        <w:tab/>
      </w:r>
      <w:r>
        <w:rPr>
          <w:rStyle w:val="31"/>
          <w:rFonts w:asciiTheme="minorEastAsia" w:hAnsiTheme="minorEastAsia"/>
        </w:rPr>
        <w:t>防雷、</w:t>
      </w:r>
      <w:r>
        <w:rPr>
          <w:rStyle w:val="31"/>
          <w:rFonts w:asciiTheme="minorEastAsia" w:hAnsiTheme="minorEastAsia"/>
          <w:color w:val="000000"/>
        </w:rPr>
        <w:t>接地及</w:t>
      </w:r>
      <w:r>
        <w:rPr>
          <w:rStyle w:val="31"/>
          <w:rFonts w:asciiTheme="minorEastAsia" w:hAnsiTheme="minorEastAsia"/>
        </w:rPr>
        <w:t>等电位</w:t>
      </w:r>
      <w:r>
        <w:tab/>
      </w:r>
      <w:r>
        <w:fldChar w:fldCharType="begin"/>
      </w:r>
      <w:r>
        <w:instrText xml:space="preserve"> PAGEREF _Toc137216254 \h </w:instrText>
      </w:r>
      <w:r>
        <w:fldChar w:fldCharType="separate"/>
      </w:r>
      <w:r>
        <w:t>78</w:t>
      </w:r>
      <w:r>
        <w:fldChar w:fldCharType="end"/>
      </w:r>
      <w:r>
        <w:fldChar w:fldCharType="end"/>
      </w:r>
    </w:p>
    <w:p>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"_Toc137216255" </w:instrText>
      </w:r>
      <w:r>
        <w:fldChar w:fldCharType="separate"/>
      </w:r>
      <w:r>
        <w:rPr>
          <w:rStyle w:val="31"/>
          <w:rFonts w:asciiTheme="minorEastAsia" w:hAnsiTheme="minorEastAsia"/>
        </w:rPr>
        <w:t>8.1 电气照明接地装置安装</w:t>
      </w:r>
      <w:r>
        <w:tab/>
      </w:r>
      <w:r>
        <w:fldChar w:fldCharType="begin"/>
      </w:r>
      <w:r>
        <w:instrText xml:space="preserve"> PAGEREF _Toc137216255 \h </w:instrText>
      </w:r>
      <w:r>
        <w:fldChar w:fldCharType="separate"/>
      </w:r>
      <w:r>
        <w:t>78</w:t>
      </w:r>
      <w:r>
        <w:fldChar w:fldCharType="end"/>
      </w:r>
      <w:r>
        <w:fldChar w:fldCharType="end"/>
      </w:r>
    </w:p>
    <w:p>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"_Toc137216256" </w:instrText>
      </w:r>
      <w:r>
        <w:fldChar w:fldCharType="separate"/>
      </w:r>
      <w:r>
        <w:rPr>
          <w:rStyle w:val="31"/>
          <w:rFonts w:asciiTheme="minorEastAsia" w:hAnsiTheme="minorEastAsia"/>
        </w:rPr>
        <w:t>8.2 变配电室及电气竖井内接地干线敷设</w:t>
      </w:r>
      <w:r>
        <w:tab/>
      </w:r>
      <w:r>
        <w:fldChar w:fldCharType="begin"/>
      </w:r>
      <w:r>
        <w:instrText xml:space="preserve"> PAGEREF _Toc137216256 \h </w:instrText>
      </w:r>
      <w:r>
        <w:fldChar w:fldCharType="separate"/>
      </w:r>
      <w:r>
        <w:t>80</w:t>
      </w:r>
      <w:r>
        <w:fldChar w:fldCharType="end"/>
      </w:r>
      <w:r>
        <w:fldChar w:fldCharType="end"/>
      </w:r>
    </w:p>
    <w:p>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"_Toc137216257" </w:instrText>
      </w:r>
      <w:r>
        <w:fldChar w:fldCharType="separate"/>
      </w:r>
      <w:r>
        <w:rPr>
          <w:rStyle w:val="31"/>
          <w:rFonts w:asciiTheme="minorEastAsia" w:hAnsiTheme="minorEastAsia"/>
        </w:rPr>
        <w:t>8.3 防雷引下线及接闪器安装</w:t>
      </w:r>
      <w:r>
        <w:tab/>
      </w:r>
      <w:r>
        <w:fldChar w:fldCharType="begin"/>
      </w:r>
      <w:r>
        <w:instrText xml:space="preserve"> PAGEREF _Toc137216257 \h </w:instrText>
      </w:r>
      <w:r>
        <w:fldChar w:fldCharType="separate"/>
      </w:r>
      <w:r>
        <w:t>82</w:t>
      </w:r>
      <w:r>
        <w:fldChar w:fldCharType="end"/>
      </w:r>
      <w:r>
        <w:fldChar w:fldCharType="end"/>
      </w:r>
    </w:p>
    <w:p>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"_Toc137216258" </w:instrText>
      </w:r>
      <w:r>
        <w:fldChar w:fldCharType="separate"/>
      </w:r>
      <w:r>
        <w:rPr>
          <w:rStyle w:val="31"/>
          <w:rFonts w:asciiTheme="minorEastAsia" w:hAnsiTheme="minorEastAsia"/>
        </w:rPr>
        <w:t>8.4 建筑物等电位联结</w:t>
      </w:r>
      <w:r>
        <w:tab/>
      </w:r>
      <w:r>
        <w:fldChar w:fldCharType="begin"/>
      </w:r>
      <w:r>
        <w:instrText xml:space="preserve"> PAGEREF _Toc137216258 \h </w:instrText>
      </w:r>
      <w:r>
        <w:fldChar w:fldCharType="separate"/>
      </w:r>
      <w:r>
        <w:t>83</w:t>
      </w:r>
      <w:r>
        <w:fldChar w:fldCharType="end"/>
      </w:r>
      <w:r>
        <w:fldChar w:fldCharType="end"/>
      </w:r>
    </w:p>
    <w:p>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"_Toc137216259" </w:instrText>
      </w:r>
      <w:r>
        <w:fldChar w:fldCharType="separate"/>
      </w:r>
      <w:r>
        <w:rPr>
          <w:rStyle w:val="31"/>
          <w:rFonts w:asciiTheme="minorEastAsia" w:hAnsiTheme="minorEastAsia"/>
        </w:rPr>
        <w:t>8.5 市政类项目防雷接地安装</w:t>
      </w:r>
      <w:r>
        <w:tab/>
      </w:r>
      <w:r>
        <w:fldChar w:fldCharType="begin"/>
      </w:r>
      <w:r>
        <w:instrText xml:space="preserve"> PAGEREF _Toc137216259 \h </w:instrText>
      </w:r>
      <w:r>
        <w:fldChar w:fldCharType="separate"/>
      </w:r>
      <w:r>
        <w:t>84</w:t>
      </w:r>
      <w:r>
        <w:fldChar w:fldCharType="end"/>
      </w:r>
      <w:r>
        <w:fldChar w:fldCharType="end"/>
      </w:r>
    </w:p>
    <w:p>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"_Toc137216260" </w:instrText>
      </w:r>
      <w:r>
        <w:fldChar w:fldCharType="separate"/>
      </w:r>
      <w:r>
        <w:rPr>
          <w:rStyle w:val="31"/>
          <w:rFonts w:asciiTheme="minorEastAsia" w:hAnsiTheme="minorEastAsia"/>
        </w:rPr>
        <w:t>8.6 轨道交通类项目防雷接地安装</w:t>
      </w:r>
      <w:r>
        <w:tab/>
      </w:r>
      <w:r>
        <w:fldChar w:fldCharType="begin"/>
      </w:r>
      <w:r>
        <w:instrText xml:space="preserve"> PAGEREF _Toc137216260 \h </w:instrText>
      </w:r>
      <w:r>
        <w:fldChar w:fldCharType="separate"/>
      </w:r>
      <w:r>
        <w:t>86</w:t>
      </w:r>
      <w:r>
        <w:fldChar w:fldCharType="end"/>
      </w:r>
      <w:r>
        <w:fldChar w:fldCharType="end"/>
      </w:r>
    </w:p>
    <w:p>
      <w:pPr>
        <w:pStyle w:val="19"/>
        <w:tabs>
          <w:tab w:val="left" w:pos="1260"/>
          <w:tab w:val="right" w:leader="dot" w:pos="8303"/>
        </w:tabs>
        <w:spacing w:before="120" w:after="120"/>
        <w:rPr>
          <w:rFonts w:eastAsiaTheme="minorEastAsia" w:cstheme="minorBidi"/>
          <w:b w:val="0"/>
          <w:kern w:val="2"/>
          <w:sz w:val="21"/>
        </w:rPr>
      </w:pPr>
      <w:r>
        <w:fldChar w:fldCharType="begin"/>
      </w:r>
      <w:r>
        <w:instrText xml:space="preserve"> HYPERLINK \l "_Toc137216261" </w:instrText>
      </w:r>
      <w:r>
        <w:fldChar w:fldCharType="separate"/>
      </w:r>
      <w:r>
        <w:rPr>
          <w:rStyle w:val="31"/>
          <w:rFonts w:asciiTheme="minorEastAsia" w:hAnsiTheme="minorEastAsia"/>
          <w:u w:color="ED7D31" w:themeColor="accent2"/>
        </w:rPr>
        <w:t>附录A</w:t>
      </w:r>
      <w:r>
        <w:rPr>
          <w:rFonts w:eastAsiaTheme="minorEastAsia" w:cstheme="minorBidi"/>
          <w:b w:val="0"/>
          <w:kern w:val="2"/>
          <w:sz w:val="21"/>
        </w:rPr>
        <w:tab/>
      </w:r>
      <w:r>
        <w:rPr>
          <w:rStyle w:val="31"/>
          <w:rFonts w:asciiTheme="minorEastAsia" w:hAnsiTheme="minorEastAsia"/>
        </w:rPr>
        <w:t>各子分部工程所含的分项工程和检验批</w:t>
      </w:r>
      <w:r>
        <w:tab/>
      </w:r>
      <w:r>
        <w:fldChar w:fldCharType="begin"/>
      </w:r>
      <w:r>
        <w:instrText xml:space="preserve"> PAGEREF _Toc137216261 \h </w:instrText>
      </w:r>
      <w:r>
        <w:fldChar w:fldCharType="separate"/>
      </w:r>
      <w:r>
        <w:t>88</w:t>
      </w:r>
      <w:r>
        <w:fldChar w:fldCharType="end"/>
      </w:r>
      <w:r>
        <w:fldChar w:fldCharType="end"/>
      </w:r>
    </w:p>
    <w:p>
      <w:pPr>
        <w:pStyle w:val="19"/>
        <w:tabs>
          <w:tab w:val="left" w:pos="1260"/>
          <w:tab w:val="right" w:leader="dot" w:pos="8303"/>
        </w:tabs>
        <w:spacing w:before="120" w:after="120"/>
        <w:rPr>
          <w:rFonts w:eastAsiaTheme="minorEastAsia" w:cstheme="minorBidi"/>
          <w:b w:val="0"/>
          <w:kern w:val="2"/>
          <w:sz w:val="21"/>
        </w:rPr>
      </w:pPr>
      <w:r>
        <w:fldChar w:fldCharType="begin"/>
      </w:r>
      <w:r>
        <w:instrText xml:space="preserve"> HYPERLINK \l "_Toc137216262" </w:instrText>
      </w:r>
      <w:r>
        <w:fldChar w:fldCharType="separate"/>
      </w:r>
      <w:r>
        <w:rPr>
          <w:rStyle w:val="31"/>
          <w:rFonts w:asciiTheme="minorEastAsia" w:hAnsiTheme="minorEastAsia"/>
          <w:u w:color="ED7D31" w:themeColor="accent2"/>
        </w:rPr>
        <w:t>附录B</w:t>
      </w:r>
      <w:r>
        <w:rPr>
          <w:rFonts w:eastAsiaTheme="minorEastAsia" w:cstheme="minorBidi"/>
          <w:b w:val="0"/>
          <w:kern w:val="2"/>
          <w:sz w:val="21"/>
        </w:rPr>
        <w:tab/>
      </w:r>
      <w:r>
        <w:rPr>
          <w:rStyle w:val="31"/>
          <w:rFonts w:asciiTheme="minorEastAsia" w:hAnsiTheme="minorEastAsia"/>
        </w:rPr>
        <w:t>发电机交接试验</w:t>
      </w:r>
      <w:r>
        <w:tab/>
      </w:r>
      <w:r>
        <w:fldChar w:fldCharType="begin"/>
      </w:r>
      <w:r>
        <w:instrText xml:space="preserve"> PAGEREF _Toc137216262 \h </w:instrText>
      </w:r>
      <w:r>
        <w:fldChar w:fldCharType="separate"/>
      </w:r>
      <w:r>
        <w:t>90</w:t>
      </w:r>
      <w:r>
        <w:fldChar w:fldCharType="end"/>
      </w:r>
      <w:r>
        <w:fldChar w:fldCharType="end"/>
      </w:r>
    </w:p>
    <w:p>
      <w:pPr>
        <w:pStyle w:val="19"/>
        <w:tabs>
          <w:tab w:val="left" w:pos="1260"/>
          <w:tab w:val="right" w:leader="dot" w:pos="8303"/>
        </w:tabs>
        <w:spacing w:before="120" w:after="120"/>
        <w:rPr>
          <w:rFonts w:eastAsiaTheme="minorEastAsia" w:cstheme="minorBidi"/>
          <w:b w:val="0"/>
          <w:kern w:val="2"/>
          <w:sz w:val="21"/>
        </w:rPr>
      </w:pPr>
      <w:r>
        <w:fldChar w:fldCharType="begin"/>
      </w:r>
      <w:r>
        <w:instrText xml:space="preserve"> HYPERLINK \l "_Toc137216263" </w:instrText>
      </w:r>
      <w:r>
        <w:fldChar w:fldCharType="separate"/>
      </w:r>
      <w:r>
        <w:rPr>
          <w:rStyle w:val="31"/>
          <w:rFonts w:asciiTheme="minorEastAsia" w:hAnsiTheme="minorEastAsia"/>
          <w:u w:color="ED7D31" w:themeColor="accent2"/>
        </w:rPr>
        <w:t>附录C</w:t>
      </w:r>
      <w:r>
        <w:rPr>
          <w:rFonts w:eastAsiaTheme="minorEastAsia" w:cstheme="minorBidi"/>
          <w:b w:val="0"/>
          <w:kern w:val="2"/>
          <w:sz w:val="21"/>
        </w:rPr>
        <w:tab/>
      </w:r>
      <w:r>
        <w:rPr>
          <w:rStyle w:val="31"/>
          <w:rFonts w:asciiTheme="minorEastAsia" w:hAnsiTheme="minorEastAsia"/>
        </w:rPr>
        <w:t>母线螺栓搭接尺寸</w:t>
      </w:r>
      <w:r>
        <w:tab/>
      </w:r>
      <w:r>
        <w:fldChar w:fldCharType="begin"/>
      </w:r>
      <w:r>
        <w:instrText xml:space="preserve"> PAGEREF _Toc137216263 \h </w:instrText>
      </w:r>
      <w:r>
        <w:fldChar w:fldCharType="separate"/>
      </w:r>
      <w:r>
        <w:t>92</w:t>
      </w:r>
      <w:r>
        <w:fldChar w:fldCharType="end"/>
      </w:r>
      <w:r>
        <w:fldChar w:fldCharType="end"/>
      </w:r>
    </w:p>
    <w:p>
      <w:pPr>
        <w:pStyle w:val="19"/>
        <w:tabs>
          <w:tab w:val="left" w:pos="1260"/>
          <w:tab w:val="right" w:leader="dot" w:pos="8303"/>
        </w:tabs>
        <w:spacing w:before="120" w:after="120"/>
        <w:rPr>
          <w:rFonts w:eastAsiaTheme="minorEastAsia" w:cstheme="minorBidi"/>
          <w:b w:val="0"/>
          <w:kern w:val="2"/>
          <w:sz w:val="21"/>
        </w:rPr>
      </w:pPr>
      <w:r>
        <w:fldChar w:fldCharType="begin"/>
      </w:r>
      <w:r>
        <w:instrText xml:space="preserve"> HYPERLINK \l "_Toc137216264" </w:instrText>
      </w:r>
      <w:r>
        <w:fldChar w:fldCharType="separate"/>
      </w:r>
      <w:r>
        <w:rPr>
          <w:rStyle w:val="31"/>
          <w:rFonts w:asciiTheme="minorEastAsia" w:hAnsiTheme="minorEastAsia"/>
          <w:u w:color="ED7D31" w:themeColor="accent2"/>
        </w:rPr>
        <w:t>附录D</w:t>
      </w:r>
      <w:r>
        <w:rPr>
          <w:rFonts w:eastAsiaTheme="minorEastAsia" w:cstheme="minorBidi"/>
          <w:b w:val="0"/>
          <w:kern w:val="2"/>
          <w:sz w:val="21"/>
        </w:rPr>
        <w:tab/>
      </w:r>
      <w:r>
        <w:rPr>
          <w:rStyle w:val="31"/>
          <w:rFonts w:asciiTheme="minorEastAsia" w:hAnsiTheme="minorEastAsia"/>
        </w:rPr>
        <w:t>母线搭接螺栓的拧紧力矩</w:t>
      </w:r>
      <w:r>
        <w:tab/>
      </w:r>
      <w:r>
        <w:fldChar w:fldCharType="begin"/>
      </w:r>
      <w:r>
        <w:instrText xml:space="preserve"> PAGEREF _Toc137216264 \h </w:instrText>
      </w:r>
      <w:r>
        <w:fldChar w:fldCharType="separate"/>
      </w:r>
      <w:r>
        <w:t>93</w:t>
      </w:r>
      <w:r>
        <w:fldChar w:fldCharType="end"/>
      </w:r>
      <w:r>
        <w:fldChar w:fldCharType="end"/>
      </w:r>
    </w:p>
    <w:p>
      <w:pPr>
        <w:pStyle w:val="19"/>
        <w:tabs>
          <w:tab w:val="left" w:pos="1260"/>
          <w:tab w:val="right" w:leader="dot" w:pos="8303"/>
        </w:tabs>
        <w:spacing w:before="120" w:after="120"/>
        <w:rPr>
          <w:rFonts w:eastAsiaTheme="minorEastAsia" w:cstheme="minorBidi"/>
          <w:b w:val="0"/>
          <w:kern w:val="2"/>
          <w:sz w:val="21"/>
        </w:rPr>
      </w:pPr>
      <w:r>
        <w:fldChar w:fldCharType="begin"/>
      </w:r>
      <w:r>
        <w:instrText xml:space="preserve"> HYPERLINK \l "_Toc137216265" </w:instrText>
      </w:r>
      <w:r>
        <w:fldChar w:fldCharType="separate"/>
      </w:r>
      <w:r>
        <w:rPr>
          <w:rStyle w:val="31"/>
          <w:rFonts w:asciiTheme="minorEastAsia" w:hAnsiTheme="minorEastAsia"/>
          <w:u w:color="ED7D31" w:themeColor="accent2"/>
        </w:rPr>
        <w:t>附录E</w:t>
      </w:r>
      <w:r>
        <w:rPr>
          <w:rFonts w:eastAsiaTheme="minorEastAsia" w:cstheme="minorBidi"/>
          <w:b w:val="0"/>
          <w:kern w:val="2"/>
          <w:sz w:val="21"/>
        </w:rPr>
        <w:tab/>
      </w:r>
      <w:r>
        <w:rPr>
          <w:rStyle w:val="31"/>
          <w:rFonts w:asciiTheme="minorEastAsia" w:hAnsiTheme="minorEastAsia"/>
        </w:rPr>
        <w:t>母线槽及电缆梯架、托盘和槽盒与管道的最小净距</w:t>
      </w:r>
      <w:r>
        <w:tab/>
      </w:r>
      <w:r>
        <w:fldChar w:fldCharType="begin"/>
      </w:r>
      <w:r>
        <w:instrText xml:space="preserve"> PAGEREF _Toc137216265 \h </w:instrText>
      </w:r>
      <w:r>
        <w:fldChar w:fldCharType="separate"/>
      </w:r>
      <w:r>
        <w:t>94</w:t>
      </w:r>
      <w:r>
        <w:fldChar w:fldCharType="end"/>
      </w:r>
      <w:r>
        <w:fldChar w:fldCharType="end"/>
      </w:r>
    </w:p>
    <w:p>
      <w:pPr>
        <w:pStyle w:val="19"/>
        <w:tabs>
          <w:tab w:val="left" w:pos="1260"/>
          <w:tab w:val="right" w:leader="dot" w:pos="8303"/>
        </w:tabs>
        <w:spacing w:before="120" w:after="120"/>
        <w:rPr>
          <w:rFonts w:eastAsiaTheme="minorEastAsia" w:cstheme="minorBidi"/>
          <w:b w:val="0"/>
          <w:kern w:val="2"/>
          <w:sz w:val="21"/>
        </w:rPr>
      </w:pPr>
      <w:r>
        <w:fldChar w:fldCharType="begin"/>
      </w:r>
      <w:r>
        <w:instrText xml:space="preserve"> HYPERLINK \l "_Toc137216266" </w:instrText>
      </w:r>
      <w:r>
        <w:fldChar w:fldCharType="separate"/>
      </w:r>
      <w:r>
        <w:rPr>
          <w:rStyle w:val="31"/>
          <w:rFonts w:asciiTheme="minorEastAsia" w:hAnsiTheme="minorEastAsia"/>
          <w:u w:color="ED7D31" w:themeColor="accent2"/>
        </w:rPr>
        <w:t>附录F</w:t>
      </w:r>
      <w:r>
        <w:rPr>
          <w:rFonts w:eastAsiaTheme="minorEastAsia" w:cstheme="minorBidi"/>
          <w:b w:val="0"/>
          <w:kern w:val="2"/>
          <w:sz w:val="21"/>
        </w:rPr>
        <w:tab/>
      </w:r>
      <w:r>
        <w:rPr>
          <w:rStyle w:val="31"/>
          <w:rFonts w:asciiTheme="minorEastAsia" w:hAnsiTheme="minorEastAsia"/>
        </w:rPr>
        <w:t>螺纹</w:t>
      </w:r>
      <w:r>
        <w:rPr>
          <w:rStyle w:val="31"/>
          <w:rFonts w:asciiTheme="minorEastAsia" w:hAnsiTheme="minorEastAsia"/>
          <w:color w:val="000000"/>
        </w:rPr>
        <w:t>型</w:t>
      </w:r>
      <w:r>
        <w:rPr>
          <w:rStyle w:val="31"/>
          <w:rFonts w:asciiTheme="minorEastAsia" w:hAnsiTheme="minorEastAsia"/>
        </w:rPr>
        <w:t>接线端子的拧紧力矩</w:t>
      </w:r>
      <w:r>
        <w:tab/>
      </w:r>
      <w:r>
        <w:fldChar w:fldCharType="begin"/>
      </w:r>
      <w:r>
        <w:instrText xml:space="preserve"> PAGEREF _Toc137216266 \h </w:instrText>
      </w:r>
      <w:r>
        <w:fldChar w:fldCharType="separate"/>
      </w:r>
      <w:r>
        <w:t>95</w:t>
      </w:r>
      <w:r>
        <w:fldChar w:fldCharType="end"/>
      </w:r>
      <w:r>
        <w:fldChar w:fldCharType="end"/>
      </w:r>
    </w:p>
    <w:p>
      <w:pPr>
        <w:pStyle w:val="19"/>
        <w:tabs>
          <w:tab w:val="right" w:leader="dot" w:pos="8303"/>
        </w:tabs>
        <w:spacing w:before="120" w:after="120"/>
        <w:rPr>
          <w:rFonts w:eastAsiaTheme="minorEastAsia" w:cstheme="minorBidi"/>
          <w:b w:val="0"/>
          <w:kern w:val="2"/>
          <w:sz w:val="21"/>
        </w:rPr>
      </w:pPr>
      <w:r>
        <w:fldChar w:fldCharType="begin"/>
      </w:r>
      <w:r>
        <w:instrText xml:space="preserve"> HYPERLINK \l "_Toc137216267" </w:instrText>
      </w:r>
      <w:r>
        <w:fldChar w:fldCharType="separate"/>
      </w:r>
      <w:r>
        <w:rPr>
          <w:rStyle w:val="31"/>
        </w:rPr>
        <w:t>本规范用词说明</w:t>
      </w:r>
      <w:r>
        <w:tab/>
      </w:r>
      <w:r>
        <w:fldChar w:fldCharType="begin"/>
      </w:r>
      <w:r>
        <w:instrText xml:space="preserve"> PAGEREF _Toc137216267 \h </w:instrText>
      </w:r>
      <w:r>
        <w:fldChar w:fldCharType="separate"/>
      </w:r>
      <w:r>
        <w:t>96</w:t>
      </w:r>
      <w:r>
        <w:fldChar w:fldCharType="end"/>
      </w:r>
      <w:r>
        <w:fldChar w:fldCharType="end"/>
      </w:r>
    </w:p>
    <w:p>
      <w:pPr>
        <w:pStyle w:val="19"/>
        <w:tabs>
          <w:tab w:val="right" w:leader="dot" w:pos="8303"/>
        </w:tabs>
        <w:spacing w:before="120" w:after="120"/>
        <w:rPr>
          <w:rFonts w:eastAsiaTheme="minorEastAsia" w:cstheme="minorBidi"/>
          <w:b w:val="0"/>
          <w:kern w:val="2"/>
          <w:sz w:val="21"/>
        </w:rPr>
      </w:pPr>
      <w:r>
        <w:fldChar w:fldCharType="begin"/>
      </w:r>
      <w:r>
        <w:instrText xml:space="preserve"> HYPERLINK \l "_Toc137216268" </w:instrText>
      </w:r>
      <w:r>
        <w:fldChar w:fldCharType="separate"/>
      </w:r>
      <w:r>
        <w:rPr>
          <w:rStyle w:val="31"/>
        </w:rPr>
        <w:t>引用标准名录</w:t>
      </w:r>
      <w:r>
        <w:tab/>
      </w:r>
      <w:r>
        <w:fldChar w:fldCharType="begin"/>
      </w:r>
      <w:r>
        <w:instrText xml:space="preserve"> PAGEREF _Toc137216268 \h </w:instrText>
      </w:r>
      <w:r>
        <w:fldChar w:fldCharType="separate"/>
      </w:r>
      <w:r>
        <w:t>97</w:t>
      </w:r>
      <w:r>
        <w:fldChar w:fldCharType="end"/>
      </w:r>
      <w:r>
        <w:fldChar w:fldCharType="end"/>
      </w:r>
    </w:p>
    <w:p>
      <w:pPr>
        <w:pStyle w:val="19"/>
        <w:tabs>
          <w:tab w:val="right" w:leader="dot" w:pos="8303"/>
        </w:tabs>
        <w:spacing w:before="120" w:after="120"/>
        <w:rPr>
          <w:rFonts w:eastAsiaTheme="minorEastAsia" w:cstheme="minorBidi"/>
          <w:b w:val="0"/>
          <w:kern w:val="2"/>
          <w:sz w:val="21"/>
        </w:rPr>
      </w:pPr>
      <w:r>
        <w:fldChar w:fldCharType="begin"/>
      </w:r>
      <w:r>
        <w:instrText xml:space="preserve"> HYPERLINK \l "_Toc137216269" </w:instrText>
      </w:r>
      <w:r>
        <w:fldChar w:fldCharType="separate"/>
      </w:r>
      <w:r>
        <w:rPr>
          <w:rStyle w:val="31"/>
        </w:rPr>
        <w:t>附：条文说明</w:t>
      </w:r>
      <w:r>
        <w:tab/>
      </w:r>
      <w:r>
        <w:fldChar w:fldCharType="begin"/>
      </w:r>
      <w:r>
        <w:instrText xml:space="preserve"> PAGEREF _Toc137216269 \h </w:instrText>
      </w:r>
      <w:r>
        <w:fldChar w:fldCharType="separate"/>
      </w:r>
      <w:r>
        <w:t>98</w:t>
      </w:r>
      <w:r>
        <w:fldChar w:fldCharType="end"/>
      </w:r>
      <w:r>
        <w:fldChar w:fldCharType="end"/>
      </w:r>
    </w:p>
    <w:p>
      <w:pPr>
        <w:rPr>
          <w:rFonts w:asciiTheme="minorEastAsia" w:hAnsiTheme="minorEastAsia" w:eastAsiaTheme="minorEastAsia"/>
          <w:kern w:val="0"/>
          <w:sz w:val="20"/>
          <w:szCs w:val="22"/>
        </w:rPr>
      </w:pPr>
      <w:r>
        <w:rPr>
          <w:rFonts w:asciiTheme="minorEastAsia" w:hAnsiTheme="minorEastAsia" w:eastAsiaTheme="minorEastAsia"/>
          <w:kern w:val="0"/>
          <w:sz w:val="20"/>
          <w:szCs w:val="22"/>
        </w:rPr>
        <w:fldChar w:fldCharType="end"/>
      </w:r>
    </w:p>
    <w:p>
      <w:pPr>
        <w:rPr>
          <w:rFonts w:asciiTheme="minorEastAsia" w:hAnsiTheme="minorEastAsia" w:eastAsiaTheme="minorEastAsia"/>
          <w:kern w:val="0"/>
          <w:sz w:val="20"/>
          <w:szCs w:val="22"/>
        </w:rPr>
      </w:pPr>
    </w:p>
    <w:p>
      <w:pPr>
        <w:rPr>
          <w:rFonts w:asciiTheme="minorEastAsia" w:hAnsiTheme="minorEastAsia" w:eastAsiaTheme="minorEastAsia"/>
          <w:kern w:val="0"/>
          <w:sz w:val="20"/>
          <w:szCs w:val="22"/>
        </w:rPr>
      </w:pPr>
    </w:p>
    <w:p>
      <w:pPr>
        <w:rPr>
          <w:rFonts w:asciiTheme="minorEastAsia" w:hAnsiTheme="minorEastAsia" w:eastAsiaTheme="minorEastAsia"/>
          <w:kern w:val="0"/>
          <w:sz w:val="20"/>
          <w:szCs w:val="22"/>
        </w:rPr>
      </w:pPr>
    </w:p>
    <w:p>
      <w:pPr>
        <w:rPr>
          <w:rFonts w:asciiTheme="minorEastAsia" w:hAnsiTheme="minorEastAsia" w:eastAsiaTheme="minorEastAsia"/>
          <w:kern w:val="0"/>
          <w:sz w:val="20"/>
          <w:szCs w:val="22"/>
        </w:rPr>
      </w:pPr>
    </w:p>
    <w:p>
      <w:pPr>
        <w:rPr>
          <w:rFonts w:asciiTheme="minorEastAsia" w:hAnsiTheme="minorEastAsia" w:eastAsiaTheme="minorEastAsia"/>
          <w:kern w:val="0"/>
          <w:sz w:val="20"/>
          <w:szCs w:val="22"/>
        </w:rPr>
      </w:pPr>
    </w:p>
    <w:p>
      <w:pPr>
        <w:rPr>
          <w:rFonts w:asciiTheme="minorEastAsia" w:hAnsiTheme="minorEastAsia" w:eastAsiaTheme="minorEastAsia"/>
          <w:kern w:val="0"/>
          <w:sz w:val="20"/>
          <w:szCs w:val="22"/>
        </w:rPr>
      </w:pPr>
    </w:p>
    <w:p>
      <w:pPr>
        <w:rPr>
          <w:rFonts w:asciiTheme="minorEastAsia" w:hAnsiTheme="minorEastAsia" w:eastAsiaTheme="minorEastAsia"/>
          <w:kern w:val="0"/>
          <w:sz w:val="20"/>
          <w:szCs w:val="22"/>
        </w:rPr>
      </w:pPr>
    </w:p>
    <w:p>
      <w:pPr>
        <w:rPr>
          <w:rFonts w:asciiTheme="minorEastAsia" w:hAnsiTheme="minorEastAsia" w:eastAsiaTheme="minorEastAsia"/>
          <w:kern w:val="0"/>
          <w:sz w:val="20"/>
          <w:szCs w:val="22"/>
        </w:rPr>
      </w:pPr>
    </w:p>
    <w:p>
      <w:pPr>
        <w:rPr>
          <w:rFonts w:asciiTheme="minorEastAsia" w:hAnsiTheme="minorEastAsia" w:eastAsiaTheme="minorEastAsia"/>
          <w:kern w:val="0"/>
          <w:sz w:val="20"/>
          <w:szCs w:val="22"/>
        </w:rPr>
      </w:pPr>
    </w:p>
    <w:p>
      <w:pPr>
        <w:rPr>
          <w:rFonts w:asciiTheme="minorEastAsia" w:hAnsiTheme="minorEastAsia" w:eastAsiaTheme="minorEastAsia"/>
          <w:kern w:val="0"/>
          <w:sz w:val="20"/>
          <w:szCs w:val="22"/>
        </w:rPr>
      </w:pPr>
    </w:p>
    <w:p>
      <w:pPr>
        <w:rPr>
          <w:rFonts w:asciiTheme="minorEastAsia" w:hAnsiTheme="minorEastAsia" w:eastAsiaTheme="minorEastAsia"/>
          <w:kern w:val="0"/>
          <w:sz w:val="20"/>
          <w:szCs w:val="22"/>
        </w:rPr>
      </w:pPr>
    </w:p>
    <w:p>
      <w:pPr>
        <w:rPr>
          <w:rFonts w:asciiTheme="minorEastAsia" w:hAnsiTheme="minorEastAsia" w:eastAsiaTheme="minorEastAsia"/>
          <w:kern w:val="0"/>
          <w:sz w:val="20"/>
          <w:szCs w:val="22"/>
        </w:rPr>
      </w:pPr>
    </w:p>
    <w:p>
      <w:pPr>
        <w:rPr>
          <w:rFonts w:asciiTheme="minorEastAsia" w:hAnsiTheme="minorEastAsia" w:eastAsiaTheme="minorEastAsia"/>
          <w:kern w:val="0"/>
          <w:sz w:val="20"/>
          <w:szCs w:val="22"/>
        </w:rPr>
      </w:pPr>
    </w:p>
    <w:p>
      <w:pPr>
        <w:rPr>
          <w:rFonts w:asciiTheme="minorEastAsia" w:hAnsiTheme="minorEastAsia" w:eastAsiaTheme="minorEastAsia"/>
          <w:kern w:val="0"/>
          <w:sz w:val="20"/>
          <w:szCs w:val="22"/>
        </w:rPr>
      </w:pPr>
    </w:p>
    <w:p>
      <w:pPr>
        <w:rPr>
          <w:rFonts w:asciiTheme="minorEastAsia" w:hAnsiTheme="minorEastAsia" w:eastAsiaTheme="minorEastAsia"/>
          <w:kern w:val="0"/>
          <w:sz w:val="20"/>
          <w:szCs w:val="22"/>
        </w:rPr>
      </w:pPr>
    </w:p>
    <w:p>
      <w:pPr>
        <w:rPr>
          <w:rFonts w:asciiTheme="minorEastAsia" w:hAnsiTheme="minorEastAsia" w:eastAsiaTheme="minorEastAsia"/>
          <w:kern w:val="0"/>
          <w:sz w:val="20"/>
          <w:szCs w:val="22"/>
        </w:rPr>
      </w:pPr>
    </w:p>
    <w:p>
      <w:pPr>
        <w:rPr>
          <w:rFonts w:asciiTheme="minorEastAsia" w:hAnsiTheme="minorEastAsia" w:eastAsiaTheme="minorEastAsia"/>
          <w:kern w:val="0"/>
          <w:sz w:val="20"/>
          <w:szCs w:val="22"/>
        </w:rPr>
      </w:pPr>
    </w:p>
    <w:p>
      <w:pPr>
        <w:rPr>
          <w:rFonts w:asciiTheme="minorEastAsia" w:hAnsiTheme="minorEastAsia" w:eastAsiaTheme="minorEastAsia"/>
          <w:kern w:val="0"/>
          <w:sz w:val="20"/>
          <w:szCs w:val="22"/>
        </w:rPr>
      </w:pPr>
    </w:p>
    <w:p>
      <w:pPr>
        <w:rPr>
          <w:rFonts w:asciiTheme="minorEastAsia" w:hAnsiTheme="minorEastAsia" w:eastAsiaTheme="minorEastAsia"/>
          <w:kern w:val="0"/>
          <w:sz w:val="20"/>
          <w:szCs w:val="22"/>
        </w:rPr>
      </w:pPr>
    </w:p>
    <w:p>
      <w:pPr>
        <w:rPr>
          <w:rFonts w:asciiTheme="minorEastAsia" w:hAnsiTheme="minorEastAsia" w:eastAsiaTheme="minorEastAsia"/>
          <w:kern w:val="0"/>
          <w:sz w:val="20"/>
          <w:szCs w:val="22"/>
        </w:rPr>
      </w:pPr>
    </w:p>
    <w:p>
      <w:pPr>
        <w:rPr>
          <w:rFonts w:asciiTheme="minorEastAsia" w:hAnsiTheme="minorEastAsia" w:eastAsiaTheme="minorEastAsia"/>
          <w:kern w:val="0"/>
          <w:sz w:val="20"/>
          <w:szCs w:val="22"/>
        </w:rPr>
      </w:pPr>
    </w:p>
    <w:p>
      <w:pPr>
        <w:rPr>
          <w:rFonts w:asciiTheme="minorEastAsia" w:hAnsiTheme="minorEastAsia" w:eastAsiaTheme="minorEastAsia"/>
          <w:kern w:val="0"/>
          <w:sz w:val="20"/>
          <w:szCs w:val="22"/>
        </w:rPr>
      </w:pPr>
    </w:p>
    <w:p>
      <w:pPr>
        <w:rPr>
          <w:rFonts w:asciiTheme="minorEastAsia" w:hAnsiTheme="minorEastAsia" w:eastAsiaTheme="minorEastAsia"/>
          <w:kern w:val="0"/>
          <w:sz w:val="20"/>
          <w:szCs w:val="22"/>
        </w:rPr>
      </w:pPr>
    </w:p>
    <w:p>
      <w:pPr>
        <w:rPr>
          <w:rFonts w:asciiTheme="minorEastAsia" w:hAnsiTheme="minorEastAsia" w:eastAsiaTheme="minorEastAsia"/>
          <w:kern w:val="0"/>
          <w:sz w:val="20"/>
          <w:szCs w:val="22"/>
        </w:rPr>
      </w:pPr>
    </w:p>
    <w:p>
      <w:pPr>
        <w:pStyle w:val="80"/>
        <w:spacing w:line="360" w:lineRule="auto"/>
        <w:rPr>
          <w:rFonts w:ascii="Times New Roman" w:eastAsia="宋体"/>
          <w:b/>
          <w:sz w:val="28"/>
        </w:rPr>
        <w:sectPr>
          <w:footerReference r:id="rId9" w:type="default"/>
          <w:pgSz w:w="11907" w:h="16840"/>
          <w:pgMar w:top="1440" w:right="1797" w:bottom="1440" w:left="1797" w:header="851" w:footer="992" w:gutter="0"/>
          <w:pgNumType w:start="1"/>
          <w:cols w:space="720" w:num="1"/>
          <w:docGrid w:linePitch="312" w:charSpace="0"/>
        </w:sectPr>
      </w:pPr>
      <w:bookmarkStart w:id="25" w:name="_Toc137203162"/>
      <w:bookmarkStart w:id="26" w:name="_Toc137216217"/>
      <w:bookmarkStart w:id="27" w:name="_Toc530132834"/>
      <w:bookmarkStart w:id="28" w:name="_Toc530132985"/>
      <w:bookmarkStart w:id="29" w:name="_Toc533425939"/>
      <w:bookmarkStart w:id="30" w:name="_Toc534960804"/>
      <w:bookmarkStart w:id="31" w:name="_Toc534710543"/>
      <w:bookmarkStart w:id="32" w:name="_Toc533428324"/>
      <w:bookmarkStart w:id="33" w:name="_Toc534907147"/>
      <w:bookmarkStart w:id="34" w:name="_Toc137203262"/>
      <w:bookmarkStart w:id="35" w:name="_Toc137203361"/>
      <w:bookmarkStart w:id="36" w:name="_Toc533425757"/>
      <w:bookmarkStart w:id="37" w:name="_Toc534710015"/>
    </w:p>
    <w:p>
      <w:pPr>
        <w:pStyle w:val="80"/>
        <w:spacing w:line="360" w:lineRule="auto"/>
        <w:rPr>
          <w:rFonts w:ascii="Times New Roman" w:eastAsia="宋体"/>
          <w:b/>
          <w:sz w:val="28"/>
        </w:rPr>
      </w:pPr>
      <w:r>
        <w:rPr>
          <w:rFonts w:ascii="Times New Roman" w:eastAsia="宋体"/>
          <w:b/>
          <w:sz w:val="28"/>
        </w:rPr>
        <w:t>Contents</w:t>
      </w:r>
      <w:bookmarkEnd w:id="25"/>
      <w:bookmarkEnd w:id="26"/>
      <w:bookmarkEnd w:id="27"/>
      <w:bookmarkEnd w:id="28"/>
      <w:bookmarkEnd w:id="29"/>
      <w:bookmarkEnd w:id="30"/>
      <w:bookmarkEnd w:id="31"/>
      <w:bookmarkEnd w:id="32"/>
      <w:bookmarkEnd w:id="33"/>
      <w:bookmarkEnd w:id="34"/>
      <w:bookmarkEnd w:id="35"/>
      <w:bookmarkEnd w:id="36"/>
      <w:bookmarkEnd w:id="37"/>
    </w:p>
    <w:p>
      <w:pPr>
        <w:tabs>
          <w:tab w:val="right" w:leader="dot" w:pos="8400"/>
        </w:tabs>
        <w:spacing w:before="120" w:after="120"/>
        <w:ind w:right="90" w:rightChars="43"/>
        <w:rPr>
          <w:sz w:val="20"/>
          <w:szCs w:val="20"/>
        </w:rPr>
      </w:pPr>
      <w:r>
        <w:rPr>
          <w:rFonts w:eastAsia="黑体"/>
          <w:b/>
          <w:bCs/>
          <w:sz w:val="20"/>
          <w:szCs w:val="20"/>
        </w:rPr>
        <w:t>1  General Provisions</w:t>
      </w:r>
      <w:r>
        <w:rPr>
          <w:b/>
          <w:bCs/>
          <w:sz w:val="20"/>
          <w:szCs w:val="20"/>
        </w:rPr>
        <w:tab/>
      </w:r>
      <w:r>
        <w:rPr>
          <w:b/>
          <w:bCs/>
          <w:sz w:val="20"/>
          <w:szCs w:val="20"/>
        </w:rPr>
        <w:t>1</w:t>
      </w:r>
    </w:p>
    <w:p>
      <w:pPr>
        <w:tabs>
          <w:tab w:val="right" w:leader="dot" w:pos="8400"/>
        </w:tabs>
        <w:spacing w:before="120" w:after="120"/>
        <w:ind w:right="90" w:rightChars="43"/>
        <w:rPr>
          <w:rFonts w:eastAsia="黑体"/>
          <w:b/>
          <w:bCs/>
          <w:sz w:val="20"/>
          <w:szCs w:val="20"/>
        </w:rPr>
      </w:pPr>
      <w:r>
        <w:rPr>
          <w:rFonts w:eastAsia="黑体"/>
          <w:b/>
          <w:bCs/>
          <w:sz w:val="20"/>
          <w:szCs w:val="20"/>
        </w:rPr>
        <w:t>2  Terms and symbols</w:t>
      </w:r>
      <w:r>
        <w:rPr>
          <w:rFonts w:eastAsia="黑体"/>
          <w:b/>
          <w:bCs/>
          <w:sz w:val="20"/>
          <w:szCs w:val="20"/>
        </w:rPr>
        <w:tab/>
      </w:r>
      <w:r>
        <w:rPr>
          <w:rFonts w:eastAsia="黑体"/>
          <w:b/>
          <w:bCs/>
          <w:sz w:val="20"/>
          <w:szCs w:val="20"/>
        </w:rPr>
        <w:t>2</w:t>
      </w:r>
    </w:p>
    <w:p>
      <w:pPr>
        <w:tabs>
          <w:tab w:val="right" w:leader="dot" w:pos="8400"/>
        </w:tabs>
        <w:spacing w:before="120" w:after="120"/>
        <w:ind w:left="210" w:right="90" w:rightChars="43"/>
        <w:rPr>
          <w:sz w:val="20"/>
          <w:szCs w:val="20"/>
        </w:rPr>
      </w:pPr>
      <w:r>
        <w:rPr>
          <w:sz w:val="20"/>
          <w:szCs w:val="20"/>
        </w:rPr>
        <w:t>2.1  Terms</w:t>
      </w:r>
      <w:r>
        <w:rPr>
          <w:sz w:val="20"/>
          <w:szCs w:val="20"/>
        </w:rPr>
        <w:tab/>
      </w:r>
      <w:r>
        <w:rPr>
          <w:sz w:val="20"/>
          <w:szCs w:val="20"/>
        </w:rPr>
        <w:t>2</w:t>
      </w:r>
    </w:p>
    <w:p>
      <w:pPr>
        <w:tabs>
          <w:tab w:val="right" w:leader="dot" w:pos="8400"/>
        </w:tabs>
        <w:spacing w:before="120" w:after="120"/>
        <w:ind w:left="210" w:right="90" w:rightChars="43"/>
        <w:rPr>
          <w:sz w:val="20"/>
          <w:szCs w:val="20"/>
        </w:rPr>
      </w:pPr>
      <w:r>
        <w:rPr>
          <w:sz w:val="20"/>
          <w:szCs w:val="20"/>
        </w:rPr>
        <w:t>2.2  Symbols</w:t>
      </w:r>
      <w:r>
        <w:rPr>
          <w:sz w:val="20"/>
          <w:szCs w:val="20"/>
        </w:rPr>
        <w:tab/>
      </w:r>
      <w:r>
        <w:rPr>
          <w:sz w:val="20"/>
          <w:szCs w:val="20"/>
        </w:rPr>
        <w:t>3</w:t>
      </w:r>
    </w:p>
    <w:p>
      <w:pPr>
        <w:tabs>
          <w:tab w:val="right" w:leader="dot" w:pos="8400"/>
        </w:tabs>
        <w:spacing w:before="120" w:after="120"/>
        <w:ind w:right="90" w:rightChars="43"/>
        <w:rPr>
          <w:sz w:val="20"/>
          <w:szCs w:val="20"/>
        </w:rPr>
      </w:pPr>
      <w:r>
        <w:rPr>
          <w:rFonts w:eastAsia="黑体"/>
          <w:b/>
          <w:bCs/>
          <w:sz w:val="20"/>
          <w:szCs w:val="20"/>
        </w:rPr>
        <w:t>3  Basic Requirements</w:t>
      </w:r>
      <w:r>
        <w:rPr>
          <w:rFonts w:eastAsia="黑体"/>
          <w:b/>
          <w:bCs/>
          <w:sz w:val="20"/>
          <w:szCs w:val="20"/>
        </w:rPr>
        <w:tab/>
      </w:r>
      <w:r>
        <w:rPr>
          <w:rFonts w:eastAsia="黑体"/>
          <w:b/>
          <w:bCs/>
          <w:sz w:val="20"/>
          <w:szCs w:val="20"/>
        </w:rPr>
        <w:t>4</w:t>
      </w:r>
    </w:p>
    <w:p>
      <w:pPr>
        <w:tabs>
          <w:tab w:val="right" w:leader="dot" w:pos="8400"/>
        </w:tabs>
        <w:spacing w:before="120" w:after="120"/>
        <w:ind w:left="210" w:right="90" w:rightChars="43"/>
        <w:rPr>
          <w:sz w:val="20"/>
          <w:szCs w:val="20"/>
        </w:rPr>
      </w:pPr>
      <w:r>
        <w:rPr>
          <w:sz w:val="20"/>
          <w:szCs w:val="20"/>
        </w:rPr>
        <w:t xml:space="preserve">3.1  </w:t>
      </w:r>
      <w:r>
        <w:rPr>
          <w:kern w:val="0"/>
          <w:sz w:val="20"/>
          <w:szCs w:val="20"/>
        </w:rPr>
        <w:t>General reqmrements</w:t>
      </w:r>
      <w:r>
        <w:rPr>
          <w:sz w:val="20"/>
          <w:szCs w:val="20"/>
        </w:rPr>
        <w:tab/>
      </w:r>
      <w:r>
        <w:rPr>
          <w:sz w:val="20"/>
          <w:szCs w:val="20"/>
        </w:rPr>
        <w:t>4</w:t>
      </w:r>
    </w:p>
    <w:p>
      <w:pPr>
        <w:tabs>
          <w:tab w:val="right" w:leader="dot" w:pos="8400"/>
        </w:tabs>
        <w:spacing w:before="120" w:after="120"/>
        <w:ind w:left="210" w:right="90" w:rightChars="43"/>
        <w:rPr>
          <w:kern w:val="0"/>
          <w:sz w:val="20"/>
          <w:szCs w:val="20"/>
        </w:rPr>
      </w:pPr>
      <w:r>
        <w:rPr>
          <w:sz w:val="20"/>
          <w:szCs w:val="20"/>
        </w:rPr>
        <w:t xml:space="preserve">3.2  </w:t>
      </w:r>
      <w:r>
        <w:rPr>
          <w:kern w:val="0"/>
          <w:sz w:val="20"/>
          <w:szCs w:val="20"/>
        </w:rPr>
        <w:t>Site acceptance of main equipments</w:t>
      </w:r>
      <w:r>
        <w:rPr>
          <w:rFonts w:hint="eastAsia"/>
          <w:kern w:val="0"/>
          <w:sz w:val="20"/>
          <w:szCs w:val="20"/>
        </w:rPr>
        <w:t>，</w:t>
      </w:r>
      <w:r>
        <w:rPr>
          <w:kern w:val="0"/>
          <w:sz w:val="20"/>
          <w:szCs w:val="20"/>
        </w:rPr>
        <w:t xml:space="preserve"> materials</w:t>
      </w:r>
      <w:r>
        <w:rPr>
          <w:rFonts w:hint="eastAsia"/>
          <w:kern w:val="0"/>
          <w:sz w:val="20"/>
          <w:szCs w:val="20"/>
        </w:rPr>
        <w:t>，</w:t>
      </w:r>
      <w:r>
        <w:rPr>
          <w:kern w:val="0"/>
          <w:sz w:val="20"/>
          <w:szCs w:val="20"/>
        </w:rPr>
        <w:t xml:space="preserve"> finished</w:t>
      </w:r>
      <w:r>
        <w:rPr>
          <w:rFonts w:hint="eastAsia"/>
          <w:sz w:val="20"/>
          <w:szCs w:val="20"/>
        </w:rPr>
        <w:t xml:space="preserve"> </w:t>
      </w:r>
      <w:r>
        <w:rPr>
          <w:kern w:val="0"/>
          <w:sz w:val="20"/>
          <w:szCs w:val="20"/>
        </w:rPr>
        <w:t>products</w:t>
      </w:r>
      <w:r>
        <w:rPr>
          <w:rFonts w:hint="eastAsia"/>
          <w:kern w:val="0"/>
          <w:sz w:val="20"/>
          <w:szCs w:val="20"/>
        </w:rPr>
        <w:t>，</w:t>
      </w:r>
      <w:r>
        <w:rPr>
          <w:kern w:val="0"/>
          <w:sz w:val="20"/>
          <w:szCs w:val="20"/>
        </w:rPr>
        <w:t xml:space="preserve"> semi-finished products</w:t>
      </w:r>
      <w:r>
        <w:rPr>
          <w:kern w:val="0"/>
          <w:sz w:val="20"/>
          <w:szCs w:val="20"/>
        </w:rPr>
        <w:tab/>
      </w:r>
      <w:r>
        <w:rPr>
          <w:kern w:val="0"/>
          <w:sz w:val="20"/>
          <w:szCs w:val="20"/>
        </w:rPr>
        <w:t>5</w:t>
      </w:r>
    </w:p>
    <w:p>
      <w:pPr>
        <w:tabs>
          <w:tab w:val="right" w:leader="dot" w:pos="8400"/>
        </w:tabs>
        <w:spacing w:before="120" w:after="120"/>
        <w:ind w:left="210" w:right="90" w:rightChars="43"/>
        <w:rPr>
          <w:sz w:val="20"/>
          <w:szCs w:val="20"/>
        </w:rPr>
      </w:pPr>
      <w:r>
        <w:rPr>
          <w:sz w:val="20"/>
          <w:szCs w:val="20"/>
        </w:rPr>
        <w:t xml:space="preserve">3.3  </w:t>
      </w:r>
      <w:r>
        <w:rPr>
          <w:kern w:val="0"/>
          <w:sz w:val="20"/>
          <w:szCs w:val="20"/>
        </w:rPr>
        <w:t>Confirmation of process handover</w:t>
      </w:r>
      <w:r>
        <w:rPr>
          <w:sz w:val="20"/>
          <w:szCs w:val="20"/>
        </w:rPr>
        <w:tab/>
      </w:r>
      <w:r>
        <w:rPr>
          <w:sz w:val="20"/>
          <w:szCs w:val="20"/>
        </w:rPr>
        <w:t>7</w:t>
      </w:r>
    </w:p>
    <w:p>
      <w:pPr>
        <w:tabs>
          <w:tab w:val="right" w:leader="dot" w:pos="8400"/>
        </w:tabs>
        <w:spacing w:before="120" w:after="120"/>
        <w:ind w:left="210" w:right="90" w:rightChars="43"/>
        <w:rPr>
          <w:kern w:val="0"/>
          <w:sz w:val="20"/>
          <w:szCs w:val="20"/>
        </w:rPr>
      </w:pPr>
      <w:r>
        <w:rPr>
          <w:sz w:val="20"/>
          <w:szCs w:val="20"/>
        </w:rPr>
        <w:t xml:space="preserve">3.4  </w:t>
      </w:r>
      <w:r>
        <w:rPr>
          <w:kern w:val="0"/>
          <w:sz w:val="20"/>
          <w:szCs w:val="20"/>
        </w:rPr>
        <w:t>Division and acceptance of dvisional project</w:t>
      </w:r>
      <w:r>
        <w:rPr>
          <w:rFonts w:hint="eastAsia"/>
          <w:kern w:val="0"/>
          <w:sz w:val="20"/>
          <w:szCs w:val="20"/>
        </w:rPr>
        <w:t>（</w:t>
      </w:r>
      <w:r>
        <w:rPr>
          <w:kern w:val="0"/>
          <w:sz w:val="20"/>
          <w:szCs w:val="20"/>
        </w:rPr>
        <w:t>subdivisional project</w:t>
      </w:r>
      <w:r>
        <w:rPr>
          <w:rFonts w:hint="eastAsia" w:ascii="Arial" w:hAnsi="Arial" w:cs="Arial"/>
          <w:kern w:val="0"/>
          <w:sz w:val="20"/>
          <w:szCs w:val="20"/>
        </w:rPr>
        <w:t>）</w:t>
      </w:r>
      <w:r>
        <w:rPr>
          <w:sz w:val="20"/>
          <w:szCs w:val="20"/>
        </w:rPr>
        <w:tab/>
      </w:r>
      <w:r>
        <w:rPr>
          <w:sz w:val="20"/>
          <w:szCs w:val="20"/>
        </w:rPr>
        <w:t>8</w:t>
      </w:r>
    </w:p>
    <w:p>
      <w:pPr>
        <w:tabs>
          <w:tab w:val="right" w:leader="dot" w:pos="8400"/>
        </w:tabs>
        <w:spacing w:before="120" w:after="120"/>
        <w:ind w:right="90" w:rightChars="43"/>
        <w:rPr>
          <w:sz w:val="20"/>
          <w:szCs w:val="20"/>
        </w:rPr>
      </w:pPr>
      <w:r>
        <w:rPr>
          <w:rFonts w:eastAsia="黑体"/>
          <w:b/>
          <w:bCs/>
          <w:sz w:val="20"/>
          <w:szCs w:val="20"/>
        </w:rPr>
        <w:t>4  Power supply</w:t>
      </w:r>
      <w:r>
        <w:rPr>
          <w:rFonts w:eastAsia="黑体"/>
          <w:b/>
          <w:bCs/>
          <w:sz w:val="20"/>
          <w:szCs w:val="20"/>
        </w:rPr>
        <w:tab/>
      </w:r>
      <w:r>
        <w:rPr>
          <w:rFonts w:eastAsia="黑体"/>
          <w:b/>
          <w:bCs/>
          <w:sz w:val="20"/>
          <w:szCs w:val="20"/>
        </w:rPr>
        <w:t>10</w:t>
      </w:r>
    </w:p>
    <w:p>
      <w:pPr>
        <w:tabs>
          <w:tab w:val="right" w:leader="dot" w:pos="8400"/>
        </w:tabs>
        <w:spacing w:before="120" w:after="120"/>
        <w:ind w:left="210" w:right="1592" w:rightChars="758"/>
        <w:rPr>
          <w:kern w:val="0"/>
          <w:sz w:val="20"/>
          <w:szCs w:val="20"/>
        </w:rPr>
      </w:pPr>
      <w:r>
        <w:rPr>
          <w:sz w:val="20"/>
          <w:szCs w:val="20"/>
        </w:rPr>
        <w:t xml:space="preserve">4.1  </w:t>
      </w:r>
      <w:r>
        <w:rPr>
          <w:kern w:val="0"/>
          <w:sz w:val="20"/>
          <w:szCs w:val="20"/>
        </w:rPr>
        <w:t>Installation of transformer</w:t>
      </w:r>
      <w:r>
        <w:rPr>
          <w:rFonts w:hint="eastAsia"/>
          <w:kern w:val="0"/>
          <w:sz w:val="20"/>
          <w:szCs w:val="20"/>
        </w:rPr>
        <w:t>，</w:t>
      </w:r>
      <w:r>
        <w:rPr>
          <w:kern w:val="0"/>
          <w:sz w:val="20"/>
          <w:szCs w:val="20"/>
        </w:rPr>
        <w:t xml:space="preserve"> box type Electrical substation and</w:t>
      </w:r>
    </w:p>
    <w:p>
      <w:pPr>
        <w:tabs>
          <w:tab w:val="right" w:leader="dot" w:pos="8400"/>
        </w:tabs>
        <w:spacing w:before="120" w:after="120"/>
        <w:ind w:left="210" w:right="90" w:rightChars="43" w:firstLine="554" w:firstLineChars="277"/>
        <w:rPr>
          <w:sz w:val="20"/>
          <w:szCs w:val="20"/>
        </w:rPr>
      </w:pPr>
      <w:r>
        <w:rPr>
          <w:kern w:val="0"/>
          <w:sz w:val="20"/>
          <w:szCs w:val="20"/>
        </w:rPr>
        <w:t>photovoltaic power generation equipment</w:t>
      </w:r>
      <w:r>
        <w:rPr>
          <w:sz w:val="20"/>
          <w:szCs w:val="20"/>
        </w:rPr>
        <w:tab/>
      </w:r>
      <w:r>
        <w:rPr>
          <w:sz w:val="20"/>
          <w:szCs w:val="20"/>
        </w:rPr>
        <w:t>10</w:t>
      </w:r>
    </w:p>
    <w:p>
      <w:pPr>
        <w:tabs>
          <w:tab w:val="right" w:leader="dot" w:pos="8400"/>
        </w:tabs>
        <w:spacing w:before="120" w:after="120"/>
        <w:ind w:left="710" w:leftChars="100" w:right="90" w:rightChars="43" w:hanging="500" w:hangingChars="250"/>
        <w:rPr>
          <w:kern w:val="0"/>
          <w:sz w:val="20"/>
          <w:szCs w:val="20"/>
        </w:rPr>
      </w:pPr>
      <w:r>
        <w:rPr>
          <w:sz w:val="20"/>
          <w:szCs w:val="20"/>
        </w:rPr>
        <w:t xml:space="preserve">4.2  </w:t>
      </w:r>
      <w:r>
        <w:rPr>
          <w:kern w:val="0"/>
          <w:sz w:val="20"/>
          <w:szCs w:val="20"/>
        </w:rPr>
        <w:t>Installation of complete distribution cabinets</w:t>
      </w:r>
      <w:r>
        <w:rPr>
          <w:rFonts w:hint="eastAsia"/>
          <w:kern w:val="0"/>
          <w:sz w:val="20"/>
          <w:szCs w:val="20"/>
        </w:rPr>
        <w:t>，</w:t>
      </w:r>
      <w:r>
        <w:rPr>
          <w:kern w:val="0"/>
          <w:sz w:val="20"/>
          <w:szCs w:val="20"/>
        </w:rPr>
        <w:t xml:space="preserve"> control cabinets </w:t>
      </w:r>
      <w:r>
        <w:rPr>
          <w:rFonts w:hint="eastAsia"/>
          <w:kern w:val="0"/>
          <w:sz w:val="20"/>
          <w:szCs w:val="20"/>
        </w:rPr>
        <w:t>（</w:t>
      </w:r>
      <w:r>
        <w:rPr>
          <w:kern w:val="0"/>
          <w:sz w:val="20"/>
          <w:szCs w:val="20"/>
        </w:rPr>
        <w:t>cabinets</w:t>
      </w:r>
      <w:r>
        <w:rPr>
          <w:rFonts w:hint="eastAsia"/>
          <w:kern w:val="0"/>
          <w:sz w:val="20"/>
          <w:szCs w:val="20"/>
        </w:rPr>
        <w:t>，</w:t>
      </w:r>
      <w:r>
        <w:rPr>
          <w:kern w:val="0"/>
          <w:sz w:val="20"/>
          <w:szCs w:val="20"/>
        </w:rPr>
        <w:t xml:space="preserve"> boxes</w:t>
      </w:r>
      <w:r>
        <w:rPr>
          <w:rFonts w:hint="eastAsia"/>
          <w:kern w:val="0"/>
          <w:sz w:val="20"/>
          <w:szCs w:val="20"/>
        </w:rPr>
        <w:t>），</w:t>
      </w:r>
      <w:r>
        <w:rPr>
          <w:kern w:val="0"/>
          <w:sz w:val="20"/>
          <w:szCs w:val="20"/>
        </w:rPr>
        <w:t xml:space="preserve"> and  distribution boxes </w:t>
      </w:r>
      <w:r>
        <w:rPr>
          <w:rFonts w:hint="eastAsia"/>
          <w:kern w:val="0"/>
          <w:sz w:val="20"/>
          <w:szCs w:val="20"/>
        </w:rPr>
        <w:t>（</w:t>
      </w:r>
      <w:r>
        <w:rPr>
          <w:kern w:val="0"/>
          <w:sz w:val="20"/>
          <w:szCs w:val="20"/>
        </w:rPr>
        <w:t>panels</w:t>
      </w:r>
      <w:r>
        <w:rPr>
          <w:rFonts w:hint="eastAsia"/>
          <w:kern w:val="0"/>
          <w:sz w:val="20"/>
          <w:szCs w:val="20"/>
        </w:rPr>
        <w:t>）</w:t>
      </w:r>
      <w:r>
        <w:rPr>
          <w:sz w:val="20"/>
          <w:szCs w:val="20"/>
        </w:rPr>
        <w:tab/>
      </w:r>
      <w:r>
        <w:rPr>
          <w:sz w:val="20"/>
          <w:szCs w:val="20"/>
        </w:rPr>
        <w:t>14</w:t>
      </w:r>
    </w:p>
    <w:p>
      <w:pPr>
        <w:tabs>
          <w:tab w:val="right" w:leader="dot" w:pos="8400"/>
        </w:tabs>
        <w:spacing w:before="120" w:after="120"/>
        <w:ind w:left="210" w:right="90" w:rightChars="43"/>
        <w:rPr>
          <w:sz w:val="20"/>
          <w:szCs w:val="20"/>
        </w:rPr>
      </w:pPr>
      <w:r>
        <w:rPr>
          <w:sz w:val="20"/>
          <w:szCs w:val="20"/>
        </w:rPr>
        <w:t>4.3  Backup power supply</w:t>
      </w:r>
      <w:r>
        <w:rPr>
          <w:sz w:val="20"/>
          <w:szCs w:val="20"/>
        </w:rPr>
        <w:tab/>
      </w:r>
      <w:r>
        <w:rPr>
          <w:sz w:val="20"/>
          <w:szCs w:val="20"/>
        </w:rPr>
        <w:t>19</w:t>
      </w:r>
    </w:p>
    <w:p>
      <w:pPr>
        <w:tabs>
          <w:tab w:val="right" w:leader="dot" w:pos="8400"/>
        </w:tabs>
        <w:spacing w:before="120" w:after="120"/>
        <w:ind w:left="210" w:right="90" w:rightChars="43"/>
        <w:rPr>
          <w:sz w:val="20"/>
          <w:szCs w:val="20"/>
        </w:rPr>
      </w:pPr>
      <w:r>
        <w:rPr>
          <w:sz w:val="20"/>
          <w:szCs w:val="20"/>
        </w:rPr>
        <w:t xml:space="preserve">4.4  </w:t>
      </w:r>
      <w:r>
        <w:rPr>
          <w:kern w:val="0"/>
          <w:sz w:val="20"/>
          <w:szCs w:val="20"/>
        </w:rPr>
        <w:t>Fire power supply</w:t>
      </w:r>
      <w:r>
        <w:rPr>
          <w:sz w:val="20"/>
          <w:szCs w:val="20"/>
        </w:rPr>
        <w:tab/>
      </w:r>
      <w:r>
        <w:rPr>
          <w:sz w:val="20"/>
          <w:szCs w:val="20"/>
        </w:rPr>
        <w:t>22</w:t>
      </w:r>
    </w:p>
    <w:p>
      <w:pPr>
        <w:tabs>
          <w:tab w:val="right" w:leader="dot" w:pos="8400"/>
        </w:tabs>
        <w:spacing w:before="120" w:after="120"/>
        <w:ind w:right="90" w:rightChars="43"/>
        <w:rPr>
          <w:sz w:val="20"/>
          <w:szCs w:val="20"/>
        </w:rPr>
      </w:pPr>
      <w:r>
        <w:rPr>
          <w:rFonts w:eastAsia="黑体"/>
          <w:b/>
          <w:bCs/>
          <w:sz w:val="20"/>
          <w:szCs w:val="20"/>
        </w:rPr>
        <w:t>5  Installation of conduit</w:t>
      </w:r>
      <w:r>
        <w:rPr>
          <w:rFonts w:hint="eastAsia"/>
          <w:b/>
          <w:kern w:val="0"/>
          <w:sz w:val="20"/>
          <w:szCs w:val="20"/>
        </w:rPr>
        <w:t>，</w:t>
      </w:r>
      <w:r>
        <w:rPr>
          <w:rFonts w:eastAsia="黑体"/>
          <w:b/>
          <w:bCs/>
          <w:sz w:val="20"/>
          <w:szCs w:val="20"/>
        </w:rPr>
        <w:t>wiring</w:t>
      </w:r>
      <w:r>
        <w:rPr>
          <w:rFonts w:hint="eastAsia"/>
          <w:b/>
          <w:kern w:val="0"/>
          <w:sz w:val="20"/>
          <w:szCs w:val="20"/>
        </w:rPr>
        <w:t>，</w:t>
      </w:r>
      <w:r>
        <w:rPr>
          <w:rFonts w:eastAsia="黑体"/>
          <w:b/>
          <w:bCs/>
          <w:sz w:val="20"/>
          <w:szCs w:val="20"/>
        </w:rPr>
        <w:t>cable</w:t>
      </w:r>
      <w:r>
        <w:rPr>
          <w:rFonts w:eastAsia="黑体"/>
          <w:b/>
          <w:bCs/>
          <w:sz w:val="20"/>
          <w:szCs w:val="20"/>
        </w:rPr>
        <w:tab/>
      </w:r>
      <w:r>
        <w:rPr>
          <w:rFonts w:eastAsia="黑体"/>
          <w:b/>
          <w:bCs/>
          <w:sz w:val="20"/>
          <w:szCs w:val="20"/>
        </w:rPr>
        <w:t>23</w:t>
      </w:r>
    </w:p>
    <w:p>
      <w:pPr>
        <w:tabs>
          <w:tab w:val="right" w:leader="dot" w:pos="8400"/>
        </w:tabs>
        <w:spacing w:before="120" w:after="120"/>
        <w:ind w:left="210" w:right="90" w:rightChars="43"/>
        <w:rPr>
          <w:sz w:val="20"/>
          <w:szCs w:val="20"/>
        </w:rPr>
      </w:pPr>
      <w:r>
        <w:rPr>
          <w:sz w:val="20"/>
          <w:szCs w:val="20"/>
        </w:rPr>
        <w:t xml:space="preserve">5.1  </w:t>
      </w:r>
      <w:r>
        <w:rPr>
          <w:kern w:val="0"/>
          <w:sz w:val="20"/>
          <w:szCs w:val="20"/>
        </w:rPr>
        <w:t>Installation of busway</w:t>
      </w:r>
      <w:r>
        <w:rPr>
          <w:sz w:val="20"/>
          <w:szCs w:val="20"/>
        </w:rPr>
        <w:tab/>
      </w:r>
      <w:r>
        <w:rPr>
          <w:sz w:val="20"/>
          <w:szCs w:val="20"/>
        </w:rPr>
        <w:t>23</w:t>
      </w:r>
    </w:p>
    <w:p>
      <w:pPr>
        <w:tabs>
          <w:tab w:val="right" w:leader="dot" w:pos="8400"/>
        </w:tabs>
        <w:spacing w:before="120" w:after="120"/>
        <w:ind w:left="210" w:right="90" w:rightChars="43"/>
        <w:rPr>
          <w:sz w:val="20"/>
          <w:szCs w:val="20"/>
        </w:rPr>
      </w:pPr>
      <w:r>
        <w:rPr>
          <w:sz w:val="20"/>
          <w:szCs w:val="20"/>
        </w:rPr>
        <w:t xml:space="preserve">5.2  </w:t>
      </w:r>
      <w:r>
        <w:rPr>
          <w:kern w:val="0"/>
          <w:sz w:val="20"/>
          <w:szCs w:val="20"/>
        </w:rPr>
        <w:t>Installation of ladder</w:t>
      </w:r>
      <w:r>
        <w:rPr>
          <w:rFonts w:hint="eastAsia"/>
          <w:kern w:val="0"/>
          <w:sz w:val="20"/>
          <w:szCs w:val="20"/>
        </w:rPr>
        <w:t>，</w:t>
      </w:r>
      <w:r>
        <w:rPr>
          <w:kern w:val="0"/>
          <w:sz w:val="20"/>
          <w:szCs w:val="20"/>
        </w:rPr>
        <w:t>tray and trunking</w:t>
      </w:r>
      <w:r>
        <w:rPr>
          <w:sz w:val="20"/>
          <w:szCs w:val="20"/>
        </w:rPr>
        <w:tab/>
      </w:r>
      <w:r>
        <w:rPr>
          <w:sz w:val="20"/>
          <w:szCs w:val="20"/>
        </w:rPr>
        <w:t>26</w:t>
      </w:r>
    </w:p>
    <w:p>
      <w:pPr>
        <w:tabs>
          <w:tab w:val="right" w:leader="dot" w:pos="8400"/>
        </w:tabs>
        <w:spacing w:before="120" w:after="120"/>
        <w:ind w:left="210" w:right="90" w:rightChars="43"/>
        <w:rPr>
          <w:sz w:val="20"/>
          <w:szCs w:val="20"/>
        </w:rPr>
      </w:pPr>
      <w:r>
        <w:rPr>
          <w:sz w:val="20"/>
          <w:szCs w:val="20"/>
        </w:rPr>
        <w:t xml:space="preserve">5.3  </w:t>
      </w:r>
      <w:r>
        <w:rPr>
          <w:kern w:val="0"/>
          <w:sz w:val="20"/>
          <w:szCs w:val="20"/>
        </w:rPr>
        <w:t>Conduit laying</w:t>
      </w:r>
      <w:r>
        <w:rPr>
          <w:sz w:val="20"/>
          <w:szCs w:val="20"/>
        </w:rPr>
        <w:tab/>
      </w:r>
      <w:r>
        <w:rPr>
          <w:sz w:val="20"/>
          <w:szCs w:val="20"/>
        </w:rPr>
        <w:t>28</w:t>
      </w:r>
    </w:p>
    <w:p>
      <w:pPr>
        <w:tabs>
          <w:tab w:val="right" w:leader="dot" w:pos="8400"/>
        </w:tabs>
        <w:spacing w:before="120" w:after="120"/>
        <w:ind w:left="210" w:right="90" w:rightChars="43"/>
        <w:rPr>
          <w:sz w:val="20"/>
          <w:szCs w:val="20"/>
        </w:rPr>
      </w:pPr>
      <w:r>
        <w:rPr>
          <w:sz w:val="20"/>
          <w:szCs w:val="20"/>
        </w:rPr>
        <w:t xml:space="preserve">5.4  </w:t>
      </w:r>
      <w:r>
        <w:rPr>
          <w:kern w:val="0"/>
          <w:sz w:val="20"/>
          <w:szCs w:val="20"/>
        </w:rPr>
        <w:t>Cable laying</w:t>
      </w:r>
      <w:r>
        <w:rPr>
          <w:sz w:val="20"/>
          <w:szCs w:val="20"/>
        </w:rPr>
        <w:tab/>
      </w:r>
      <w:r>
        <w:rPr>
          <w:sz w:val="20"/>
          <w:szCs w:val="20"/>
        </w:rPr>
        <w:t>33</w:t>
      </w:r>
    </w:p>
    <w:p>
      <w:pPr>
        <w:tabs>
          <w:tab w:val="right" w:leader="dot" w:pos="8400"/>
        </w:tabs>
        <w:spacing w:before="120" w:after="120"/>
        <w:ind w:left="210" w:right="90" w:rightChars="43"/>
        <w:rPr>
          <w:sz w:val="20"/>
          <w:szCs w:val="20"/>
        </w:rPr>
      </w:pPr>
      <w:r>
        <w:rPr>
          <w:sz w:val="20"/>
          <w:szCs w:val="20"/>
        </w:rPr>
        <w:t xml:space="preserve">5.5  </w:t>
      </w:r>
      <w:r>
        <w:rPr>
          <w:kern w:val="0"/>
          <w:sz w:val="20"/>
          <w:szCs w:val="20"/>
        </w:rPr>
        <w:t>Mineral cable laying</w:t>
      </w:r>
      <w:r>
        <w:rPr>
          <w:sz w:val="20"/>
          <w:szCs w:val="20"/>
        </w:rPr>
        <w:tab/>
      </w:r>
      <w:r>
        <w:rPr>
          <w:sz w:val="20"/>
          <w:szCs w:val="20"/>
        </w:rPr>
        <w:t>40</w:t>
      </w:r>
    </w:p>
    <w:p>
      <w:pPr>
        <w:tabs>
          <w:tab w:val="right" w:leader="dot" w:pos="8400"/>
        </w:tabs>
        <w:spacing w:before="120" w:after="120"/>
        <w:ind w:left="210" w:right="90" w:rightChars="43"/>
        <w:rPr>
          <w:sz w:val="20"/>
          <w:szCs w:val="20"/>
        </w:rPr>
      </w:pPr>
      <w:r>
        <w:rPr>
          <w:sz w:val="20"/>
          <w:szCs w:val="20"/>
        </w:rPr>
        <w:t xml:space="preserve">5.6  </w:t>
      </w:r>
      <w:r>
        <w:rPr>
          <w:kern w:val="0"/>
          <w:sz w:val="20"/>
          <w:szCs w:val="20"/>
        </w:rPr>
        <w:t>Prebranch cable</w:t>
      </w:r>
      <w:r>
        <w:rPr>
          <w:sz w:val="20"/>
          <w:szCs w:val="20"/>
        </w:rPr>
        <w:tab/>
      </w:r>
      <w:r>
        <w:rPr>
          <w:sz w:val="20"/>
          <w:szCs w:val="20"/>
        </w:rPr>
        <w:t>41</w:t>
      </w:r>
    </w:p>
    <w:p>
      <w:pPr>
        <w:tabs>
          <w:tab w:val="right" w:leader="dot" w:pos="8400"/>
        </w:tabs>
        <w:spacing w:before="120" w:after="120"/>
        <w:ind w:left="210" w:right="90" w:rightChars="43"/>
        <w:rPr>
          <w:sz w:val="20"/>
          <w:szCs w:val="20"/>
        </w:rPr>
      </w:pPr>
      <w:r>
        <w:rPr>
          <w:sz w:val="20"/>
          <w:szCs w:val="20"/>
        </w:rPr>
        <w:t xml:space="preserve">5.7  </w:t>
      </w:r>
      <w:r>
        <w:rPr>
          <w:kern w:val="0"/>
          <w:sz w:val="20"/>
          <w:szCs w:val="20"/>
        </w:rPr>
        <w:t>Conduit wiring and trunking wiring</w:t>
      </w:r>
      <w:r>
        <w:rPr>
          <w:sz w:val="20"/>
          <w:szCs w:val="20"/>
        </w:rPr>
        <w:tab/>
      </w:r>
      <w:r>
        <w:rPr>
          <w:sz w:val="20"/>
          <w:szCs w:val="20"/>
        </w:rPr>
        <w:t>42</w:t>
      </w:r>
    </w:p>
    <w:p>
      <w:pPr>
        <w:tabs>
          <w:tab w:val="right" w:leader="dot" w:pos="8400"/>
        </w:tabs>
        <w:spacing w:before="120" w:after="120"/>
        <w:ind w:left="210" w:right="90" w:rightChars="43"/>
        <w:rPr>
          <w:sz w:val="20"/>
          <w:szCs w:val="20"/>
        </w:rPr>
      </w:pPr>
      <w:r>
        <w:rPr>
          <w:sz w:val="20"/>
          <w:szCs w:val="20"/>
        </w:rPr>
        <w:t xml:space="preserve">5.8  </w:t>
      </w:r>
      <w:r>
        <w:rPr>
          <w:kern w:val="0"/>
          <w:sz w:val="20"/>
          <w:szCs w:val="20"/>
        </w:rPr>
        <w:t>Straight laying of plastic sheathed wire y</w:t>
      </w:r>
      <w:r>
        <w:rPr>
          <w:sz w:val="20"/>
          <w:szCs w:val="20"/>
        </w:rPr>
        <w:tab/>
      </w:r>
      <w:r>
        <w:rPr>
          <w:sz w:val="20"/>
          <w:szCs w:val="20"/>
        </w:rPr>
        <w:t>44</w:t>
      </w:r>
    </w:p>
    <w:p>
      <w:pPr>
        <w:tabs>
          <w:tab w:val="right" w:leader="dot" w:pos="8400"/>
        </w:tabs>
        <w:spacing w:before="120" w:after="120"/>
        <w:ind w:left="210" w:right="90" w:rightChars="43"/>
        <w:rPr>
          <w:sz w:val="20"/>
          <w:szCs w:val="20"/>
        </w:rPr>
      </w:pPr>
      <w:r>
        <w:rPr>
          <w:sz w:val="20"/>
          <w:szCs w:val="20"/>
        </w:rPr>
        <w:t xml:space="preserve">5.9  </w:t>
      </w:r>
      <w:r>
        <w:rPr>
          <w:kern w:val="0"/>
          <w:sz w:val="20"/>
          <w:szCs w:val="20"/>
        </w:rPr>
        <w:t>Steel rope wiring</w:t>
      </w:r>
      <w:r>
        <w:rPr>
          <w:sz w:val="20"/>
          <w:szCs w:val="20"/>
        </w:rPr>
        <w:tab/>
      </w:r>
      <w:r>
        <w:rPr>
          <w:sz w:val="20"/>
          <w:szCs w:val="20"/>
        </w:rPr>
        <w:t>45</w:t>
      </w:r>
    </w:p>
    <w:p>
      <w:pPr>
        <w:tabs>
          <w:tab w:val="right" w:leader="dot" w:pos="8400"/>
        </w:tabs>
        <w:spacing w:before="120" w:after="120"/>
        <w:ind w:left="210" w:right="90" w:rightChars="43"/>
        <w:rPr>
          <w:kern w:val="0"/>
          <w:sz w:val="20"/>
          <w:szCs w:val="20"/>
        </w:rPr>
      </w:pPr>
      <w:r>
        <w:rPr>
          <w:sz w:val="20"/>
          <w:szCs w:val="20"/>
        </w:rPr>
        <w:t xml:space="preserve">5.10  </w:t>
      </w:r>
      <w:r>
        <w:rPr>
          <w:kern w:val="0"/>
          <w:sz w:val="20"/>
          <w:szCs w:val="20"/>
        </w:rPr>
        <w:t>Cable head production</w:t>
      </w:r>
      <w:r>
        <w:rPr>
          <w:rFonts w:hint="eastAsia"/>
          <w:kern w:val="0"/>
          <w:sz w:val="20"/>
          <w:szCs w:val="20"/>
        </w:rPr>
        <w:t>，</w:t>
      </w:r>
      <w:r>
        <w:rPr>
          <w:kern w:val="0"/>
          <w:sz w:val="20"/>
          <w:szCs w:val="20"/>
        </w:rPr>
        <w:t xml:space="preserve"> cable connection and line</w:t>
      </w:r>
      <w:r>
        <w:rPr>
          <w:rFonts w:hint="eastAsia"/>
          <w:kern w:val="0"/>
          <w:sz w:val="20"/>
          <w:szCs w:val="20"/>
        </w:rPr>
        <w:t xml:space="preserve"> </w:t>
      </w:r>
      <w:r>
        <w:rPr>
          <w:kern w:val="0"/>
          <w:sz w:val="20"/>
          <w:szCs w:val="20"/>
        </w:rPr>
        <w:t>insulation test</w:t>
      </w:r>
      <w:r>
        <w:rPr>
          <w:kern w:val="0"/>
          <w:sz w:val="20"/>
          <w:szCs w:val="20"/>
        </w:rPr>
        <w:tab/>
      </w:r>
      <w:r>
        <w:rPr>
          <w:kern w:val="0"/>
          <w:sz w:val="20"/>
          <w:szCs w:val="20"/>
        </w:rPr>
        <w:t>46</w:t>
      </w:r>
    </w:p>
    <w:p>
      <w:pPr>
        <w:tabs>
          <w:tab w:val="right" w:leader="dot" w:pos="8400"/>
        </w:tabs>
        <w:spacing w:before="120" w:after="120"/>
        <w:ind w:right="90" w:rightChars="43"/>
        <w:rPr>
          <w:sz w:val="20"/>
          <w:szCs w:val="20"/>
        </w:rPr>
      </w:pPr>
      <w:r>
        <w:rPr>
          <w:rFonts w:eastAsia="黑体"/>
          <w:b/>
          <w:bCs/>
          <w:sz w:val="20"/>
          <w:szCs w:val="20"/>
        </w:rPr>
        <w:t>6  Power equipment</w:t>
      </w:r>
      <w:r>
        <w:rPr>
          <w:rFonts w:eastAsia="黑体"/>
          <w:b/>
          <w:bCs/>
          <w:sz w:val="20"/>
          <w:szCs w:val="20"/>
        </w:rPr>
        <w:tab/>
      </w:r>
      <w:r>
        <w:rPr>
          <w:rFonts w:eastAsia="黑体"/>
          <w:b/>
          <w:bCs/>
          <w:sz w:val="20"/>
          <w:szCs w:val="20"/>
        </w:rPr>
        <w:t>49</w:t>
      </w:r>
    </w:p>
    <w:p>
      <w:pPr>
        <w:tabs>
          <w:tab w:val="right" w:leader="dot" w:pos="8400"/>
        </w:tabs>
        <w:spacing w:before="120" w:after="120"/>
        <w:ind w:left="210" w:right="90" w:rightChars="43"/>
        <w:rPr>
          <w:sz w:val="20"/>
          <w:szCs w:val="20"/>
        </w:rPr>
      </w:pPr>
      <w:r>
        <w:rPr>
          <w:sz w:val="20"/>
          <w:szCs w:val="20"/>
        </w:rPr>
        <w:t>6.1  Check the wiring of electromotor</w:t>
      </w:r>
      <w:r>
        <w:rPr>
          <w:rFonts w:hint="eastAsia"/>
          <w:sz w:val="20"/>
          <w:szCs w:val="20"/>
        </w:rPr>
        <w:t>，</w:t>
      </w:r>
      <w:r>
        <w:rPr>
          <w:sz w:val="20"/>
          <w:szCs w:val="20"/>
        </w:rPr>
        <w:t xml:space="preserve"> electrical heater</w:t>
      </w:r>
      <w:r>
        <w:rPr>
          <w:sz w:val="20"/>
          <w:szCs w:val="20"/>
        </w:rPr>
        <w:tab/>
      </w:r>
      <w:r>
        <w:rPr>
          <w:sz w:val="20"/>
          <w:szCs w:val="20"/>
        </w:rPr>
        <w:t>49</w:t>
      </w:r>
    </w:p>
    <w:p>
      <w:pPr>
        <w:tabs>
          <w:tab w:val="right" w:leader="dot" w:pos="8400"/>
        </w:tabs>
        <w:spacing w:before="120" w:after="120"/>
        <w:ind w:left="210" w:right="90" w:rightChars="43"/>
        <w:rPr>
          <w:sz w:val="20"/>
          <w:szCs w:val="20"/>
        </w:rPr>
      </w:pPr>
      <w:r>
        <w:rPr>
          <w:sz w:val="20"/>
          <w:szCs w:val="20"/>
        </w:rPr>
        <w:t xml:space="preserve">6.2  </w:t>
      </w:r>
      <w:r>
        <w:rPr>
          <w:kern w:val="0"/>
          <w:sz w:val="20"/>
          <w:szCs w:val="20"/>
        </w:rPr>
        <w:t>Special power equipment for municipal and rail transit projects</w:t>
      </w:r>
      <w:r>
        <w:rPr>
          <w:sz w:val="20"/>
          <w:szCs w:val="20"/>
        </w:rPr>
        <w:tab/>
      </w:r>
      <w:r>
        <w:rPr>
          <w:sz w:val="20"/>
          <w:szCs w:val="20"/>
        </w:rPr>
        <w:t>51</w:t>
      </w:r>
    </w:p>
    <w:p>
      <w:pPr>
        <w:tabs>
          <w:tab w:val="right" w:leader="dot" w:pos="8400"/>
        </w:tabs>
        <w:spacing w:before="120" w:after="120"/>
        <w:ind w:left="210" w:right="90" w:rightChars="43"/>
        <w:rPr>
          <w:sz w:val="20"/>
          <w:szCs w:val="20"/>
        </w:rPr>
      </w:pPr>
      <w:r>
        <w:rPr>
          <w:sz w:val="20"/>
          <w:szCs w:val="20"/>
        </w:rPr>
        <w:t xml:space="preserve">6.3  </w:t>
      </w:r>
      <w:r>
        <w:rPr>
          <w:kern w:val="0"/>
          <w:sz w:val="20"/>
          <w:szCs w:val="20"/>
        </w:rPr>
        <w:t>Installation of fire fighting equipment</w:t>
      </w:r>
      <w:r>
        <w:rPr>
          <w:sz w:val="20"/>
          <w:szCs w:val="20"/>
        </w:rPr>
        <w:tab/>
      </w:r>
      <w:r>
        <w:rPr>
          <w:sz w:val="20"/>
          <w:szCs w:val="20"/>
        </w:rPr>
        <w:t>54</w:t>
      </w:r>
    </w:p>
    <w:p>
      <w:pPr>
        <w:tabs>
          <w:tab w:val="right" w:leader="dot" w:pos="8400"/>
        </w:tabs>
        <w:spacing w:before="120" w:after="120"/>
        <w:ind w:left="210" w:right="90" w:rightChars="43"/>
        <w:rPr>
          <w:sz w:val="20"/>
          <w:szCs w:val="20"/>
        </w:rPr>
      </w:pPr>
      <w:r>
        <w:rPr>
          <w:sz w:val="20"/>
          <w:szCs w:val="20"/>
        </w:rPr>
        <w:t xml:space="preserve">6.4  </w:t>
      </w:r>
      <w:r>
        <w:rPr>
          <w:kern w:val="0"/>
          <w:sz w:val="20"/>
          <w:szCs w:val="20"/>
        </w:rPr>
        <w:t>Electric vehicle power supply equipment</w:t>
      </w:r>
      <w:r>
        <w:rPr>
          <w:sz w:val="20"/>
          <w:szCs w:val="20"/>
        </w:rPr>
        <w:tab/>
      </w:r>
      <w:r>
        <w:rPr>
          <w:sz w:val="20"/>
          <w:szCs w:val="20"/>
        </w:rPr>
        <w:t>60</w:t>
      </w:r>
    </w:p>
    <w:p>
      <w:pPr>
        <w:tabs>
          <w:tab w:val="right" w:leader="dot" w:pos="8400"/>
        </w:tabs>
        <w:spacing w:before="120" w:after="120"/>
        <w:ind w:left="210" w:right="90" w:rightChars="43"/>
        <w:rPr>
          <w:sz w:val="20"/>
          <w:szCs w:val="20"/>
        </w:rPr>
      </w:pPr>
      <w:r>
        <w:rPr>
          <w:sz w:val="20"/>
          <w:szCs w:val="20"/>
        </w:rPr>
        <w:t xml:space="preserve">6.5  </w:t>
      </w:r>
      <w:r>
        <w:rPr>
          <w:kern w:val="0"/>
          <w:sz w:val="20"/>
          <w:szCs w:val="20"/>
        </w:rPr>
        <w:t>Other commonly used power equipment installation</w:t>
      </w:r>
      <w:r>
        <w:rPr>
          <w:sz w:val="20"/>
          <w:szCs w:val="20"/>
        </w:rPr>
        <w:tab/>
      </w:r>
      <w:r>
        <w:rPr>
          <w:sz w:val="20"/>
          <w:szCs w:val="20"/>
        </w:rPr>
        <w:t>62</w:t>
      </w:r>
    </w:p>
    <w:p>
      <w:pPr>
        <w:tabs>
          <w:tab w:val="right" w:leader="dot" w:pos="8400"/>
        </w:tabs>
        <w:spacing w:before="120" w:after="120"/>
        <w:ind w:left="210" w:right="90" w:rightChars="43"/>
        <w:rPr>
          <w:sz w:val="20"/>
          <w:szCs w:val="20"/>
        </w:rPr>
      </w:pPr>
      <w:r>
        <w:rPr>
          <w:sz w:val="20"/>
          <w:szCs w:val="20"/>
        </w:rPr>
        <w:t xml:space="preserve">6.6  </w:t>
      </w:r>
      <w:r>
        <w:rPr>
          <w:kern w:val="0"/>
          <w:sz w:val="20"/>
          <w:szCs w:val="20"/>
        </w:rPr>
        <w:t>Testing and power test run of electrical equipment</w:t>
      </w:r>
      <w:r>
        <w:rPr>
          <w:sz w:val="20"/>
          <w:szCs w:val="20"/>
        </w:rPr>
        <w:tab/>
      </w:r>
      <w:r>
        <w:rPr>
          <w:sz w:val="20"/>
          <w:szCs w:val="20"/>
        </w:rPr>
        <w:t>64</w:t>
      </w:r>
    </w:p>
    <w:p>
      <w:pPr>
        <w:tabs>
          <w:tab w:val="right" w:leader="dot" w:pos="8400"/>
        </w:tabs>
        <w:spacing w:before="120" w:after="120"/>
        <w:ind w:right="90" w:rightChars="43"/>
        <w:rPr>
          <w:sz w:val="20"/>
          <w:szCs w:val="20"/>
        </w:rPr>
      </w:pPr>
      <w:r>
        <w:rPr>
          <w:rFonts w:eastAsia="黑体"/>
          <w:b/>
          <w:bCs/>
          <w:sz w:val="20"/>
          <w:szCs w:val="20"/>
        </w:rPr>
        <w:t>7  Illumination</w:t>
      </w:r>
      <w:r>
        <w:rPr>
          <w:rFonts w:eastAsia="黑体"/>
          <w:b/>
          <w:bCs/>
          <w:sz w:val="20"/>
          <w:szCs w:val="20"/>
        </w:rPr>
        <w:tab/>
      </w:r>
      <w:r>
        <w:rPr>
          <w:rFonts w:eastAsia="黑体"/>
          <w:b/>
          <w:bCs/>
          <w:sz w:val="20"/>
          <w:szCs w:val="20"/>
        </w:rPr>
        <w:t>66</w:t>
      </w:r>
    </w:p>
    <w:p>
      <w:pPr>
        <w:tabs>
          <w:tab w:val="right" w:leader="dot" w:pos="8400"/>
        </w:tabs>
        <w:spacing w:before="120" w:after="120"/>
        <w:ind w:left="210" w:right="90" w:rightChars="43"/>
        <w:rPr>
          <w:sz w:val="20"/>
          <w:szCs w:val="20"/>
        </w:rPr>
      </w:pPr>
      <w:r>
        <w:rPr>
          <w:sz w:val="20"/>
          <w:szCs w:val="20"/>
        </w:rPr>
        <w:t>7.1  Installation of electrical lighting fixtures</w:t>
      </w:r>
      <w:r>
        <w:rPr>
          <w:sz w:val="20"/>
          <w:szCs w:val="20"/>
        </w:rPr>
        <w:tab/>
      </w:r>
      <w:r>
        <w:rPr>
          <w:sz w:val="20"/>
          <w:szCs w:val="20"/>
        </w:rPr>
        <w:t>66</w:t>
      </w:r>
    </w:p>
    <w:p>
      <w:pPr>
        <w:tabs>
          <w:tab w:val="right" w:leader="dot" w:pos="8400"/>
        </w:tabs>
        <w:spacing w:before="120" w:after="120"/>
        <w:ind w:left="210" w:right="90" w:rightChars="43"/>
        <w:rPr>
          <w:sz w:val="20"/>
          <w:szCs w:val="20"/>
        </w:rPr>
      </w:pPr>
      <w:r>
        <w:rPr>
          <w:sz w:val="20"/>
          <w:szCs w:val="20"/>
        </w:rPr>
        <w:t xml:space="preserve">7.2  </w:t>
      </w:r>
      <w:r>
        <w:rPr>
          <w:kern w:val="0"/>
          <w:sz w:val="20"/>
          <w:szCs w:val="20"/>
        </w:rPr>
        <w:t>Installation of switche</w:t>
      </w:r>
      <w:r>
        <w:rPr>
          <w:rFonts w:hint="eastAsia"/>
          <w:kern w:val="0"/>
          <w:sz w:val="20"/>
          <w:szCs w:val="20"/>
        </w:rPr>
        <w:t>，</w:t>
      </w:r>
      <w:r>
        <w:rPr>
          <w:kern w:val="0"/>
          <w:sz w:val="20"/>
          <w:szCs w:val="20"/>
        </w:rPr>
        <w:t xml:space="preserve"> socket and fan</w:t>
      </w:r>
      <w:r>
        <w:rPr>
          <w:sz w:val="20"/>
          <w:szCs w:val="20"/>
        </w:rPr>
        <w:tab/>
      </w:r>
      <w:r>
        <w:rPr>
          <w:sz w:val="20"/>
          <w:szCs w:val="20"/>
        </w:rPr>
        <w:t>74</w:t>
      </w:r>
    </w:p>
    <w:p>
      <w:pPr>
        <w:tabs>
          <w:tab w:val="right" w:leader="dot" w:pos="8400"/>
        </w:tabs>
        <w:spacing w:before="120" w:after="120"/>
        <w:ind w:left="210" w:right="90" w:rightChars="43"/>
        <w:rPr>
          <w:sz w:val="20"/>
          <w:szCs w:val="20"/>
        </w:rPr>
      </w:pPr>
      <w:r>
        <w:rPr>
          <w:sz w:val="20"/>
          <w:szCs w:val="20"/>
        </w:rPr>
        <w:t xml:space="preserve">7.3  </w:t>
      </w:r>
      <w:r>
        <w:rPr>
          <w:kern w:val="0"/>
          <w:sz w:val="20"/>
          <w:szCs w:val="20"/>
        </w:rPr>
        <w:t>Power test run of building lighting</w:t>
      </w:r>
      <w:r>
        <w:rPr>
          <w:sz w:val="20"/>
          <w:szCs w:val="20"/>
        </w:rPr>
        <w:tab/>
      </w:r>
      <w:r>
        <w:rPr>
          <w:sz w:val="20"/>
          <w:szCs w:val="20"/>
        </w:rPr>
        <w:t>76</w:t>
      </w:r>
    </w:p>
    <w:p>
      <w:pPr>
        <w:tabs>
          <w:tab w:val="right" w:leader="dot" w:pos="8400"/>
        </w:tabs>
        <w:spacing w:before="120" w:after="120"/>
        <w:ind w:right="90" w:rightChars="43"/>
        <w:rPr>
          <w:sz w:val="20"/>
          <w:szCs w:val="20"/>
        </w:rPr>
      </w:pPr>
      <w:r>
        <w:rPr>
          <w:rFonts w:eastAsia="黑体"/>
          <w:b/>
          <w:bCs/>
          <w:sz w:val="20"/>
          <w:szCs w:val="20"/>
        </w:rPr>
        <w:t>8  Lightning protection</w:t>
      </w:r>
      <w:r>
        <w:rPr>
          <w:rFonts w:hint="eastAsia" w:eastAsia="黑体"/>
          <w:b/>
          <w:bCs/>
          <w:sz w:val="20"/>
          <w:szCs w:val="20"/>
        </w:rPr>
        <w:t>，</w:t>
      </w:r>
      <w:r>
        <w:rPr>
          <w:rFonts w:eastAsia="黑体"/>
          <w:b/>
          <w:bCs/>
          <w:sz w:val="20"/>
          <w:szCs w:val="20"/>
        </w:rPr>
        <w:t xml:space="preserve"> grounding and equal potential</w:t>
      </w:r>
      <w:r>
        <w:rPr>
          <w:rFonts w:eastAsia="黑体"/>
          <w:b/>
          <w:bCs/>
          <w:sz w:val="20"/>
          <w:szCs w:val="20"/>
        </w:rPr>
        <w:tab/>
      </w:r>
      <w:r>
        <w:rPr>
          <w:rFonts w:eastAsia="黑体"/>
          <w:b/>
          <w:bCs/>
          <w:sz w:val="20"/>
          <w:szCs w:val="20"/>
        </w:rPr>
        <w:t>78</w:t>
      </w:r>
    </w:p>
    <w:p>
      <w:pPr>
        <w:tabs>
          <w:tab w:val="right" w:leader="dot" w:pos="8400"/>
        </w:tabs>
        <w:spacing w:before="120" w:after="120"/>
        <w:ind w:left="210" w:right="90" w:rightChars="43"/>
        <w:rPr>
          <w:sz w:val="20"/>
          <w:szCs w:val="20"/>
        </w:rPr>
      </w:pPr>
      <w:r>
        <w:rPr>
          <w:sz w:val="20"/>
          <w:szCs w:val="20"/>
        </w:rPr>
        <w:t>8.1  Installation of electrical lighting grounding device</w:t>
      </w:r>
      <w:r>
        <w:rPr>
          <w:sz w:val="20"/>
          <w:szCs w:val="20"/>
        </w:rPr>
        <w:tab/>
      </w:r>
      <w:r>
        <w:rPr>
          <w:sz w:val="20"/>
          <w:szCs w:val="20"/>
        </w:rPr>
        <w:t>78</w:t>
      </w:r>
    </w:p>
    <w:p>
      <w:pPr>
        <w:tabs>
          <w:tab w:val="right" w:leader="dot" w:pos="8400"/>
        </w:tabs>
        <w:spacing w:before="120" w:after="120"/>
        <w:ind w:left="210" w:right="90" w:rightChars="43"/>
        <w:rPr>
          <w:sz w:val="20"/>
          <w:szCs w:val="20"/>
        </w:rPr>
      </w:pPr>
      <w:r>
        <w:rPr>
          <w:sz w:val="20"/>
          <w:szCs w:val="20"/>
        </w:rPr>
        <w:t xml:space="preserve">8.2  </w:t>
      </w:r>
      <w:r>
        <w:rPr>
          <w:kern w:val="0"/>
          <w:sz w:val="20"/>
          <w:szCs w:val="20"/>
        </w:rPr>
        <w:t>Grouding main line laying in electricity transformation</w:t>
      </w:r>
      <w:r>
        <w:rPr>
          <w:rFonts w:hint="eastAsia"/>
          <w:kern w:val="0"/>
          <w:sz w:val="20"/>
          <w:szCs w:val="20"/>
        </w:rPr>
        <w:t xml:space="preserve"> </w:t>
      </w:r>
      <w:r>
        <w:rPr>
          <w:sz w:val="20"/>
          <w:szCs w:val="20"/>
        </w:rPr>
        <w:t xml:space="preserve">and distribution room and </w:t>
      </w:r>
    </w:p>
    <w:p>
      <w:pPr>
        <w:tabs>
          <w:tab w:val="right" w:leader="dot" w:pos="8400"/>
        </w:tabs>
        <w:spacing w:before="120" w:after="120"/>
        <w:ind w:left="210" w:right="90" w:rightChars="43" w:firstLine="400" w:firstLineChars="200"/>
        <w:rPr>
          <w:kern w:val="0"/>
          <w:sz w:val="20"/>
          <w:szCs w:val="20"/>
        </w:rPr>
      </w:pPr>
      <w:r>
        <w:rPr>
          <w:sz w:val="20"/>
          <w:szCs w:val="20"/>
        </w:rPr>
        <w:t>electrical shaft</w:t>
      </w:r>
      <w:r>
        <w:rPr>
          <w:sz w:val="20"/>
          <w:szCs w:val="20"/>
        </w:rPr>
        <w:tab/>
      </w:r>
      <w:r>
        <w:rPr>
          <w:sz w:val="20"/>
          <w:szCs w:val="20"/>
        </w:rPr>
        <w:t>80</w:t>
      </w:r>
    </w:p>
    <w:p>
      <w:pPr>
        <w:tabs>
          <w:tab w:val="right" w:leader="dot" w:pos="8400"/>
        </w:tabs>
        <w:spacing w:before="120" w:after="120"/>
        <w:ind w:left="210" w:right="90" w:rightChars="43"/>
        <w:rPr>
          <w:kern w:val="0"/>
          <w:sz w:val="20"/>
          <w:szCs w:val="20"/>
        </w:rPr>
      </w:pPr>
      <w:r>
        <w:rPr>
          <w:sz w:val="20"/>
          <w:szCs w:val="20"/>
        </w:rPr>
        <w:t xml:space="preserve">8.3  </w:t>
      </w:r>
      <w:r>
        <w:rPr>
          <w:kern w:val="0"/>
          <w:sz w:val="20"/>
          <w:szCs w:val="20"/>
        </w:rPr>
        <w:t>Installation of lightning down-conductor</w:t>
      </w:r>
      <w:r>
        <w:rPr>
          <w:rFonts w:hint="eastAsia"/>
          <w:kern w:val="0"/>
          <w:sz w:val="20"/>
          <w:szCs w:val="20"/>
        </w:rPr>
        <w:t xml:space="preserve"> </w:t>
      </w:r>
      <w:r>
        <w:rPr>
          <w:sz w:val="20"/>
          <w:szCs w:val="20"/>
        </w:rPr>
        <w:t>and air-termination</w:t>
      </w:r>
      <w:r>
        <w:rPr>
          <w:sz w:val="20"/>
          <w:szCs w:val="20"/>
        </w:rPr>
        <w:tab/>
      </w:r>
      <w:r>
        <w:rPr>
          <w:sz w:val="20"/>
          <w:szCs w:val="20"/>
        </w:rPr>
        <w:t>82</w:t>
      </w:r>
    </w:p>
    <w:p>
      <w:pPr>
        <w:tabs>
          <w:tab w:val="right" w:leader="dot" w:pos="8400"/>
        </w:tabs>
        <w:spacing w:before="120" w:after="120"/>
        <w:ind w:left="210" w:right="90" w:rightChars="43"/>
        <w:rPr>
          <w:sz w:val="20"/>
          <w:szCs w:val="20"/>
        </w:rPr>
      </w:pPr>
      <w:r>
        <w:rPr>
          <w:sz w:val="20"/>
          <w:szCs w:val="20"/>
        </w:rPr>
        <w:t>8.4  Equipotential bonding of buildings</w:t>
      </w:r>
      <w:r>
        <w:rPr>
          <w:sz w:val="20"/>
          <w:szCs w:val="20"/>
        </w:rPr>
        <w:tab/>
      </w:r>
      <w:r>
        <w:rPr>
          <w:sz w:val="20"/>
          <w:szCs w:val="20"/>
        </w:rPr>
        <w:t>83</w:t>
      </w:r>
    </w:p>
    <w:p>
      <w:pPr>
        <w:tabs>
          <w:tab w:val="right" w:leader="dot" w:pos="8400"/>
        </w:tabs>
        <w:spacing w:before="120" w:after="120"/>
        <w:ind w:left="210" w:right="90" w:rightChars="43"/>
        <w:rPr>
          <w:sz w:val="20"/>
          <w:szCs w:val="20"/>
        </w:rPr>
      </w:pPr>
      <w:r>
        <w:rPr>
          <w:sz w:val="20"/>
          <w:szCs w:val="20"/>
        </w:rPr>
        <w:t xml:space="preserve">8.5  </w:t>
      </w:r>
      <w:r>
        <w:rPr>
          <w:kern w:val="0"/>
          <w:sz w:val="20"/>
          <w:szCs w:val="20"/>
        </w:rPr>
        <w:t>Installation of lightning protection grounding for municipal projects</w:t>
      </w:r>
      <w:r>
        <w:rPr>
          <w:sz w:val="20"/>
          <w:szCs w:val="20"/>
        </w:rPr>
        <w:tab/>
      </w:r>
      <w:r>
        <w:rPr>
          <w:sz w:val="20"/>
          <w:szCs w:val="20"/>
        </w:rPr>
        <w:t>84</w:t>
      </w:r>
    </w:p>
    <w:p>
      <w:pPr>
        <w:tabs>
          <w:tab w:val="right" w:leader="dot" w:pos="8400"/>
        </w:tabs>
        <w:spacing w:before="120" w:after="120"/>
        <w:ind w:left="210" w:right="90" w:rightChars="43"/>
        <w:rPr>
          <w:sz w:val="20"/>
          <w:szCs w:val="20"/>
        </w:rPr>
      </w:pPr>
      <w:r>
        <w:rPr>
          <w:sz w:val="20"/>
          <w:szCs w:val="20"/>
        </w:rPr>
        <w:t xml:space="preserve">8.6  </w:t>
      </w:r>
      <w:r>
        <w:rPr>
          <w:kern w:val="0"/>
          <w:sz w:val="20"/>
          <w:szCs w:val="20"/>
        </w:rPr>
        <w:t>Installation of lightning protection grounding for rail transit projects</w:t>
      </w:r>
      <w:r>
        <w:rPr>
          <w:sz w:val="20"/>
          <w:szCs w:val="20"/>
        </w:rPr>
        <w:tab/>
      </w:r>
      <w:r>
        <w:rPr>
          <w:sz w:val="20"/>
          <w:szCs w:val="20"/>
        </w:rPr>
        <w:t>86</w:t>
      </w:r>
    </w:p>
    <w:p>
      <w:pPr>
        <w:tabs>
          <w:tab w:val="right" w:leader="dot" w:pos="8400"/>
        </w:tabs>
        <w:spacing w:before="120" w:after="120"/>
        <w:ind w:right="90" w:rightChars="43"/>
        <w:rPr>
          <w:rFonts w:eastAsia="黑体"/>
          <w:b/>
          <w:bCs/>
          <w:sz w:val="20"/>
          <w:szCs w:val="20"/>
        </w:rPr>
      </w:pPr>
      <w:r>
        <w:rPr>
          <w:rFonts w:eastAsia="黑体"/>
          <w:b/>
          <w:bCs/>
          <w:sz w:val="20"/>
          <w:szCs w:val="20"/>
        </w:rPr>
        <w:t>A</w:t>
      </w:r>
      <w:r>
        <w:rPr>
          <w:rFonts w:hint="eastAsia" w:eastAsia="黑体"/>
          <w:b/>
          <w:bCs/>
          <w:sz w:val="20"/>
          <w:szCs w:val="20"/>
        </w:rPr>
        <w:t>ppendix</w:t>
      </w:r>
      <w:r>
        <w:rPr>
          <w:rFonts w:eastAsia="黑体"/>
          <w:b/>
          <w:bCs/>
          <w:sz w:val="20"/>
          <w:szCs w:val="20"/>
        </w:rPr>
        <w:t xml:space="preserve"> A  Subdivisional work and inspection</w:t>
      </w:r>
      <w:r>
        <w:rPr>
          <w:rFonts w:hint="eastAsia" w:eastAsia="黑体"/>
          <w:b/>
          <w:bCs/>
          <w:sz w:val="20"/>
          <w:szCs w:val="20"/>
        </w:rPr>
        <w:t xml:space="preserve"> </w:t>
      </w:r>
      <w:r>
        <w:rPr>
          <w:rFonts w:eastAsia="黑体"/>
          <w:b/>
          <w:bCs/>
          <w:sz w:val="20"/>
          <w:szCs w:val="20"/>
        </w:rPr>
        <w:t xml:space="preserve">lot of </w:t>
      </w:r>
      <w:r>
        <w:rPr>
          <w:b/>
          <w:sz w:val="20"/>
          <w:szCs w:val="20"/>
        </w:rPr>
        <w:t>subdivisional</w:t>
      </w:r>
      <w:r>
        <w:rPr>
          <w:rFonts w:eastAsia="黑体"/>
          <w:b/>
          <w:bCs/>
          <w:sz w:val="20"/>
          <w:szCs w:val="20"/>
        </w:rPr>
        <w:t xml:space="preserve"> project</w:t>
      </w:r>
      <w:r>
        <w:rPr>
          <w:rFonts w:eastAsia="黑体"/>
          <w:b/>
          <w:bCs/>
          <w:sz w:val="20"/>
          <w:szCs w:val="20"/>
        </w:rPr>
        <w:tab/>
      </w:r>
      <w:r>
        <w:rPr>
          <w:rFonts w:eastAsia="黑体"/>
          <w:b/>
          <w:bCs/>
          <w:sz w:val="20"/>
          <w:szCs w:val="20"/>
        </w:rPr>
        <w:t>88</w:t>
      </w:r>
    </w:p>
    <w:p>
      <w:pPr>
        <w:tabs>
          <w:tab w:val="right" w:leader="dot" w:pos="8400"/>
        </w:tabs>
        <w:spacing w:before="120" w:after="120"/>
        <w:ind w:right="90" w:rightChars="43"/>
        <w:rPr>
          <w:sz w:val="20"/>
          <w:szCs w:val="20"/>
        </w:rPr>
      </w:pPr>
      <w:r>
        <w:rPr>
          <w:rFonts w:eastAsia="黑体"/>
          <w:b/>
          <w:bCs/>
          <w:sz w:val="20"/>
          <w:szCs w:val="20"/>
        </w:rPr>
        <w:t>A</w:t>
      </w:r>
      <w:r>
        <w:rPr>
          <w:rFonts w:hint="eastAsia" w:eastAsia="黑体"/>
          <w:b/>
          <w:bCs/>
          <w:sz w:val="20"/>
          <w:szCs w:val="20"/>
        </w:rPr>
        <w:t>ppendix</w:t>
      </w:r>
      <w:r>
        <w:rPr>
          <w:rFonts w:eastAsia="黑体"/>
          <w:b/>
          <w:bCs/>
          <w:sz w:val="20"/>
          <w:szCs w:val="20"/>
        </w:rPr>
        <w:t xml:space="preserve"> B  </w:t>
      </w:r>
      <w:r>
        <w:rPr>
          <w:b/>
          <w:sz w:val="20"/>
          <w:szCs w:val="20"/>
        </w:rPr>
        <w:t>Generator handover testing</w:t>
      </w:r>
      <w:r>
        <w:rPr>
          <w:rFonts w:eastAsia="黑体"/>
          <w:b/>
          <w:bCs/>
          <w:sz w:val="20"/>
          <w:szCs w:val="20"/>
        </w:rPr>
        <w:tab/>
      </w:r>
      <w:r>
        <w:rPr>
          <w:rFonts w:eastAsia="黑体"/>
          <w:b/>
          <w:bCs/>
          <w:sz w:val="20"/>
          <w:szCs w:val="20"/>
        </w:rPr>
        <w:t>90</w:t>
      </w:r>
    </w:p>
    <w:p>
      <w:pPr>
        <w:tabs>
          <w:tab w:val="right" w:leader="dot" w:pos="8400"/>
        </w:tabs>
        <w:spacing w:before="120" w:after="120"/>
        <w:ind w:right="90" w:rightChars="43"/>
        <w:rPr>
          <w:sz w:val="20"/>
          <w:szCs w:val="20"/>
        </w:rPr>
      </w:pPr>
      <w:r>
        <w:rPr>
          <w:rFonts w:eastAsia="黑体"/>
          <w:b/>
          <w:bCs/>
          <w:sz w:val="20"/>
          <w:szCs w:val="20"/>
        </w:rPr>
        <w:t>A</w:t>
      </w:r>
      <w:r>
        <w:rPr>
          <w:rFonts w:hint="eastAsia" w:eastAsia="黑体"/>
          <w:b/>
          <w:bCs/>
          <w:sz w:val="20"/>
          <w:szCs w:val="20"/>
        </w:rPr>
        <w:t>ppendix</w:t>
      </w:r>
      <w:r>
        <w:rPr>
          <w:rFonts w:eastAsia="黑体"/>
          <w:b/>
          <w:bCs/>
          <w:sz w:val="20"/>
          <w:szCs w:val="20"/>
        </w:rPr>
        <w:t xml:space="preserve"> C  Overlapping size of bus bar blot</w:t>
      </w:r>
      <w:r>
        <w:rPr>
          <w:rFonts w:eastAsia="黑体"/>
          <w:b/>
          <w:bCs/>
          <w:sz w:val="20"/>
          <w:szCs w:val="20"/>
        </w:rPr>
        <w:tab/>
      </w:r>
      <w:r>
        <w:rPr>
          <w:rFonts w:eastAsia="黑体"/>
          <w:b/>
          <w:bCs/>
          <w:sz w:val="20"/>
          <w:szCs w:val="20"/>
        </w:rPr>
        <w:t>92</w:t>
      </w:r>
    </w:p>
    <w:p>
      <w:pPr>
        <w:tabs>
          <w:tab w:val="right" w:leader="dot" w:pos="8400"/>
        </w:tabs>
        <w:spacing w:before="120" w:after="120"/>
        <w:ind w:right="90" w:rightChars="43"/>
        <w:rPr>
          <w:rFonts w:eastAsia="黑体"/>
          <w:b/>
          <w:bCs/>
          <w:sz w:val="20"/>
          <w:szCs w:val="20"/>
        </w:rPr>
      </w:pPr>
      <w:r>
        <w:rPr>
          <w:rFonts w:eastAsia="黑体"/>
          <w:b/>
          <w:bCs/>
          <w:sz w:val="20"/>
          <w:szCs w:val="20"/>
        </w:rPr>
        <w:t>A</w:t>
      </w:r>
      <w:r>
        <w:rPr>
          <w:rFonts w:hint="eastAsia" w:eastAsia="黑体"/>
          <w:b/>
          <w:bCs/>
          <w:sz w:val="20"/>
          <w:szCs w:val="20"/>
        </w:rPr>
        <w:t>ppendix</w:t>
      </w:r>
      <w:r>
        <w:rPr>
          <w:rFonts w:eastAsia="黑体"/>
          <w:b/>
          <w:bCs/>
          <w:sz w:val="20"/>
          <w:szCs w:val="20"/>
        </w:rPr>
        <w:t xml:space="preserve"> D  Tightening torque of bolt lapped</w:t>
      </w:r>
      <w:r>
        <w:rPr>
          <w:rFonts w:hint="eastAsia" w:eastAsia="黑体"/>
          <w:b/>
          <w:bCs/>
          <w:sz w:val="20"/>
          <w:szCs w:val="20"/>
        </w:rPr>
        <w:t xml:space="preserve"> </w:t>
      </w:r>
      <w:r>
        <w:rPr>
          <w:rFonts w:eastAsia="黑体"/>
          <w:b/>
          <w:bCs/>
          <w:sz w:val="20"/>
          <w:szCs w:val="20"/>
        </w:rPr>
        <w:t>bus-bar</w:t>
      </w:r>
      <w:r>
        <w:rPr>
          <w:rFonts w:eastAsia="黑体"/>
          <w:b/>
          <w:bCs/>
          <w:sz w:val="20"/>
          <w:szCs w:val="20"/>
        </w:rPr>
        <w:tab/>
      </w:r>
      <w:r>
        <w:rPr>
          <w:rFonts w:eastAsia="黑体"/>
          <w:b/>
          <w:bCs/>
          <w:sz w:val="20"/>
          <w:szCs w:val="20"/>
        </w:rPr>
        <w:t>93</w:t>
      </w:r>
    </w:p>
    <w:p>
      <w:pPr>
        <w:tabs>
          <w:tab w:val="right" w:leader="dot" w:pos="8400"/>
        </w:tabs>
        <w:spacing w:before="120" w:after="120"/>
        <w:ind w:right="90" w:rightChars="43"/>
        <w:rPr>
          <w:rFonts w:eastAsia="黑体"/>
          <w:b/>
          <w:bCs/>
          <w:sz w:val="20"/>
          <w:szCs w:val="20"/>
        </w:rPr>
      </w:pPr>
      <w:r>
        <w:rPr>
          <w:rFonts w:eastAsia="黑体"/>
          <w:b/>
          <w:bCs/>
          <w:sz w:val="20"/>
          <w:szCs w:val="20"/>
        </w:rPr>
        <w:t>A</w:t>
      </w:r>
      <w:r>
        <w:rPr>
          <w:rFonts w:hint="eastAsia" w:eastAsia="黑体"/>
          <w:b/>
          <w:bCs/>
          <w:sz w:val="20"/>
          <w:szCs w:val="20"/>
        </w:rPr>
        <w:t>ppendix</w:t>
      </w:r>
      <w:r>
        <w:rPr>
          <w:rFonts w:eastAsia="黑体"/>
          <w:b/>
          <w:bCs/>
          <w:sz w:val="20"/>
          <w:szCs w:val="20"/>
        </w:rPr>
        <w:t xml:space="preserve"> E  Minimum net distance between busway</w:t>
      </w:r>
      <w:r>
        <w:rPr>
          <w:rFonts w:hint="eastAsia" w:eastAsia="黑体"/>
          <w:b/>
          <w:bCs/>
          <w:sz w:val="20"/>
          <w:szCs w:val="20"/>
        </w:rPr>
        <w:t>，</w:t>
      </w:r>
      <w:r>
        <w:rPr>
          <w:rFonts w:eastAsia="黑体"/>
          <w:b/>
          <w:bCs/>
          <w:sz w:val="20"/>
          <w:szCs w:val="20"/>
        </w:rPr>
        <w:t>ladder</w:t>
      </w:r>
      <w:r>
        <w:rPr>
          <w:rFonts w:hint="eastAsia" w:eastAsia="黑体"/>
          <w:b/>
          <w:bCs/>
          <w:sz w:val="20"/>
          <w:szCs w:val="20"/>
        </w:rPr>
        <w:t>，</w:t>
      </w:r>
      <w:r>
        <w:rPr>
          <w:rFonts w:eastAsia="黑体"/>
          <w:b/>
          <w:bCs/>
          <w:sz w:val="20"/>
          <w:szCs w:val="20"/>
        </w:rPr>
        <w:t xml:space="preserve"> tray</w:t>
      </w:r>
      <w:r>
        <w:rPr>
          <w:rFonts w:hint="eastAsia" w:eastAsia="黑体"/>
          <w:b/>
          <w:bCs/>
          <w:sz w:val="20"/>
          <w:szCs w:val="20"/>
        </w:rPr>
        <w:t>，</w:t>
      </w:r>
      <w:r>
        <w:rPr>
          <w:rFonts w:eastAsia="黑体"/>
          <w:b/>
          <w:bCs/>
          <w:sz w:val="20"/>
          <w:szCs w:val="20"/>
        </w:rPr>
        <w:t xml:space="preserve"> trunking and pipeline</w:t>
      </w:r>
      <w:r>
        <w:rPr>
          <w:rFonts w:eastAsia="黑体"/>
          <w:b/>
          <w:bCs/>
          <w:sz w:val="20"/>
          <w:szCs w:val="20"/>
        </w:rPr>
        <w:tab/>
      </w:r>
      <w:r>
        <w:rPr>
          <w:rFonts w:eastAsia="黑体"/>
          <w:b/>
          <w:bCs/>
          <w:sz w:val="20"/>
          <w:szCs w:val="20"/>
        </w:rPr>
        <w:t>94</w:t>
      </w:r>
    </w:p>
    <w:p>
      <w:pPr>
        <w:tabs>
          <w:tab w:val="right" w:leader="dot" w:pos="8400"/>
        </w:tabs>
        <w:spacing w:before="120" w:after="120"/>
        <w:ind w:right="90" w:rightChars="43"/>
        <w:rPr>
          <w:sz w:val="20"/>
          <w:szCs w:val="20"/>
        </w:rPr>
      </w:pPr>
      <w:r>
        <w:rPr>
          <w:rFonts w:eastAsia="黑体"/>
          <w:b/>
          <w:bCs/>
          <w:sz w:val="20"/>
          <w:szCs w:val="20"/>
        </w:rPr>
        <w:t>A</w:t>
      </w:r>
      <w:r>
        <w:rPr>
          <w:rFonts w:hint="eastAsia" w:eastAsia="黑体"/>
          <w:b/>
          <w:bCs/>
          <w:sz w:val="20"/>
          <w:szCs w:val="20"/>
        </w:rPr>
        <w:t>ppendix</w:t>
      </w:r>
      <w:r>
        <w:rPr>
          <w:rFonts w:eastAsia="黑体"/>
          <w:b/>
          <w:bCs/>
          <w:sz w:val="20"/>
          <w:szCs w:val="20"/>
        </w:rPr>
        <w:t xml:space="preserve"> F  Tightening torque of crew type terminal</w:t>
      </w:r>
      <w:r>
        <w:rPr>
          <w:rFonts w:eastAsia="黑体"/>
          <w:b/>
          <w:bCs/>
          <w:sz w:val="20"/>
          <w:szCs w:val="20"/>
        </w:rPr>
        <w:tab/>
      </w:r>
      <w:r>
        <w:rPr>
          <w:rFonts w:eastAsia="黑体"/>
          <w:b/>
          <w:bCs/>
          <w:sz w:val="20"/>
          <w:szCs w:val="20"/>
        </w:rPr>
        <w:t>95</w:t>
      </w:r>
    </w:p>
    <w:p>
      <w:pPr>
        <w:tabs>
          <w:tab w:val="right" w:leader="dot" w:pos="8400"/>
        </w:tabs>
        <w:spacing w:before="120" w:after="120"/>
        <w:ind w:right="90" w:rightChars="43"/>
        <w:rPr>
          <w:sz w:val="20"/>
          <w:szCs w:val="20"/>
        </w:rPr>
      </w:pPr>
      <w:r>
        <w:rPr>
          <w:rFonts w:eastAsia="黑体"/>
          <w:b/>
          <w:bCs/>
          <w:sz w:val="20"/>
          <w:szCs w:val="20"/>
        </w:rPr>
        <w:t>Explanation of wording in this code</w:t>
      </w:r>
      <w:r>
        <w:rPr>
          <w:rFonts w:eastAsia="黑体"/>
          <w:b/>
          <w:bCs/>
          <w:sz w:val="20"/>
          <w:szCs w:val="20"/>
        </w:rPr>
        <w:tab/>
      </w:r>
      <w:r>
        <w:rPr>
          <w:rFonts w:eastAsia="黑体"/>
          <w:b/>
          <w:bCs/>
          <w:sz w:val="20"/>
          <w:szCs w:val="20"/>
        </w:rPr>
        <w:t>96</w:t>
      </w:r>
    </w:p>
    <w:p>
      <w:pPr>
        <w:tabs>
          <w:tab w:val="right" w:leader="dot" w:pos="8400"/>
        </w:tabs>
        <w:spacing w:before="120" w:after="120"/>
        <w:ind w:right="90" w:rightChars="43"/>
        <w:rPr>
          <w:sz w:val="20"/>
          <w:szCs w:val="20"/>
        </w:rPr>
      </w:pPr>
      <w:r>
        <w:rPr>
          <w:rFonts w:eastAsia="黑体"/>
          <w:b/>
          <w:bCs/>
          <w:sz w:val="20"/>
          <w:szCs w:val="20"/>
        </w:rPr>
        <w:t>List of quoted standards</w:t>
      </w:r>
      <w:r>
        <w:rPr>
          <w:rFonts w:eastAsia="黑体"/>
          <w:b/>
          <w:bCs/>
          <w:sz w:val="20"/>
          <w:szCs w:val="20"/>
        </w:rPr>
        <w:tab/>
      </w:r>
      <w:r>
        <w:rPr>
          <w:rFonts w:eastAsia="黑体"/>
          <w:b/>
          <w:bCs/>
          <w:sz w:val="20"/>
          <w:szCs w:val="20"/>
        </w:rPr>
        <w:t>97</w:t>
      </w:r>
    </w:p>
    <w:p>
      <w:pPr>
        <w:tabs>
          <w:tab w:val="right" w:leader="dot" w:pos="8400"/>
        </w:tabs>
        <w:spacing w:before="120" w:after="120"/>
        <w:ind w:right="90" w:rightChars="43"/>
        <w:rPr>
          <w:sz w:val="20"/>
          <w:szCs w:val="20"/>
        </w:rPr>
      </w:pPr>
      <w:r>
        <w:rPr>
          <w:rFonts w:eastAsia="黑体"/>
          <w:b/>
          <w:bCs/>
          <w:sz w:val="20"/>
          <w:szCs w:val="20"/>
        </w:rPr>
        <w:t>Addition</w:t>
      </w:r>
      <w:r>
        <w:rPr>
          <w:rFonts w:hint="eastAsia" w:eastAsia="黑体"/>
          <w:b/>
          <w:bCs/>
          <w:sz w:val="20"/>
          <w:szCs w:val="20"/>
        </w:rPr>
        <w:t>：</w:t>
      </w:r>
      <w:r>
        <w:rPr>
          <w:rFonts w:eastAsia="黑体"/>
          <w:b/>
          <w:bCs/>
          <w:sz w:val="20"/>
          <w:szCs w:val="20"/>
        </w:rPr>
        <w:t xml:space="preserve"> Explanation of provisions</w:t>
      </w:r>
      <w:r>
        <w:rPr>
          <w:rFonts w:eastAsia="黑体"/>
          <w:b/>
          <w:bCs/>
          <w:sz w:val="20"/>
          <w:szCs w:val="20"/>
        </w:rPr>
        <w:tab/>
      </w:r>
      <w:r>
        <w:rPr>
          <w:rFonts w:eastAsia="黑体"/>
          <w:b/>
          <w:bCs/>
          <w:sz w:val="20"/>
          <w:szCs w:val="20"/>
        </w:rPr>
        <w:t>98</w:t>
      </w:r>
    </w:p>
    <w:p>
      <w:pPr>
        <w:tabs>
          <w:tab w:val="right" w:leader="dot" w:pos="9485"/>
        </w:tabs>
        <w:spacing w:before="120" w:after="120"/>
        <w:ind w:left="210"/>
        <w:rPr>
          <w:sz w:val="20"/>
          <w:szCs w:val="20"/>
        </w:rPr>
        <w:sectPr>
          <w:footerReference r:id="rId10" w:type="default"/>
          <w:pgSz w:w="11907" w:h="16840"/>
          <w:pgMar w:top="1440" w:right="1797" w:bottom="1440" w:left="1797" w:header="851" w:footer="992" w:gutter="0"/>
          <w:pgNumType w:start="1"/>
          <w:cols w:space="720" w:num="1"/>
          <w:docGrid w:linePitch="312" w:charSpace="0"/>
        </w:sectPr>
      </w:pPr>
    </w:p>
    <w:p>
      <w:pPr>
        <w:pStyle w:val="2"/>
        <w:numPr>
          <w:ilvl w:val="0"/>
          <w:numId w:val="4"/>
        </w:numPr>
        <w:snapToGrid w:val="0"/>
        <w:spacing w:before="120" w:beforeLines="50" w:after="120" w:afterLines="50" w:line="360" w:lineRule="auto"/>
        <w:jc w:val="center"/>
        <w:rPr>
          <w:rFonts w:ascii="宋体" w:hAnsi="宋体" w:cs="宋体"/>
          <w:bCs w:val="0"/>
          <w:kern w:val="2"/>
          <w:sz w:val="28"/>
          <w:szCs w:val="28"/>
        </w:rPr>
      </w:pPr>
      <w:bookmarkStart w:id="38" w:name="_Toc136868024"/>
      <w:bookmarkStart w:id="39" w:name="_Toc137216218"/>
      <w:bookmarkStart w:id="40" w:name="_Toc136869059"/>
      <w:r>
        <w:rPr>
          <w:rFonts w:hint="eastAsia" w:ascii="宋体" w:hAnsi="宋体" w:cs="宋体"/>
          <w:bCs w:val="0"/>
          <w:kern w:val="2"/>
          <w:sz w:val="28"/>
          <w:szCs w:val="28"/>
        </w:rPr>
        <w:t>总    则</w:t>
      </w:r>
      <w:bookmarkEnd w:id="0"/>
      <w:bookmarkEnd w:id="38"/>
      <w:bookmarkEnd w:id="39"/>
      <w:bookmarkEnd w:id="40"/>
    </w:p>
    <w:p>
      <w:pPr>
        <w:numPr>
          <w:ilvl w:val="2"/>
          <w:numId w:val="5"/>
        </w:numPr>
        <w:tabs>
          <w:tab w:val="left" w:pos="709"/>
          <w:tab w:val="clear" w:pos="1080"/>
        </w:tabs>
        <w:spacing w:line="360" w:lineRule="auto"/>
        <w:ind w:left="0" w:firstLine="0"/>
        <w:rPr>
          <w:rFonts w:ascii="宋体" w:hAnsi="宋体" w:cs="宋体"/>
          <w:szCs w:val="21"/>
        </w:rPr>
      </w:pPr>
      <w:r>
        <w:rPr>
          <w:rFonts w:hint="eastAsia" w:ascii="宋体" w:hAnsi="宋体" w:cs="宋体"/>
          <w:szCs w:val="21"/>
        </w:rPr>
        <w:t>为加强北京市房屋建筑和市政基础设施项目电气工程质量管理，保障工程安全可靠、经济合理、技术先进、整体美观、节能环保、维护方便，进一步提升工程质量，结合本市实际情况，制定本规范。</w:t>
      </w:r>
    </w:p>
    <w:p>
      <w:pPr>
        <w:numPr>
          <w:ilvl w:val="2"/>
          <w:numId w:val="5"/>
        </w:numPr>
        <w:tabs>
          <w:tab w:val="left" w:pos="709"/>
          <w:tab w:val="clear" w:pos="1080"/>
        </w:tabs>
        <w:spacing w:line="360" w:lineRule="auto"/>
        <w:ind w:left="0" w:firstLine="0"/>
        <w:rPr>
          <w:rFonts w:ascii="宋体" w:hAnsi="宋体" w:cs="宋体"/>
          <w:szCs w:val="21"/>
        </w:rPr>
      </w:pPr>
      <w:r>
        <w:rPr>
          <w:rFonts w:hint="eastAsia" w:ascii="宋体" w:hAnsi="宋体" w:cs="宋体"/>
          <w:szCs w:val="21"/>
        </w:rPr>
        <w:t>本规范适用于北京市行政区域内电压等级为</w:t>
      </w:r>
      <w:r>
        <w:rPr>
          <w:rFonts w:hint="eastAsia" w:ascii="宋体" w:hAnsi="宋体" w:cs="宋体"/>
          <w:color w:val="000000"/>
          <w:szCs w:val="21"/>
        </w:rPr>
        <w:t>35</w:t>
      </w:r>
      <w:r>
        <w:rPr>
          <w:rFonts w:hint="eastAsia" w:cs="仿宋" w:asciiTheme="minorEastAsia" w:hAnsiTheme="minorEastAsia" w:eastAsiaTheme="minorEastAsia"/>
          <w:color w:val="000000"/>
          <w:spacing w:val="0"/>
          <w:w w:val="15"/>
          <w:kern w:val="0"/>
          <w:szCs w:val="21"/>
          <w:fitText w:val="42" w:id="1746015981"/>
        </w:rPr>
        <w:t xml:space="preserve">　 </w:t>
      </w:r>
      <w:r>
        <w:rPr>
          <w:rFonts w:hint="eastAsia" w:cs="仿宋" w:asciiTheme="minorEastAsia" w:hAnsiTheme="minorEastAsia" w:eastAsiaTheme="minorEastAsia"/>
          <w:color w:val="000000"/>
          <w:spacing w:val="-17"/>
          <w:w w:val="15"/>
          <w:kern w:val="0"/>
          <w:szCs w:val="21"/>
          <w:fitText w:val="42" w:id="1746015981"/>
        </w:rPr>
        <w:t>　</w:t>
      </w:r>
      <w:r>
        <w:rPr>
          <w:rFonts w:hint="eastAsia" w:ascii="宋体" w:hAnsi="宋体" w:cs="宋体"/>
          <w:color w:val="000000"/>
          <w:szCs w:val="21"/>
        </w:rPr>
        <w:t>KV</w:t>
      </w:r>
      <w:r>
        <w:rPr>
          <w:rFonts w:hint="eastAsia" w:ascii="宋体" w:hAnsi="宋体" w:cs="宋体"/>
          <w:szCs w:val="21"/>
        </w:rPr>
        <w:t>及以下的房屋建筑类和市政基础设施类电气工程施工质量验收。</w:t>
      </w:r>
    </w:p>
    <w:p>
      <w:pPr>
        <w:numPr>
          <w:ilvl w:val="2"/>
          <w:numId w:val="5"/>
        </w:numPr>
        <w:tabs>
          <w:tab w:val="left" w:pos="709"/>
          <w:tab w:val="clear" w:pos="1080"/>
        </w:tabs>
        <w:spacing w:line="360" w:lineRule="auto"/>
        <w:ind w:left="0" w:firstLine="0"/>
        <w:rPr>
          <w:rFonts w:ascii="宋体" w:hAnsi="宋体" w:cs="宋体"/>
          <w:szCs w:val="21"/>
        </w:rPr>
      </w:pPr>
      <w:r>
        <w:rPr>
          <w:rFonts w:hint="eastAsia" w:ascii="宋体" w:hAnsi="宋体" w:cs="宋体"/>
          <w:szCs w:val="21"/>
        </w:rPr>
        <w:t>房屋建筑和市政基础设施电气工程施工质量验收除应符合本规范外，尚应符合国家及北京市现行有关标准的规定。</w:t>
      </w: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pStyle w:val="2"/>
        <w:numPr>
          <w:ilvl w:val="0"/>
          <w:numId w:val="4"/>
        </w:numPr>
        <w:snapToGrid w:val="0"/>
        <w:spacing w:before="120" w:beforeLines="50" w:after="120" w:afterLines="50" w:line="360" w:lineRule="auto"/>
        <w:jc w:val="center"/>
        <w:rPr>
          <w:rFonts w:ascii="宋体" w:hAnsi="宋体" w:cs="宋体"/>
          <w:bCs w:val="0"/>
          <w:kern w:val="2"/>
          <w:sz w:val="28"/>
          <w:szCs w:val="28"/>
        </w:rPr>
      </w:pPr>
      <w:bookmarkStart w:id="41" w:name="_Toc136869060"/>
      <w:bookmarkStart w:id="42" w:name="_Toc124168116"/>
      <w:bookmarkStart w:id="43" w:name="_Toc136868025"/>
      <w:bookmarkStart w:id="44" w:name="_Toc137216219"/>
      <w:r>
        <w:rPr>
          <w:rFonts w:hint="eastAsia" w:ascii="宋体" w:hAnsi="宋体" w:cs="宋体"/>
          <w:bCs w:val="0"/>
          <w:kern w:val="2"/>
          <w:sz w:val="28"/>
          <w:szCs w:val="28"/>
        </w:rPr>
        <w:t>术语和代号</w:t>
      </w:r>
      <w:bookmarkEnd w:id="41"/>
      <w:bookmarkEnd w:id="42"/>
      <w:bookmarkEnd w:id="43"/>
      <w:bookmarkEnd w:id="44"/>
    </w:p>
    <w:p>
      <w:pPr>
        <w:pStyle w:val="3"/>
        <w:numPr>
          <w:ilvl w:val="0"/>
          <w:numId w:val="0"/>
        </w:numPr>
        <w:spacing w:before="120" w:beforeLines="50" w:after="120" w:afterLines="50" w:line="360" w:lineRule="auto"/>
        <w:jc w:val="center"/>
        <w:rPr>
          <w:rFonts w:ascii="宋体" w:hAnsi="宋体" w:eastAsia="宋体" w:cs="宋体"/>
          <w:sz w:val="24"/>
          <w:szCs w:val="24"/>
        </w:rPr>
      </w:pPr>
      <w:bookmarkStart w:id="45" w:name="_Toc137216220"/>
      <w:bookmarkStart w:id="46" w:name="_Toc136869061"/>
      <w:bookmarkStart w:id="47" w:name="_Toc136868026"/>
      <w:bookmarkStart w:id="48" w:name="_Toc124168117"/>
      <w:r>
        <w:rPr>
          <w:rFonts w:hint="eastAsia" w:ascii="宋体" w:hAnsi="宋体" w:eastAsia="宋体" w:cs="宋体"/>
          <w:sz w:val="24"/>
          <w:szCs w:val="24"/>
        </w:rPr>
        <w:t>2</w:t>
      </w:r>
      <w:r>
        <w:rPr>
          <w:rFonts w:ascii="宋体" w:hAnsi="宋体" w:eastAsia="宋体" w:cs="宋体"/>
          <w:sz w:val="24"/>
          <w:szCs w:val="24"/>
        </w:rPr>
        <w:t xml:space="preserve">.1 </w:t>
      </w:r>
      <w:r>
        <w:rPr>
          <w:rFonts w:hint="eastAsia" w:ascii="宋体" w:hAnsi="宋体" w:eastAsia="宋体" w:cs="宋体"/>
          <w:sz w:val="24"/>
          <w:szCs w:val="24"/>
        </w:rPr>
        <w:t>术语</w:t>
      </w:r>
      <w:bookmarkEnd w:id="45"/>
      <w:bookmarkEnd w:id="46"/>
      <w:bookmarkEnd w:id="47"/>
      <w:bookmarkEnd w:id="48"/>
    </w:p>
    <w:p>
      <w:pPr>
        <w:numPr>
          <w:ilvl w:val="2"/>
          <w:numId w:val="6"/>
        </w:numPr>
        <w:tabs>
          <w:tab w:val="left" w:pos="851"/>
          <w:tab w:val="clear" w:pos="1080"/>
        </w:tabs>
        <w:spacing w:line="360" w:lineRule="auto"/>
        <w:rPr>
          <w:rFonts w:ascii="宋体" w:hAnsi="宋体" w:cs="宋体"/>
          <w:szCs w:val="21"/>
        </w:rPr>
      </w:pPr>
      <w:r>
        <w:rPr>
          <w:rFonts w:hint="eastAsia" w:ascii="宋体" w:hAnsi="宋体" w:cs="宋体"/>
          <w:szCs w:val="21"/>
        </w:rPr>
        <w:t>房屋建筑和市政基础设施电气工程 electrical engineering of building and municipal infrastructure</w:t>
      </w:r>
    </w:p>
    <w:p>
      <w:pPr>
        <w:spacing w:line="360" w:lineRule="auto"/>
        <w:ind w:firstLine="420" w:firstLineChars="200"/>
        <w:rPr>
          <w:rFonts w:ascii="宋体" w:hAnsi="宋体" w:cs="宋体"/>
          <w:szCs w:val="21"/>
        </w:rPr>
      </w:pPr>
      <w:r>
        <w:rPr>
          <w:rFonts w:hint="eastAsia" w:ascii="宋体" w:hAnsi="宋体" w:cs="宋体"/>
          <w:szCs w:val="21"/>
        </w:rPr>
        <w:t>新建、改建的房屋建筑工程和城市道路、轨道交通、供水、排水、燃气、热力、污水处理、垃圾处理、广场工程、景观绿化、地下公共设施及附属设施等市政基础设施工程中的电气专业工程。</w:t>
      </w:r>
    </w:p>
    <w:p>
      <w:pPr>
        <w:numPr>
          <w:ilvl w:val="2"/>
          <w:numId w:val="6"/>
        </w:numPr>
        <w:tabs>
          <w:tab w:val="left" w:pos="851"/>
          <w:tab w:val="clear" w:pos="1080"/>
        </w:tabs>
        <w:spacing w:line="360" w:lineRule="auto"/>
        <w:rPr>
          <w:rFonts w:ascii="宋体" w:hAnsi="宋体" w:cs="宋体"/>
          <w:szCs w:val="21"/>
        </w:rPr>
      </w:pPr>
      <w:r>
        <w:rPr>
          <w:rFonts w:hint="eastAsia" w:ascii="宋体" w:hAnsi="宋体" w:cs="宋体"/>
          <w:szCs w:val="21"/>
        </w:rPr>
        <w:t>电气设备 electrical equipment</w:t>
      </w:r>
    </w:p>
    <w:p>
      <w:pPr>
        <w:spacing w:line="360" w:lineRule="auto"/>
        <w:ind w:firstLine="420" w:firstLineChars="200"/>
        <w:rPr>
          <w:rFonts w:ascii="宋体" w:hAnsi="宋体" w:cs="宋体"/>
          <w:szCs w:val="21"/>
        </w:rPr>
      </w:pPr>
      <w:r>
        <w:rPr>
          <w:rFonts w:hint="eastAsia" w:ascii="宋体" w:hAnsi="宋体" w:cs="宋体"/>
          <w:szCs w:val="21"/>
        </w:rPr>
        <w:t>用于发电、变电、输电、配电或利用电能的设备。</w:t>
      </w:r>
    </w:p>
    <w:p>
      <w:pPr>
        <w:numPr>
          <w:ilvl w:val="2"/>
          <w:numId w:val="6"/>
        </w:numPr>
        <w:tabs>
          <w:tab w:val="left" w:pos="851"/>
          <w:tab w:val="clear" w:pos="1080"/>
        </w:tabs>
        <w:spacing w:line="360" w:lineRule="auto"/>
        <w:rPr>
          <w:rFonts w:ascii="宋体" w:hAnsi="宋体" w:cs="宋体"/>
          <w:szCs w:val="21"/>
        </w:rPr>
      </w:pPr>
      <w:r>
        <w:rPr>
          <w:rFonts w:hint="eastAsia" w:ascii="宋体" w:hAnsi="宋体" w:cs="宋体"/>
          <w:szCs w:val="21"/>
        </w:rPr>
        <w:t>保护导体protective conductor</w:t>
      </w:r>
    </w:p>
    <w:p>
      <w:pPr>
        <w:spacing w:line="360" w:lineRule="auto"/>
        <w:ind w:firstLine="420" w:firstLineChars="200"/>
        <w:rPr>
          <w:rFonts w:ascii="宋体" w:hAnsi="宋体" w:cs="宋体"/>
          <w:szCs w:val="21"/>
        </w:rPr>
      </w:pPr>
      <w:r>
        <w:rPr>
          <w:rFonts w:hint="eastAsia" w:ascii="宋体" w:hAnsi="宋体" w:cs="宋体"/>
          <w:szCs w:val="21"/>
        </w:rPr>
        <w:t>由保护联结导体、保护接地导体和接地导体组成，起安全保护作用的导体。</w:t>
      </w:r>
    </w:p>
    <w:p>
      <w:pPr>
        <w:numPr>
          <w:ilvl w:val="2"/>
          <w:numId w:val="6"/>
        </w:numPr>
        <w:tabs>
          <w:tab w:val="left" w:pos="851"/>
          <w:tab w:val="clear" w:pos="1080"/>
        </w:tabs>
        <w:spacing w:line="360" w:lineRule="auto"/>
        <w:rPr>
          <w:rFonts w:ascii="宋体" w:hAnsi="宋体" w:cs="宋体"/>
          <w:szCs w:val="21"/>
        </w:rPr>
      </w:pPr>
      <w:r>
        <w:rPr>
          <w:rFonts w:hint="eastAsia" w:ascii="宋体" w:hAnsi="宋体" w:cs="宋体"/>
          <w:szCs w:val="21"/>
        </w:rPr>
        <w:t xml:space="preserve">接地导体 </w:t>
      </w:r>
      <w:r>
        <w:rPr>
          <w:rFonts w:hint="eastAsia" w:ascii="宋体" w:hAnsi="宋体" w:cs="宋体"/>
          <w:color w:val="000000"/>
          <w:szCs w:val="21"/>
        </w:rPr>
        <w:t>earthing conductor</w:t>
      </w:r>
    </w:p>
    <w:p>
      <w:pPr>
        <w:spacing w:line="360" w:lineRule="auto"/>
        <w:ind w:firstLine="420" w:firstLineChars="200"/>
        <w:rPr>
          <w:rFonts w:ascii="宋体" w:hAnsi="宋体" w:cs="宋体"/>
          <w:szCs w:val="21"/>
        </w:rPr>
      </w:pPr>
      <w:r>
        <w:rPr>
          <w:rFonts w:hint="eastAsia" w:ascii="宋体" w:hAnsi="宋体" w:cs="宋体"/>
          <w:szCs w:val="21"/>
        </w:rPr>
        <w:t>在布线系统、电气装置或用电设备的给定点与接地极或接地网之间，提供导电通路或部分导电通路的导体。</w:t>
      </w:r>
    </w:p>
    <w:p>
      <w:pPr>
        <w:numPr>
          <w:ilvl w:val="2"/>
          <w:numId w:val="6"/>
        </w:numPr>
        <w:tabs>
          <w:tab w:val="left" w:pos="851"/>
          <w:tab w:val="clear" w:pos="1080"/>
        </w:tabs>
        <w:spacing w:line="360" w:lineRule="auto"/>
        <w:rPr>
          <w:rFonts w:ascii="宋体" w:hAnsi="宋体" w:cs="宋体"/>
          <w:szCs w:val="21"/>
        </w:rPr>
      </w:pPr>
      <w:r>
        <w:rPr>
          <w:rFonts w:hint="eastAsia" w:ascii="宋体" w:hAnsi="宋体" w:cs="宋体"/>
          <w:szCs w:val="21"/>
        </w:rPr>
        <w:t>总接地端子  main earthing terminal</w:t>
      </w:r>
      <w:r>
        <w:rPr>
          <w:rFonts w:ascii="宋体" w:hAnsi="宋体" w:cs="宋体"/>
          <w:color w:val="000000"/>
          <w:szCs w:val="21"/>
        </w:rPr>
        <w:t>，</w:t>
      </w:r>
      <w:r>
        <w:rPr>
          <w:rFonts w:hint="eastAsia" w:ascii="宋体" w:hAnsi="宋体" w:cs="宋体"/>
          <w:szCs w:val="21"/>
        </w:rPr>
        <w:t>main earthing busbar</w:t>
      </w:r>
    </w:p>
    <w:p>
      <w:pPr>
        <w:spacing w:line="360" w:lineRule="auto"/>
        <w:ind w:firstLine="420" w:firstLineChars="200"/>
        <w:rPr>
          <w:rFonts w:ascii="宋体" w:hAnsi="宋体" w:cs="宋体"/>
          <w:szCs w:val="21"/>
        </w:rPr>
      </w:pPr>
      <w:r>
        <w:rPr>
          <w:rFonts w:hint="eastAsia" w:ascii="宋体" w:hAnsi="宋体" w:cs="宋体"/>
          <w:szCs w:val="21"/>
        </w:rPr>
        <w:t>电气装置接地配置的一部分，能用于与多个接地用导体实现电气连接的端子或总母线。又称总接地母线。</w:t>
      </w:r>
    </w:p>
    <w:p>
      <w:pPr>
        <w:numPr>
          <w:ilvl w:val="2"/>
          <w:numId w:val="6"/>
        </w:numPr>
        <w:tabs>
          <w:tab w:val="left" w:pos="851"/>
          <w:tab w:val="clear" w:pos="1080"/>
        </w:tabs>
        <w:spacing w:line="360" w:lineRule="auto"/>
        <w:rPr>
          <w:rFonts w:ascii="宋体" w:hAnsi="宋体" w:cs="宋体"/>
          <w:szCs w:val="21"/>
        </w:rPr>
      </w:pPr>
      <w:r>
        <w:rPr>
          <w:rFonts w:hint="eastAsia" w:ascii="宋体" w:hAnsi="宋体" w:cs="宋体"/>
          <w:szCs w:val="21"/>
        </w:rPr>
        <w:t xml:space="preserve">接地干线 </w:t>
      </w:r>
      <w:r>
        <w:rPr>
          <w:rFonts w:hint="eastAsia" w:ascii="宋体" w:hAnsi="宋体" w:cs="宋体"/>
          <w:color w:val="000000"/>
          <w:szCs w:val="21"/>
        </w:rPr>
        <w:t>earthing busbar</w:t>
      </w:r>
    </w:p>
    <w:p>
      <w:pPr>
        <w:spacing w:line="360" w:lineRule="auto"/>
        <w:ind w:firstLine="420" w:firstLineChars="200"/>
        <w:rPr>
          <w:rFonts w:ascii="宋体" w:hAnsi="宋体" w:cs="宋体"/>
          <w:szCs w:val="21"/>
        </w:rPr>
      </w:pPr>
      <w:r>
        <w:rPr>
          <w:rFonts w:hint="eastAsia" w:ascii="宋体" w:hAnsi="宋体" w:cs="宋体"/>
          <w:szCs w:val="21"/>
        </w:rPr>
        <w:t>与总接地母线（端子）、接地极或接地网直接连接的保护导体。</w:t>
      </w:r>
    </w:p>
    <w:p>
      <w:pPr>
        <w:numPr>
          <w:ilvl w:val="2"/>
          <w:numId w:val="6"/>
        </w:numPr>
        <w:tabs>
          <w:tab w:val="left" w:pos="851"/>
          <w:tab w:val="clear" w:pos="1080"/>
        </w:tabs>
        <w:spacing w:line="360" w:lineRule="auto"/>
        <w:rPr>
          <w:rFonts w:ascii="宋体" w:hAnsi="宋体" w:cs="宋体"/>
          <w:szCs w:val="21"/>
        </w:rPr>
      </w:pPr>
      <w:r>
        <w:rPr>
          <w:rFonts w:hint="eastAsia" w:ascii="宋体" w:hAnsi="宋体" w:cs="宋体"/>
          <w:szCs w:val="21"/>
        </w:rPr>
        <w:t xml:space="preserve">外露可导电部分  </w:t>
      </w:r>
      <w:r>
        <w:rPr>
          <w:rFonts w:hint="eastAsia" w:ascii="宋体" w:hAnsi="宋体" w:cs="宋体"/>
          <w:color w:val="000000"/>
          <w:szCs w:val="21"/>
        </w:rPr>
        <w:t>exposed conductive part</w:t>
      </w: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用电设备上能触及的可导电部分。</w:t>
      </w:r>
    </w:p>
    <w:p>
      <w:pPr>
        <w:numPr>
          <w:ilvl w:val="2"/>
          <w:numId w:val="6"/>
        </w:numPr>
        <w:tabs>
          <w:tab w:val="left" w:pos="851"/>
          <w:tab w:val="clear" w:pos="1080"/>
        </w:tabs>
        <w:spacing w:line="360" w:lineRule="auto"/>
        <w:rPr>
          <w:rFonts w:ascii="宋体" w:hAnsi="宋体" w:cs="宋体"/>
          <w:szCs w:val="21"/>
        </w:rPr>
      </w:pPr>
      <w:r>
        <w:rPr>
          <w:rFonts w:hint="eastAsia" w:ascii="宋体" w:hAnsi="宋体" w:cs="宋体"/>
          <w:szCs w:val="21"/>
        </w:rPr>
        <w:t>外界可导电部分extraneous-conductive-part</w:t>
      </w:r>
    </w:p>
    <w:p>
      <w:pPr>
        <w:spacing w:line="360" w:lineRule="auto"/>
        <w:ind w:firstLine="420" w:firstLineChars="200"/>
        <w:rPr>
          <w:rFonts w:ascii="宋体" w:hAnsi="宋体" w:cs="宋体"/>
          <w:szCs w:val="21"/>
        </w:rPr>
      </w:pPr>
      <w:r>
        <w:rPr>
          <w:rFonts w:hint="eastAsia" w:ascii="宋体" w:hAnsi="宋体" w:cs="宋体"/>
          <w:szCs w:val="21"/>
        </w:rPr>
        <w:t>非电气装置的组成部分，且易于引入电位的可导电部分。</w:t>
      </w:r>
    </w:p>
    <w:p>
      <w:pPr>
        <w:numPr>
          <w:ilvl w:val="2"/>
          <w:numId w:val="6"/>
        </w:numPr>
        <w:tabs>
          <w:tab w:val="left" w:pos="851"/>
          <w:tab w:val="clear" w:pos="1080"/>
        </w:tabs>
        <w:spacing w:line="360" w:lineRule="auto"/>
        <w:rPr>
          <w:rFonts w:ascii="宋体" w:hAnsi="宋体" w:cs="宋体"/>
          <w:szCs w:val="21"/>
        </w:rPr>
      </w:pPr>
      <w:r>
        <w:rPr>
          <w:rFonts w:hint="eastAsia" w:ascii="宋体" w:hAnsi="宋体" w:cs="宋体"/>
          <w:szCs w:val="21"/>
        </w:rPr>
        <w:t>接闪器air-termination system</w:t>
      </w:r>
    </w:p>
    <w:p>
      <w:pPr>
        <w:spacing w:line="360" w:lineRule="auto"/>
        <w:ind w:firstLine="420" w:firstLineChars="200"/>
        <w:rPr>
          <w:rFonts w:ascii="宋体" w:hAnsi="宋体" w:cs="宋体"/>
          <w:szCs w:val="21"/>
        </w:rPr>
      </w:pPr>
      <w:r>
        <w:rPr>
          <w:rFonts w:hint="eastAsia" w:ascii="宋体" w:hAnsi="宋体" w:cs="宋体"/>
          <w:szCs w:val="21"/>
        </w:rPr>
        <w:t>由接闪杆、接闪带、接闪线、接闪网及金属屋面、金属构件等组成的，用于拦截雷电闪击的装置。</w:t>
      </w:r>
    </w:p>
    <w:p>
      <w:pPr>
        <w:numPr>
          <w:ilvl w:val="2"/>
          <w:numId w:val="6"/>
        </w:numPr>
        <w:tabs>
          <w:tab w:val="left" w:pos="851"/>
          <w:tab w:val="clear" w:pos="1080"/>
        </w:tabs>
        <w:spacing w:line="360" w:lineRule="auto"/>
        <w:rPr>
          <w:rFonts w:ascii="宋体" w:hAnsi="宋体" w:cs="宋体"/>
          <w:szCs w:val="21"/>
        </w:rPr>
      </w:pPr>
      <w:r>
        <w:rPr>
          <w:rFonts w:hint="eastAsia" w:ascii="宋体" w:hAnsi="宋体" w:cs="宋体"/>
          <w:szCs w:val="21"/>
        </w:rPr>
        <w:t xml:space="preserve">光伏组件 </w:t>
      </w:r>
      <w:r>
        <w:rPr>
          <w:b/>
        </w:rPr>
        <w:t>PV module</w:t>
      </w:r>
    </w:p>
    <w:p>
      <w:pPr>
        <w:spacing w:line="360" w:lineRule="auto"/>
        <w:ind w:firstLine="420" w:firstLineChars="200"/>
        <w:rPr>
          <w:rFonts w:ascii="宋体" w:hAnsi="宋体" w:cs="宋体"/>
          <w:szCs w:val="21"/>
        </w:rPr>
      </w:pPr>
      <w:r>
        <w:rPr>
          <w:rFonts w:hint="eastAsia" w:ascii="宋体" w:hAnsi="宋体" w:cs="宋体"/>
          <w:szCs w:val="21"/>
        </w:rPr>
        <w:t>指具有封装及内部</w:t>
      </w:r>
      <w:r>
        <w:rPr>
          <w:rFonts w:hint="eastAsia" w:ascii="宋体" w:hAnsi="宋体" w:cs="宋体"/>
          <w:color w:val="000000"/>
          <w:szCs w:val="21"/>
        </w:rPr>
        <w:t>联接</w:t>
      </w:r>
      <w:r>
        <w:rPr>
          <w:rFonts w:hint="eastAsia" w:ascii="宋体" w:hAnsi="宋体" w:cs="宋体"/>
          <w:szCs w:val="21"/>
        </w:rPr>
        <w:t>的、能单独提供直流电的输出、最小不可分割的太阳能电池组合装置。</w:t>
      </w:r>
    </w:p>
    <w:p>
      <w:pPr>
        <w:numPr>
          <w:ilvl w:val="2"/>
          <w:numId w:val="6"/>
        </w:numPr>
        <w:tabs>
          <w:tab w:val="left" w:pos="851"/>
          <w:tab w:val="clear" w:pos="1080"/>
        </w:tabs>
        <w:spacing w:line="360" w:lineRule="auto"/>
        <w:rPr>
          <w:rFonts w:ascii="宋体" w:hAnsi="宋体" w:cs="宋体"/>
          <w:szCs w:val="21"/>
        </w:rPr>
      </w:pPr>
      <w:r>
        <w:rPr>
          <w:rFonts w:hint="eastAsia" w:ascii="宋体" w:hAnsi="宋体" w:cs="宋体"/>
          <w:szCs w:val="21"/>
        </w:rPr>
        <w:t xml:space="preserve">光伏方阵 </w:t>
      </w:r>
      <w:r>
        <w:rPr>
          <w:b/>
        </w:rPr>
        <w:t>PV array</w:t>
      </w:r>
    </w:p>
    <w:p>
      <w:pPr>
        <w:spacing w:line="360" w:lineRule="auto"/>
        <w:ind w:firstLine="420" w:firstLineChars="200"/>
        <w:rPr>
          <w:rFonts w:ascii="宋体" w:hAnsi="宋体" w:cs="宋体"/>
          <w:szCs w:val="21"/>
        </w:rPr>
      </w:pPr>
      <w:r>
        <w:rPr>
          <w:rFonts w:hint="eastAsia" w:ascii="宋体" w:hAnsi="宋体" w:cs="宋体"/>
          <w:szCs w:val="21"/>
        </w:rPr>
        <w:t>将若干个光伏组件或光伏构件在机械和电气上按一定的方式组装在一起并且有固定的支撑结构而构成的直流发电单元。</w:t>
      </w:r>
    </w:p>
    <w:p>
      <w:pPr>
        <w:numPr>
          <w:ilvl w:val="2"/>
          <w:numId w:val="6"/>
        </w:numPr>
        <w:tabs>
          <w:tab w:val="left" w:pos="851"/>
          <w:tab w:val="clear" w:pos="1080"/>
        </w:tabs>
        <w:spacing w:line="360" w:lineRule="auto"/>
        <w:rPr>
          <w:rFonts w:ascii="宋体" w:hAnsi="宋体" w:cs="宋体"/>
          <w:szCs w:val="21"/>
        </w:rPr>
      </w:pPr>
      <w:r>
        <w:rPr>
          <w:rFonts w:hint="eastAsia" w:ascii="宋体" w:hAnsi="宋体" w:cs="宋体"/>
          <w:szCs w:val="21"/>
        </w:rPr>
        <w:t>电动汽车供电设备</w:t>
      </w:r>
    </w:p>
    <w:p>
      <w:pPr>
        <w:spacing w:line="360" w:lineRule="auto"/>
        <w:ind w:firstLine="420" w:firstLineChars="200"/>
        <w:rPr>
          <w:rFonts w:ascii="宋体" w:hAnsi="宋体" w:cs="宋体"/>
          <w:szCs w:val="21"/>
        </w:rPr>
      </w:pPr>
      <w:r>
        <w:rPr>
          <w:rFonts w:hint="eastAsia" w:ascii="宋体" w:hAnsi="宋体" w:cs="宋体"/>
          <w:szCs w:val="21"/>
        </w:rPr>
        <w:t>以受控的方式将电能从车外电源传输到电动汽车的蓄电池或其他车载储能装置的电气设备。</w:t>
      </w:r>
    </w:p>
    <w:p>
      <w:pPr>
        <w:pStyle w:val="3"/>
        <w:numPr>
          <w:ilvl w:val="0"/>
          <w:numId w:val="0"/>
        </w:numPr>
        <w:spacing w:before="120" w:beforeLines="50" w:after="120" w:afterLines="50" w:line="360" w:lineRule="auto"/>
        <w:jc w:val="center"/>
        <w:rPr>
          <w:rFonts w:ascii="宋体" w:hAnsi="宋体" w:eastAsia="宋体" w:cs="宋体"/>
          <w:sz w:val="24"/>
          <w:szCs w:val="24"/>
        </w:rPr>
      </w:pPr>
      <w:bookmarkStart w:id="49" w:name="_Toc137216221"/>
      <w:bookmarkStart w:id="50" w:name="_Toc136868027"/>
      <w:bookmarkStart w:id="51" w:name="_Toc136869062"/>
      <w:bookmarkStart w:id="52" w:name="_Toc124168118"/>
      <w:r>
        <w:rPr>
          <w:rFonts w:hint="eastAsia" w:ascii="宋体" w:hAnsi="宋体" w:eastAsia="宋体" w:cs="宋体"/>
          <w:sz w:val="24"/>
          <w:szCs w:val="24"/>
        </w:rPr>
        <w:t>2</w:t>
      </w:r>
      <w:r>
        <w:rPr>
          <w:rFonts w:ascii="宋体" w:hAnsi="宋体" w:eastAsia="宋体" w:cs="宋体"/>
          <w:sz w:val="24"/>
          <w:szCs w:val="24"/>
        </w:rPr>
        <w:t xml:space="preserve">.2 </w:t>
      </w:r>
      <w:r>
        <w:rPr>
          <w:rFonts w:hint="eastAsia" w:ascii="宋体" w:hAnsi="宋体" w:eastAsia="宋体" w:cs="宋体"/>
          <w:sz w:val="24"/>
          <w:szCs w:val="24"/>
        </w:rPr>
        <w:t>代号</w:t>
      </w:r>
      <w:bookmarkEnd w:id="49"/>
      <w:bookmarkEnd w:id="50"/>
      <w:bookmarkEnd w:id="51"/>
      <w:bookmarkEnd w:id="52"/>
    </w:p>
    <w:p>
      <w:pPr>
        <w:tabs>
          <w:tab w:val="left" w:pos="5232"/>
        </w:tabs>
        <w:spacing w:line="360" w:lineRule="auto"/>
        <w:ind w:firstLine="420" w:firstLineChars="200"/>
        <w:rPr>
          <w:rFonts w:ascii="宋体" w:hAnsi="宋体" w:cs="宋体"/>
          <w:szCs w:val="21"/>
        </w:rPr>
      </w:pPr>
      <w:r>
        <w:rPr>
          <w:rFonts w:hint="eastAsia" w:ascii="宋体" w:hAnsi="宋体" w:cs="宋体"/>
          <w:szCs w:val="21"/>
        </w:rPr>
        <w:t>SPD——电涌保护器；</w:t>
      </w:r>
    </w:p>
    <w:p>
      <w:pPr>
        <w:spacing w:line="360" w:lineRule="auto"/>
        <w:ind w:firstLine="420" w:firstLineChars="200"/>
        <w:rPr>
          <w:rFonts w:ascii="宋体" w:hAnsi="宋体" w:cs="宋体"/>
          <w:szCs w:val="21"/>
        </w:rPr>
      </w:pPr>
      <w:r>
        <w:rPr>
          <w:rFonts w:hint="eastAsia" w:ascii="宋体" w:hAnsi="宋体" w:cs="宋体"/>
          <w:szCs w:val="21"/>
        </w:rPr>
        <w:t>IMD——绝缘监测器；</w:t>
      </w:r>
    </w:p>
    <w:p>
      <w:pPr>
        <w:spacing w:line="360" w:lineRule="auto"/>
        <w:ind w:firstLine="420" w:firstLineChars="200"/>
        <w:rPr>
          <w:rFonts w:ascii="宋体" w:hAnsi="宋体" w:cs="宋体"/>
          <w:szCs w:val="21"/>
        </w:rPr>
      </w:pPr>
      <w:r>
        <w:rPr>
          <w:rFonts w:hint="eastAsia" w:ascii="宋体" w:hAnsi="宋体" w:cs="宋体"/>
          <w:szCs w:val="21"/>
        </w:rPr>
        <w:t>UPS——不间断电源装置；</w:t>
      </w:r>
    </w:p>
    <w:p>
      <w:pPr>
        <w:spacing w:line="360" w:lineRule="auto"/>
        <w:ind w:firstLine="420" w:firstLineChars="200"/>
        <w:rPr>
          <w:rFonts w:ascii="宋体" w:hAnsi="宋体" w:cs="宋体"/>
          <w:szCs w:val="21"/>
        </w:rPr>
      </w:pPr>
      <w:r>
        <w:rPr>
          <w:rFonts w:hint="eastAsia" w:ascii="宋体" w:hAnsi="宋体" w:cs="宋体"/>
          <w:szCs w:val="21"/>
        </w:rPr>
        <w:t>EPS——应急电源装置；</w:t>
      </w:r>
    </w:p>
    <w:p>
      <w:pPr>
        <w:spacing w:line="360" w:lineRule="auto"/>
        <w:ind w:firstLine="420" w:firstLineChars="200"/>
        <w:rPr>
          <w:rFonts w:ascii="宋体" w:hAnsi="宋体" w:cs="宋体"/>
          <w:szCs w:val="21"/>
        </w:rPr>
      </w:pPr>
      <w:r>
        <w:rPr>
          <w:rFonts w:hint="eastAsia" w:ascii="宋体" w:hAnsi="宋体" w:cs="宋体"/>
          <w:szCs w:val="21"/>
        </w:rPr>
        <w:t>R</w:t>
      </w:r>
      <w:r>
        <w:rPr>
          <w:rFonts w:ascii="宋体" w:hAnsi="宋体" w:cs="宋体"/>
          <w:szCs w:val="21"/>
        </w:rPr>
        <w:t>CD</w:t>
      </w:r>
      <w:r>
        <w:rPr>
          <w:rFonts w:hint="eastAsia" w:ascii="宋体" w:hAnsi="宋体" w:cs="宋体"/>
          <w:szCs w:val="21"/>
        </w:rPr>
        <w:t>——剩余电流动作保护器。</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widowControl/>
        <w:jc w:val="left"/>
        <w:rPr>
          <w:rFonts w:ascii="宋体" w:hAnsi="宋体" w:cs="宋体"/>
          <w:b/>
          <w:sz w:val="28"/>
          <w:szCs w:val="28"/>
        </w:rPr>
      </w:pPr>
      <w:bookmarkStart w:id="53" w:name="_Toc136869063"/>
      <w:bookmarkStart w:id="54" w:name="_Toc136868028"/>
      <w:bookmarkStart w:id="55" w:name="_Toc124168119"/>
      <w:r>
        <w:rPr>
          <w:rFonts w:ascii="宋体" w:hAnsi="宋体" w:cs="宋体"/>
          <w:bCs/>
          <w:sz w:val="28"/>
          <w:szCs w:val="28"/>
        </w:rPr>
        <w:br w:type="page"/>
      </w:r>
    </w:p>
    <w:p>
      <w:pPr>
        <w:pStyle w:val="2"/>
        <w:numPr>
          <w:ilvl w:val="0"/>
          <w:numId w:val="4"/>
        </w:numPr>
        <w:snapToGrid w:val="0"/>
        <w:spacing w:before="120" w:beforeLines="50" w:after="120" w:afterLines="50" w:line="360" w:lineRule="auto"/>
        <w:jc w:val="center"/>
        <w:rPr>
          <w:rFonts w:ascii="宋体" w:hAnsi="宋体" w:cs="宋体"/>
          <w:bCs w:val="0"/>
          <w:kern w:val="2"/>
          <w:sz w:val="28"/>
          <w:szCs w:val="28"/>
        </w:rPr>
      </w:pPr>
      <w:bookmarkStart w:id="56" w:name="_Toc137216222"/>
      <w:r>
        <w:rPr>
          <w:rFonts w:hint="eastAsia" w:ascii="宋体" w:hAnsi="宋体" w:cs="宋体"/>
          <w:bCs w:val="0"/>
          <w:kern w:val="2"/>
          <w:sz w:val="28"/>
          <w:szCs w:val="28"/>
        </w:rPr>
        <w:t>基本规定</w:t>
      </w:r>
      <w:bookmarkEnd w:id="53"/>
      <w:bookmarkEnd w:id="54"/>
      <w:bookmarkEnd w:id="55"/>
      <w:bookmarkEnd w:id="56"/>
    </w:p>
    <w:p>
      <w:pPr>
        <w:pStyle w:val="3"/>
        <w:numPr>
          <w:ilvl w:val="0"/>
          <w:numId w:val="0"/>
        </w:numPr>
        <w:spacing w:before="120" w:beforeLines="50" w:after="120" w:afterLines="50" w:line="360" w:lineRule="auto"/>
        <w:jc w:val="center"/>
        <w:rPr>
          <w:rFonts w:ascii="宋体" w:hAnsi="宋体" w:eastAsia="宋体"/>
          <w:sz w:val="24"/>
          <w:szCs w:val="24"/>
        </w:rPr>
      </w:pPr>
      <w:bookmarkStart w:id="57" w:name="_Toc124168120"/>
      <w:bookmarkStart w:id="58" w:name="_Toc136868029"/>
      <w:bookmarkStart w:id="59" w:name="_Toc137216223"/>
      <w:bookmarkStart w:id="60" w:name="_Toc136869064"/>
      <w:r>
        <w:rPr>
          <w:rFonts w:hint="eastAsia" w:ascii="宋体" w:hAnsi="宋体" w:eastAsia="宋体"/>
          <w:sz w:val="24"/>
          <w:szCs w:val="24"/>
        </w:rPr>
        <w:t>3</w:t>
      </w:r>
      <w:r>
        <w:rPr>
          <w:rFonts w:ascii="宋体" w:hAnsi="宋体" w:eastAsia="宋体"/>
          <w:sz w:val="24"/>
          <w:szCs w:val="24"/>
        </w:rPr>
        <w:t xml:space="preserve">.1 </w:t>
      </w:r>
      <w:r>
        <w:rPr>
          <w:rFonts w:hint="eastAsia" w:ascii="宋体" w:hAnsi="宋体" w:eastAsia="宋体"/>
          <w:sz w:val="24"/>
          <w:szCs w:val="24"/>
        </w:rPr>
        <w:t>一般规定</w:t>
      </w:r>
      <w:bookmarkEnd w:id="57"/>
      <w:bookmarkEnd w:id="58"/>
      <w:bookmarkEnd w:id="59"/>
      <w:bookmarkEnd w:id="60"/>
    </w:p>
    <w:p>
      <w:pPr>
        <w:pStyle w:val="41"/>
        <w:numPr>
          <w:ilvl w:val="0"/>
          <w:numId w:val="7"/>
        </w:numPr>
        <w:spacing w:line="360" w:lineRule="auto"/>
        <w:ind w:firstLineChars="0"/>
        <w:rPr>
          <w:rFonts w:ascii="宋体" w:hAnsi="宋体" w:cs="宋体"/>
          <w:szCs w:val="21"/>
        </w:rPr>
      </w:pPr>
      <w:r>
        <w:rPr>
          <w:rFonts w:hint="eastAsia" w:ascii="宋体" w:hAnsi="宋体" w:cs="宋体"/>
          <w:szCs w:val="21"/>
        </w:rPr>
        <w:t>房屋建筑和市政基础设施电气工程的施工验收必须坚持设备运行安全、用电安全的原则，强化过程验收控制。</w:t>
      </w:r>
    </w:p>
    <w:p>
      <w:pPr>
        <w:pStyle w:val="41"/>
        <w:numPr>
          <w:ilvl w:val="0"/>
          <w:numId w:val="7"/>
        </w:numPr>
        <w:spacing w:line="360" w:lineRule="auto"/>
        <w:ind w:firstLineChars="0"/>
        <w:rPr>
          <w:rFonts w:ascii="宋体" w:hAnsi="宋体" w:cs="宋体"/>
          <w:szCs w:val="21"/>
        </w:rPr>
      </w:pPr>
      <w:r>
        <w:rPr>
          <w:rFonts w:hint="eastAsia" w:ascii="宋体" w:hAnsi="宋体" w:cs="宋体"/>
          <w:szCs w:val="21"/>
        </w:rPr>
        <w:t>房屋建筑和市政基础设施电气工程施工现场的质量管理除应符合国家标准</w:t>
      </w:r>
      <w:r>
        <w:rPr>
          <w:rFonts w:hint="eastAsia" w:ascii="宋体" w:hAnsi="宋体" w:cs="宋体"/>
          <w:color w:val="000000"/>
          <w:szCs w:val="21"/>
        </w:rPr>
        <w:t>《建筑工程施工质量验收统一标准》GB50300</w:t>
      </w:r>
      <w:r>
        <w:rPr>
          <w:rFonts w:hint="eastAsia" w:ascii="宋体" w:hAnsi="宋体" w:cs="宋体"/>
          <w:szCs w:val="21"/>
        </w:rPr>
        <w:t>的有关规定外，尚应符合下列规定：</w:t>
      </w:r>
    </w:p>
    <w:p>
      <w:pPr>
        <w:pStyle w:val="41"/>
        <w:numPr>
          <w:ilvl w:val="1"/>
          <w:numId w:val="8"/>
        </w:numPr>
        <w:spacing w:line="360" w:lineRule="auto"/>
        <w:ind w:firstLine="424" w:firstLineChars="202"/>
        <w:rPr>
          <w:rFonts w:ascii="宋体" w:hAnsi="宋体" w:cs="宋体"/>
          <w:szCs w:val="21"/>
        </w:rPr>
      </w:pPr>
      <w:r>
        <w:rPr>
          <w:rFonts w:hint="eastAsia" w:ascii="宋体" w:hAnsi="宋体" w:cs="宋体"/>
          <w:szCs w:val="21"/>
        </w:rPr>
        <w:t>安装电工、焊工、其中吊装工和电力系统调试等人员应持证上岗；</w:t>
      </w:r>
    </w:p>
    <w:p>
      <w:pPr>
        <w:pStyle w:val="41"/>
        <w:numPr>
          <w:ilvl w:val="1"/>
          <w:numId w:val="8"/>
        </w:numPr>
        <w:spacing w:line="360" w:lineRule="auto"/>
        <w:ind w:firstLine="424" w:firstLineChars="202"/>
        <w:rPr>
          <w:rFonts w:ascii="宋体" w:hAnsi="宋体" w:cs="宋体"/>
          <w:szCs w:val="21"/>
        </w:rPr>
      </w:pPr>
      <w:r>
        <w:rPr>
          <w:rFonts w:hint="eastAsia" w:ascii="宋体" w:hAnsi="宋体" w:cs="宋体"/>
          <w:szCs w:val="21"/>
        </w:rPr>
        <w:t>安装和调试用各类计量器具应检定合格，且使用时应在检定有效期内。</w:t>
      </w:r>
    </w:p>
    <w:p>
      <w:pPr>
        <w:pStyle w:val="41"/>
        <w:numPr>
          <w:ilvl w:val="1"/>
          <w:numId w:val="8"/>
        </w:numPr>
        <w:spacing w:line="360" w:lineRule="auto"/>
        <w:ind w:firstLine="424" w:firstLineChars="202"/>
        <w:rPr>
          <w:rFonts w:ascii="宋体" w:hAnsi="宋体" w:cs="宋体"/>
          <w:szCs w:val="21"/>
        </w:rPr>
      </w:pPr>
      <w:r>
        <w:rPr>
          <w:rFonts w:hint="eastAsia" w:ascii="宋体" w:hAnsi="宋体" w:cs="宋体"/>
          <w:szCs w:val="21"/>
        </w:rPr>
        <w:t>施工现场质量管理应有相应的施工技术标准，健全总包和专业分包单位的质量管理体系，健全施工质量检验制度和综合施工质量水平评定考核制度。</w:t>
      </w:r>
    </w:p>
    <w:p>
      <w:pPr>
        <w:pStyle w:val="41"/>
        <w:numPr>
          <w:ilvl w:val="0"/>
          <w:numId w:val="7"/>
        </w:numPr>
        <w:spacing w:line="360" w:lineRule="auto"/>
        <w:ind w:firstLineChars="0"/>
        <w:rPr>
          <w:rFonts w:ascii="宋体" w:hAnsi="宋体" w:cs="宋体"/>
          <w:b/>
          <w:bCs/>
          <w:szCs w:val="21"/>
        </w:rPr>
      </w:pPr>
      <w:r>
        <w:rPr>
          <w:rFonts w:hint="eastAsia" w:ascii="宋体" w:hAnsi="宋体" w:cs="宋体"/>
          <w:szCs w:val="21"/>
        </w:rPr>
        <w:t>电气设备、器具和材料的额定电压区段划分应符合表3.1.</w:t>
      </w:r>
      <w:r>
        <w:rPr>
          <w:rFonts w:ascii="宋体" w:hAnsi="宋体" w:cs="宋体"/>
          <w:szCs w:val="21"/>
        </w:rPr>
        <w:t>3</w:t>
      </w:r>
      <w:r>
        <w:rPr>
          <w:rFonts w:hint="eastAsia" w:ascii="宋体" w:hAnsi="宋体" w:cs="宋体"/>
          <w:szCs w:val="21"/>
        </w:rPr>
        <w:t>的规定。</w:t>
      </w:r>
    </w:p>
    <w:p>
      <w:pPr>
        <w:spacing w:line="360" w:lineRule="auto"/>
        <w:jc w:val="center"/>
        <w:rPr>
          <w:rFonts w:ascii="黑体" w:hAnsi="黑体" w:eastAsia="黑体" w:cs="宋体"/>
          <w:bCs/>
          <w:szCs w:val="21"/>
        </w:rPr>
      </w:pPr>
      <w:r>
        <w:rPr>
          <w:rFonts w:hint="eastAsia" w:ascii="黑体" w:hAnsi="黑体" w:eastAsia="黑体" w:cs="宋体"/>
          <w:bCs/>
          <w:szCs w:val="21"/>
        </w:rPr>
        <w:t>表3.1.</w:t>
      </w:r>
      <w:r>
        <w:rPr>
          <w:rFonts w:ascii="黑体" w:hAnsi="黑体" w:eastAsia="黑体" w:cs="宋体"/>
          <w:bCs/>
          <w:szCs w:val="21"/>
        </w:rPr>
        <w:t>3</w:t>
      </w:r>
      <w:r>
        <w:rPr>
          <w:rFonts w:hint="eastAsia" w:ascii="黑体" w:hAnsi="黑体" w:eastAsia="黑体" w:cs="宋体"/>
          <w:bCs/>
          <w:szCs w:val="21"/>
        </w:rPr>
        <w:t xml:space="preserve">  额定电压区段划分</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3439"/>
        <w:gridCol w:w="3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144" w:type="pct"/>
            <w:vAlign w:val="center"/>
          </w:tcPr>
          <w:p>
            <w:pPr>
              <w:spacing w:line="360" w:lineRule="auto"/>
              <w:jc w:val="center"/>
              <w:rPr>
                <w:rFonts w:ascii="宋体" w:hAnsi="宋体" w:cs="宋体"/>
                <w:sz w:val="18"/>
                <w:szCs w:val="18"/>
              </w:rPr>
            </w:pPr>
            <w:r>
              <w:rPr>
                <w:rFonts w:hint="eastAsia" w:ascii="宋体" w:hAnsi="宋体" w:cs="宋体"/>
                <w:sz w:val="18"/>
                <w:szCs w:val="18"/>
              </w:rPr>
              <w:t>额定电压区段</w:t>
            </w:r>
          </w:p>
        </w:tc>
        <w:tc>
          <w:tcPr>
            <w:tcW w:w="2016" w:type="pct"/>
            <w:vAlign w:val="center"/>
          </w:tcPr>
          <w:p>
            <w:pPr>
              <w:spacing w:line="360" w:lineRule="auto"/>
              <w:jc w:val="center"/>
              <w:rPr>
                <w:rFonts w:ascii="宋体" w:hAnsi="宋体" w:cs="宋体"/>
                <w:sz w:val="18"/>
                <w:szCs w:val="18"/>
              </w:rPr>
            </w:pPr>
            <w:r>
              <w:rPr>
                <w:rFonts w:hint="eastAsia" w:ascii="宋体" w:hAnsi="宋体" w:cs="宋体"/>
                <w:sz w:val="18"/>
                <w:szCs w:val="18"/>
              </w:rPr>
              <w:t>交流</w:t>
            </w:r>
          </w:p>
        </w:tc>
        <w:tc>
          <w:tcPr>
            <w:tcW w:w="1840" w:type="pct"/>
            <w:vAlign w:val="center"/>
          </w:tcPr>
          <w:p>
            <w:pPr>
              <w:spacing w:line="360" w:lineRule="auto"/>
              <w:jc w:val="center"/>
              <w:rPr>
                <w:rFonts w:ascii="宋体" w:hAnsi="宋体" w:cs="宋体"/>
                <w:sz w:val="18"/>
                <w:szCs w:val="18"/>
              </w:rPr>
            </w:pPr>
            <w:r>
              <w:rPr>
                <w:rFonts w:hint="eastAsia" w:ascii="宋体" w:hAnsi="宋体" w:cs="宋体"/>
                <w:sz w:val="18"/>
                <w:szCs w:val="18"/>
              </w:rPr>
              <w:t>直流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44" w:type="pct"/>
            <w:vAlign w:val="center"/>
          </w:tcPr>
          <w:p>
            <w:pPr>
              <w:spacing w:line="360" w:lineRule="auto"/>
              <w:jc w:val="center"/>
              <w:rPr>
                <w:rFonts w:ascii="宋体" w:hAnsi="宋体" w:cs="宋体"/>
                <w:sz w:val="18"/>
                <w:szCs w:val="18"/>
              </w:rPr>
            </w:pPr>
            <w:r>
              <w:rPr>
                <w:rFonts w:hint="eastAsia" w:ascii="宋体" w:hAnsi="宋体" w:cs="宋体"/>
                <w:sz w:val="18"/>
                <w:szCs w:val="18"/>
              </w:rPr>
              <w:t>特低压</w:t>
            </w:r>
          </w:p>
        </w:tc>
        <w:tc>
          <w:tcPr>
            <w:tcW w:w="2016" w:type="pct"/>
            <w:vAlign w:val="center"/>
          </w:tcPr>
          <w:p>
            <w:pPr>
              <w:spacing w:line="360" w:lineRule="auto"/>
              <w:jc w:val="center"/>
              <w:rPr>
                <w:rFonts w:ascii="宋体" w:hAnsi="宋体" w:cs="宋体"/>
                <w:sz w:val="18"/>
                <w:szCs w:val="18"/>
              </w:rPr>
            </w:pPr>
            <w:r>
              <w:rPr>
                <w:rFonts w:hint="eastAsia" w:ascii="宋体" w:hAnsi="宋体" w:cs="宋体"/>
                <w:color w:val="000000"/>
                <w:sz w:val="18"/>
                <w:szCs w:val="18"/>
              </w:rPr>
              <w:t>50</w:t>
            </w:r>
            <w:r>
              <w:rPr>
                <w:rFonts w:hint="eastAsia" w:cs="仿宋" w:asciiTheme="minorEastAsia" w:hAnsiTheme="minorEastAsia" w:eastAsiaTheme="minorEastAsia"/>
                <w:color w:val="000000"/>
                <w:spacing w:val="0"/>
                <w:w w:val="15"/>
                <w:kern w:val="0"/>
                <w:szCs w:val="21"/>
                <w:fitText w:val="42" w:id="732058684"/>
              </w:rPr>
              <w:t xml:space="preserve">　 </w:t>
            </w:r>
            <w:r>
              <w:rPr>
                <w:rFonts w:hint="eastAsia" w:cs="仿宋" w:asciiTheme="minorEastAsia" w:hAnsiTheme="minorEastAsia" w:eastAsiaTheme="minorEastAsia"/>
                <w:color w:val="000000"/>
                <w:spacing w:val="-17"/>
                <w:w w:val="15"/>
                <w:kern w:val="0"/>
                <w:szCs w:val="21"/>
                <w:fitText w:val="42" w:id="732058684"/>
              </w:rPr>
              <w:t>　</w:t>
            </w:r>
            <w:r>
              <w:rPr>
                <w:rFonts w:hint="eastAsia" w:ascii="宋体" w:hAnsi="宋体" w:cs="宋体"/>
                <w:color w:val="000000"/>
                <w:sz w:val="18"/>
                <w:szCs w:val="18"/>
              </w:rPr>
              <w:t>V</w:t>
            </w:r>
            <w:r>
              <w:rPr>
                <w:rFonts w:hint="eastAsia" w:ascii="宋体" w:hAnsi="宋体" w:cs="宋体"/>
                <w:sz w:val="18"/>
                <w:szCs w:val="18"/>
              </w:rPr>
              <w:t>及以下</w:t>
            </w:r>
          </w:p>
        </w:tc>
        <w:tc>
          <w:tcPr>
            <w:tcW w:w="1840" w:type="pct"/>
            <w:vAlign w:val="center"/>
          </w:tcPr>
          <w:p>
            <w:pPr>
              <w:spacing w:line="360" w:lineRule="auto"/>
              <w:jc w:val="center"/>
              <w:rPr>
                <w:rFonts w:ascii="宋体" w:hAnsi="宋体" w:cs="宋体"/>
                <w:sz w:val="18"/>
                <w:szCs w:val="18"/>
              </w:rPr>
            </w:pPr>
            <w:r>
              <w:rPr>
                <w:rFonts w:hint="eastAsia" w:ascii="宋体" w:hAnsi="宋体" w:cs="宋体"/>
                <w:color w:val="000000"/>
                <w:sz w:val="18"/>
                <w:szCs w:val="18"/>
              </w:rPr>
              <w:t>120</w:t>
            </w:r>
            <w:r>
              <w:rPr>
                <w:rFonts w:hint="eastAsia" w:cs="仿宋" w:asciiTheme="minorEastAsia" w:hAnsiTheme="minorEastAsia" w:eastAsiaTheme="minorEastAsia"/>
                <w:color w:val="000000"/>
                <w:spacing w:val="0"/>
                <w:w w:val="15"/>
                <w:kern w:val="0"/>
                <w:szCs w:val="21"/>
                <w:fitText w:val="42" w:id="1584547786"/>
              </w:rPr>
              <w:t xml:space="preserve">　 </w:t>
            </w:r>
            <w:r>
              <w:rPr>
                <w:rFonts w:hint="eastAsia" w:cs="仿宋" w:asciiTheme="minorEastAsia" w:hAnsiTheme="minorEastAsia" w:eastAsiaTheme="minorEastAsia"/>
                <w:color w:val="000000"/>
                <w:spacing w:val="-17"/>
                <w:w w:val="15"/>
                <w:kern w:val="0"/>
                <w:szCs w:val="21"/>
                <w:fitText w:val="42" w:id="1584547786"/>
              </w:rPr>
              <w:t>　</w:t>
            </w:r>
            <w:r>
              <w:rPr>
                <w:rFonts w:hint="eastAsia" w:ascii="宋体" w:hAnsi="宋体" w:cs="宋体"/>
                <w:color w:val="000000"/>
                <w:sz w:val="18"/>
                <w:szCs w:val="18"/>
              </w:rPr>
              <w:t>V</w:t>
            </w:r>
            <w:r>
              <w:rPr>
                <w:rFonts w:hint="eastAsia" w:ascii="宋体" w:hAnsi="宋体" w:cs="宋体"/>
                <w:sz w:val="18"/>
                <w:szCs w:val="18"/>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144" w:type="pct"/>
            <w:vAlign w:val="center"/>
          </w:tcPr>
          <w:p>
            <w:pPr>
              <w:spacing w:line="360" w:lineRule="auto"/>
              <w:jc w:val="center"/>
              <w:rPr>
                <w:rFonts w:ascii="宋体" w:hAnsi="宋体" w:cs="宋体"/>
                <w:sz w:val="18"/>
                <w:szCs w:val="18"/>
              </w:rPr>
            </w:pPr>
            <w:r>
              <w:rPr>
                <w:rFonts w:hint="eastAsia" w:ascii="宋体" w:hAnsi="宋体" w:cs="宋体"/>
                <w:sz w:val="18"/>
                <w:szCs w:val="18"/>
              </w:rPr>
              <w:t>低压</w:t>
            </w:r>
          </w:p>
        </w:tc>
        <w:tc>
          <w:tcPr>
            <w:tcW w:w="2016" w:type="pct"/>
            <w:vAlign w:val="center"/>
          </w:tcPr>
          <w:p>
            <w:pPr>
              <w:spacing w:line="360" w:lineRule="auto"/>
              <w:jc w:val="center"/>
              <w:rPr>
                <w:rFonts w:ascii="宋体" w:hAnsi="宋体" w:cs="宋体"/>
                <w:sz w:val="18"/>
                <w:szCs w:val="18"/>
              </w:rPr>
            </w:pPr>
            <w:r>
              <w:rPr>
                <w:rFonts w:hint="eastAsia" w:ascii="宋体" w:hAnsi="宋体" w:cs="宋体"/>
                <w:color w:val="000000"/>
                <w:sz w:val="18"/>
                <w:szCs w:val="18"/>
              </w:rPr>
              <w:t>50</w:t>
            </w:r>
            <w:r>
              <w:rPr>
                <w:rFonts w:hint="eastAsia" w:cs="仿宋" w:asciiTheme="minorEastAsia" w:hAnsiTheme="minorEastAsia" w:eastAsiaTheme="minorEastAsia"/>
                <w:color w:val="000000"/>
                <w:spacing w:val="0"/>
                <w:w w:val="15"/>
                <w:kern w:val="0"/>
                <w:szCs w:val="21"/>
                <w:fitText w:val="42" w:id="1946313391"/>
              </w:rPr>
              <w:t xml:space="preserve">　 </w:t>
            </w:r>
            <w:r>
              <w:rPr>
                <w:rFonts w:hint="eastAsia" w:cs="仿宋" w:asciiTheme="minorEastAsia" w:hAnsiTheme="minorEastAsia" w:eastAsiaTheme="minorEastAsia"/>
                <w:color w:val="000000"/>
                <w:spacing w:val="-17"/>
                <w:w w:val="15"/>
                <w:kern w:val="0"/>
                <w:szCs w:val="21"/>
                <w:fitText w:val="42" w:id="1946313391"/>
              </w:rPr>
              <w:t>　</w:t>
            </w:r>
            <w:r>
              <w:rPr>
                <w:rFonts w:hint="eastAsia" w:ascii="宋体" w:hAnsi="宋体" w:cs="宋体"/>
                <w:color w:val="000000"/>
                <w:sz w:val="18"/>
                <w:szCs w:val="18"/>
              </w:rPr>
              <w:t>V</w:t>
            </w:r>
            <w:r>
              <w:rPr>
                <w:rFonts w:hint="eastAsia" w:ascii="宋体" w:hAnsi="宋体" w:cs="宋体"/>
                <w:sz w:val="18"/>
                <w:szCs w:val="18"/>
              </w:rPr>
              <w:t>至</w:t>
            </w:r>
            <w:r>
              <w:rPr>
                <w:rFonts w:hint="eastAsia" w:ascii="宋体" w:hAnsi="宋体" w:cs="宋体"/>
                <w:color w:val="000000"/>
                <w:sz w:val="18"/>
                <w:szCs w:val="18"/>
              </w:rPr>
              <w:t>1.0</w:t>
            </w:r>
            <w:r>
              <w:rPr>
                <w:rFonts w:hint="eastAsia" w:cs="仿宋" w:asciiTheme="minorEastAsia" w:hAnsiTheme="minorEastAsia" w:eastAsiaTheme="minorEastAsia"/>
                <w:color w:val="000000"/>
                <w:spacing w:val="0"/>
                <w:w w:val="15"/>
                <w:kern w:val="0"/>
                <w:szCs w:val="21"/>
                <w:fitText w:val="42" w:id="2053266718"/>
              </w:rPr>
              <w:t xml:space="preserve">　 </w:t>
            </w:r>
            <w:r>
              <w:rPr>
                <w:rFonts w:hint="eastAsia" w:cs="仿宋" w:asciiTheme="minorEastAsia" w:hAnsiTheme="minorEastAsia" w:eastAsiaTheme="minorEastAsia"/>
                <w:color w:val="000000"/>
                <w:spacing w:val="-17"/>
                <w:w w:val="15"/>
                <w:kern w:val="0"/>
                <w:szCs w:val="21"/>
                <w:fitText w:val="42" w:id="2053266718"/>
              </w:rPr>
              <w:t>　</w:t>
            </w:r>
            <w:r>
              <w:rPr>
                <w:rFonts w:hint="eastAsia" w:ascii="宋体" w:hAnsi="宋体" w:cs="宋体"/>
                <w:color w:val="000000"/>
                <w:sz w:val="18"/>
                <w:szCs w:val="18"/>
              </w:rPr>
              <w:t>k</w:t>
            </w:r>
            <w:r>
              <w:rPr>
                <w:rFonts w:ascii="宋体" w:hAnsi="宋体" w:cs="宋体"/>
                <w:color w:val="000000"/>
                <w:sz w:val="18"/>
                <w:szCs w:val="18"/>
              </w:rPr>
              <w:t>V</w:t>
            </w:r>
            <w:r>
              <w:rPr>
                <w:rFonts w:hint="eastAsia" w:ascii="宋体" w:hAnsi="宋体" w:cs="宋体"/>
                <w:sz w:val="18"/>
                <w:szCs w:val="18"/>
              </w:rPr>
              <w:t>（含</w:t>
            </w:r>
            <w:r>
              <w:rPr>
                <w:rFonts w:hint="eastAsia" w:ascii="宋体" w:hAnsi="宋体" w:cs="宋体"/>
                <w:color w:val="000000"/>
                <w:sz w:val="18"/>
                <w:szCs w:val="18"/>
              </w:rPr>
              <w:t>1.0</w:t>
            </w:r>
            <w:r>
              <w:rPr>
                <w:rFonts w:hint="eastAsia" w:cs="仿宋" w:asciiTheme="minorEastAsia" w:hAnsiTheme="minorEastAsia" w:eastAsiaTheme="minorEastAsia"/>
                <w:color w:val="000000"/>
                <w:spacing w:val="0"/>
                <w:w w:val="15"/>
                <w:kern w:val="0"/>
                <w:szCs w:val="21"/>
                <w:fitText w:val="42" w:id="94858866"/>
              </w:rPr>
              <w:t xml:space="preserve">　 </w:t>
            </w:r>
            <w:r>
              <w:rPr>
                <w:rFonts w:hint="eastAsia" w:cs="仿宋" w:asciiTheme="minorEastAsia" w:hAnsiTheme="minorEastAsia" w:eastAsiaTheme="minorEastAsia"/>
                <w:color w:val="000000"/>
                <w:spacing w:val="-17"/>
                <w:w w:val="15"/>
                <w:kern w:val="0"/>
                <w:szCs w:val="21"/>
                <w:fitText w:val="42" w:id="94858866"/>
              </w:rPr>
              <w:t>　</w:t>
            </w:r>
            <w:r>
              <w:rPr>
                <w:rFonts w:hint="eastAsia" w:ascii="宋体" w:hAnsi="宋体" w:cs="宋体"/>
                <w:color w:val="000000"/>
                <w:sz w:val="18"/>
                <w:szCs w:val="18"/>
              </w:rPr>
              <w:t>kV</w:t>
            </w:r>
            <w:r>
              <w:rPr>
                <w:rFonts w:hint="eastAsia" w:ascii="宋体" w:hAnsi="宋体" w:cs="宋体"/>
                <w:sz w:val="18"/>
                <w:szCs w:val="18"/>
              </w:rPr>
              <w:t>）</w:t>
            </w:r>
          </w:p>
        </w:tc>
        <w:tc>
          <w:tcPr>
            <w:tcW w:w="1840" w:type="pct"/>
            <w:vAlign w:val="center"/>
          </w:tcPr>
          <w:p>
            <w:pPr>
              <w:spacing w:line="360" w:lineRule="auto"/>
              <w:jc w:val="center"/>
              <w:rPr>
                <w:rFonts w:ascii="宋体" w:hAnsi="宋体" w:cs="宋体"/>
                <w:sz w:val="18"/>
                <w:szCs w:val="18"/>
              </w:rPr>
            </w:pPr>
            <w:r>
              <w:rPr>
                <w:rFonts w:hint="eastAsia" w:ascii="宋体" w:hAnsi="宋体" w:cs="宋体"/>
                <w:color w:val="000000"/>
                <w:sz w:val="18"/>
                <w:szCs w:val="18"/>
              </w:rPr>
              <w:t>120</w:t>
            </w:r>
            <w:r>
              <w:rPr>
                <w:rFonts w:hint="eastAsia" w:cs="仿宋" w:asciiTheme="minorEastAsia" w:hAnsiTheme="minorEastAsia" w:eastAsiaTheme="minorEastAsia"/>
                <w:color w:val="000000"/>
                <w:spacing w:val="0"/>
                <w:w w:val="15"/>
                <w:kern w:val="0"/>
                <w:szCs w:val="21"/>
                <w:fitText w:val="42" w:id="1947238339"/>
              </w:rPr>
              <w:t xml:space="preserve">　 </w:t>
            </w:r>
            <w:r>
              <w:rPr>
                <w:rFonts w:hint="eastAsia" w:cs="仿宋" w:asciiTheme="minorEastAsia" w:hAnsiTheme="minorEastAsia" w:eastAsiaTheme="minorEastAsia"/>
                <w:color w:val="000000"/>
                <w:spacing w:val="-17"/>
                <w:w w:val="15"/>
                <w:kern w:val="0"/>
                <w:szCs w:val="21"/>
                <w:fitText w:val="42" w:id="1947238339"/>
              </w:rPr>
              <w:t>　</w:t>
            </w:r>
            <w:r>
              <w:rPr>
                <w:rFonts w:hint="eastAsia" w:ascii="宋体" w:hAnsi="宋体" w:cs="宋体"/>
                <w:color w:val="000000"/>
                <w:sz w:val="18"/>
                <w:szCs w:val="18"/>
              </w:rPr>
              <w:t>V</w:t>
            </w:r>
            <w:r>
              <w:rPr>
                <w:rFonts w:hint="eastAsia" w:ascii="宋体" w:hAnsi="宋体" w:cs="宋体"/>
                <w:sz w:val="18"/>
                <w:szCs w:val="18"/>
              </w:rPr>
              <w:t>至</w:t>
            </w:r>
            <w:r>
              <w:rPr>
                <w:rFonts w:hint="eastAsia" w:ascii="宋体" w:hAnsi="宋体" w:cs="宋体"/>
                <w:color w:val="000000"/>
                <w:sz w:val="18"/>
                <w:szCs w:val="18"/>
              </w:rPr>
              <w:t>1.5</w:t>
            </w:r>
            <w:r>
              <w:rPr>
                <w:rFonts w:hint="eastAsia" w:cs="仿宋" w:asciiTheme="minorEastAsia" w:hAnsiTheme="minorEastAsia" w:eastAsiaTheme="minorEastAsia"/>
                <w:color w:val="000000"/>
                <w:spacing w:val="0"/>
                <w:w w:val="15"/>
                <w:kern w:val="0"/>
                <w:szCs w:val="21"/>
                <w:fitText w:val="42" w:id="939489286"/>
              </w:rPr>
              <w:t xml:space="preserve">　 </w:t>
            </w:r>
            <w:r>
              <w:rPr>
                <w:rFonts w:hint="eastAsia" w:cs="仿宋" w:asciiTheme="minorEastAsia" w:hAnsiTheme="minorEastAsia" w:eastAsiaTheme="minorEastAsia"/>
                <w:color w:val="000000"/>
                <w:spacing w:val="-17"/>
                <w:w w:val="15"/>
                <w:kern w:val="0"/>
                <w:szCs w:val="21"/>
                <w:fitText w:val="42" w:id="939489286"/>
              </w:rPr>
              <w:t>　</w:t>
            </w:r>
            <w:r>
              <w:rPr>
                <w:rFonts w:hint="eastAsia" w:ascii="宋体" w:hAnsi="宋体" w:cs="宋体"/>
                <w:color w:val="000000"/>
                <w:sz w:val="18"/>
                <w:szCs w:val="18"/>
              </w:rPr>
              <w:t>kV</w:t>
            </w:r>
            <w:r>
              <w:rPr>
                <w:rFonts w:hint="eastAsia" w:ascii="宋体" w:hAnsi="宋体" w:cs="宋体"/>
                <w:sz w:val="18"/>
                <w:szCs w:val="18"/>
              </w:rPr>
              <w:t>（含</w:t>
            </w:r>
            <w:r>
              <w:rPr>
                <w:rFonts w:hint="eastAsia" w:ascii="宋体" w:hAnsi="宋体" w:cs="宋体"/>
                <w:color w:val="000000"/>
                <w:sz w:val="18"/>
                <w:szCs w:val="18"/>
              </w:rPr>
              <w:t>1.5</w:t>
            </w:r>
            <w:r>
              <w:rPr>
                <w:rFonts w:hint="eastAsia" w:cs="仿宋" w:asciiTheme="minorEastAsia" w:hAnsiTheme="minorEastAsia" w:eastAsiaTheme="minorEastAsia"/>
                <w:color w:val="000000"/>
                <w:spacing w:val="0"/>
                <w:w w:val="15"/>
                <w:kern w:val="0"/>
                <w:szCs w:val="21"/>
                <w:fitText w:val="42" w:id="1236622761"/>
              </w:rPr>
              <w:t xml:space="preserve">　 </w:t>
            </w:r>
            <w:r>
              <w:rPr>
                <w:rFonts w:hint="eastAsia" w:cs="仿宋" w:asciiTheme="minorEastAsia" w:hAnsiTheme="minorEastAsia" w:eastAsiaTheme="minorEastAsia"/>
                <w:color w:val="000000"/>
                <w:spacing w:val="-17"/>
                <w:w w:val="15"/>
                <w:kern w:val="0"/>
                <w:szCs w:val="21"/>
                <w:fitText w:val="42" w:id="1236622761"/>
              </w:rPr>
              <w:t>　</w:t>
            </w:r>
            <w:r>
              <w:rPr>
                <w:rFonts w:hint="eastAsia" w:ascii="宋体" w:hAnsi="宋体" w:cs="宋体"/>
                <w:color w:val="000000"/>
                <w:sz w:val="18"/>
                <w:szCs w:val="18"/>
              </w:rPr>
              <w:t>kV</w:t>
            </w: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1144" w:type="pct"/>
            <w:vAlign w:val="center"/>
          </w:tcPr>
          <w:p>
            <w:pPr>
              <w:spacing w:line="360" w:lineRule="auto"/>
              <w:jc w:val="center"/>
              <w:rPr>
                <w:rFonts w:ascii="宋体" w:hAnsi="宋体" w:cs="宋体"/>
                <w:sz w:val="18"/>
                <w:szCs w:val="18"/>
              </w:rPr>
            </w:pPr>
            <w:r>
              <w:rPr>
                <w:rFonts w:hint="eastAsia" w:ascii="宋体" w:hAnsi="宋体" w:cs="宋体"/>
                <w:sz w:val="18"/>
                <w:szCs w:val="18"/>
              </w:rPr>
              <w:t>高压</w:t>
            </w:r>
          </w:p>
        </w:tc>
        <w:tc>
          <w:tcPr>
            <w:tcW w:w="2016" w:type="pct"/>
            <w:vAlign w:val="center"/>
          </w:tcPr>
          <w:p>
            <w:pPr>
              <w:spacing w:line="360" w:lineRule="auto"/>
              <w:jc w:val="center"/>
              <w:rPr>
                <w:rFonts w:ascii="宋体" w:hAnsi="宋体" w:cs="宋体"/>
                <w:sz w:val="18"/>
                <w:szCs w:val="18"/>
              </w:rPr>
            </w:pPr>
            <w:r>
              <w:rPr>
                <w:rFonts w:hint="eastAsia" w:ascii="宋体" w:hAnsi="宋体" w:cs="宋体"/>
                <w:color w:val="000000"/>
                <w:sz w:val="18"/>
                <w:szCs w:val="18"/>
              </w:rPr>
              <w:t>1.0</w:t>
            </w:r>
            <w:r>
              <w:rPr>
                <w:rFonts w:hint="eastAsia" w:cs="仿宋" w:asciiTheme="minorEastAsia" w:hAnsiTheme="minorEastAsia" w:eastAsiaTheme="minorEastAsia"/>
                <w:color w:val="000000"/>
                <w:spacing w:val="0"/>
                <w:w w:val="15"/>
                <w:kern w:val="0"/>
                <w:szCs w:val="21"/>
                <w:fitText w:val="42" w:id="1871267378"/>
              </w:rPr>
              <w:t xml:space="preserve">　 </w:t>
            </w:r>
            <w:r>
              <w:rPr>
                <w:rFonts w:hint="eastAsia" w:cs="仿宋" w:asciiTheme="minorEastAsia" w:hAnsiTheme="minorEastAsia" w:eastAsiaTheme="minorEastAsia"/>
                <w:color w:val="000000"/>
                <w:spacing w:val="-17"/>
                <w:w w:val="15"/>
                <w:kern w:val="0"/>
                <w:szCs w:val="21"/>
                <w:fitText w:val="42" w:id="1871267378"/>
              </w:rPr>
              <w:t>　</w:t>
            </w:r>
            <w:r>
              <w:rPr>
                <w:rFonts w:hint="eastAsia" w:ascii="宋体" w:hAnsi="宋体" w:cs="宋体"/>
                <w:color w:val="000000"/>
                <w:sz w:val="18"/>
                <w:szCs w:val="18"/>
              </w:rPr>
              <w:t>kV</w:t>
            </w:r>
            <w:r>
              <w:rPr>
                <w:rFonts w:hint="eastAsia" w:ascii="宋体" w:hAnsi="宋体" w:cs="宋体"/>
                <w:sz w:val="18"/>
                <w:szCs w:val="18"/>
              </w:rPr>
              <w:t>以上</w:t>
            </w:r>
          </w:p>
        </w:tc>
        <w:tc>
          <w:tcPr>
            <w:tcW w:w="1840" w:type="pct"/>
            <w:vAlign w:val="center"/>
          </w:tcPr>
          <w:p>
            <w:pPr>
              <w:spacing w:line="360" w:lineRule="auto"/>
              <w:jc w:val="center"/>
              <w:rPr>
                <w:rFonts w:ascii="宋体" w:hAnsi="宋体" w:cs="宋体"/>
                <w:sz w:val="18"/>
                <w:szCs w:val="18"/>
              </w:rPr>
            </w:pPr>
            <w:r>
              <w:rPr>
                <w:rFonts w:hint="eastAsia" w:ascii="宋体" w:hAnsi="宋体" w:cs="宋体"/>
                <w:color w:val="000000"/>
                <w:sz w:val="18"/>
                <w:szCs w:val="18"/>
              </w:rPr>
              <w:t>1.5</w:t>
            </w:r>
            <w:r>
              <w:rPr>
                <w:rFonts w:hint="eastAsia" w:cs="仿宋" w:asciiTheme="minorEastAsia" w:hAnsiTheme="minorEastAsia" w:eastAsiaTheme="minorEastAsia"/>
                <w:color w:val="000000"/>
                <w:spacing w:val="0"/>
                <w:w w:val="15"/>
                <w:kern w:val="0"/>
                <w:szCs w:val="21"/>
                <w:fitText w:val="42" w:id="1823216160"/>
              </w:rPr>
              <w:t xml:space="preserve">　 </w:t>
            </w:r>
            <w:r>
              <w:rPr>
                <w:rFonts w:hint="eastAsia" w:cs="仿宋" w:asciiTheme="minorEastAsia" w:hAnsiTheme="minorEastAsia" w:eastAsiaTheme="minorEastAsia"/>
                <w:color w:val="000000"/>
                <w:spacing w:val="-17"/>
                <w:w w:val="15"/>
                <w:kern w:val="0"/>
                <w:szCs w:val="21"/>
                <w:fitText w:val="42" w:id="1823216160"/>
              </w:rPr>
              <w:t>　</w:t>
            </w:r>
            <w:r>
              <w:rPr>
                <w:rFonts w:hint="eastAsia" w:ascii="宋体" w:hAnsi="宋体" w:cs="宋体"/>
                <w:color w:val="000000"/>
                <w:sz w:val="18"/>
                <w:szCs w:val="18"/>
              </w:rPr>
              <w:t>kV</w:t>
            </w:r>
            <w:r>
              <w:rPr>
                <w:rFonts w:hint="eastAsia" w:ascii="宋体" w:hAnsi="宋体" w:cs="宋体"/>
                <w:sz w:val="18"/>
                <w:szCs w:val="18"/>
              </w:rPr>
              <w:t>以上</w:t>
            </w:r>
          </w:p>
        </w:tc>
      </w:tr>
    </w:tbl>
    <w:p>
      <w:pPr>
        <w:pStyle w:val="41"/>
        <w:numPr>
          <w:ilvl w:val="0"/>
          <w:numId w:val="7"/>
        </w:numPr>
        <w:spacing w:line="360" w:lineRule="auto"/>
        <w:ind w:firstLineChars="0"/>
        <w:rPr>
          <w:rFonts w:ascii="宋体" w:hAnsi="宋体" w:cs="宋体"/>
          <w:szCs w:val="21"/>
        </w:rPr>
      </w:pPr>
      <w:r>
        <w:rPr>
          <w:rFonts w:hint="eastAsia" w:ascii="宋体" w:hAnsi="宋体" w:cs="宋体"/>
          <w:szCs w:val="21"/>
        </w:rPr>
        <w:t>电气设备上的计量仪表、与电气保护有关的仪表应检定合格，且当投入运行时，应在检定有效期内。</w:t>
      </w:r>
    </w:p>
    <w:p>
      <w:pPr>
        <w:pStyle w:val="41"/>
        <w:numPr>
          <w:ilvl w:val="0"/>
          <w:numId w:val="7"/>
        </w:numPr>
        <w:spacing w:line="360" w:lineRule="auto"/>
        <w:ind w:firstLineChars="0"/>
        <w:rPr>
          <w:rFonts w:ascii="宋体" w:hAnsi="宋体" w:cs="宋体"/>
          <w:szCs w:val="21"/>
        </w:rPr>
      </w:pPr>
      <w:r>
        <w:rPr>
          <w:rFonts w:hint="eastAsia" w:ascii="宋体" w:hAnsi="宋体" w:cs="宋体"/>
          <w:szCs w:val="21"/>
        </w:rPr>
        <w:t>电气动力工程的空载试运行和照明工程负荷试运行前，应根据相关设备的种类、特性和技术参数等编制试运行方案或作业指导书，并应经施工单位审核同意、经监理单位确认后执行。</w:t>
      </w:r>
    </w:p>
    <w:p>
      <w:pPr>
        <w:pStyle w:val="41"/>
        <w:numPr>
          <w:ilvl w:val="0"/>
          <w:numId w:val="7"/>
        </w:numPr>
        <w:spacing w:line="360" w:lineRule="auto"/>
        <w:ind w:firstLineChars="0"/>
        <w:rPr>
          <w:rFonts w:ascii="宋体" w:hAnsi="宋体" w:cs="宋体"/>
          <w:szCs w:val="21"/>
        </w:rPr>
      </w:pPr>
      <w:r>
        <w:rPr>
          <w:rFonts w:hint="eastAsia" w:ascii="宋体" w:hAnsi="宋体" w:cs="宋体"/>
          <w:szCs w:val="21"/>
        </w:rPr>
        <w:t>高压的电气设备、布线系统以及继电保护系统必须交接试验合格。</w:t>
      </w:r>
    </w:p>
    <w:p>
      <w:pPr>
        <w:pStyle w:val="41"/>
        <w:numPr>
          <w:ilvl w:val="0"/>
          <w:numId w:val="7"/>
        </w:numPr>
        <w:spacing w:line="360" w:lineRule="auto"/>
        <w:ind w:firstLineChars="0"/>
        <w:rPr>
          <w:rFonts w:ascii="宋体" w:hAnsi="宋体" w:cs="宋体"/>
          <w:szCs w:val="21"/>
        </w:rPr>
      </w:pPr>
      <w:r>
        <w:rPr>
          <w:rFonts w:hint="eastAsia" w:ascii="宋体" w:hAnsi="宋体" w:cs="宋体"/>
          <w:szCs w:val="21"/>
        </w:rPr>
        <w:t>低压和特低压的电气设备和布线系统的检测或交接试验应符合本规范的规定。</w:t>
      </w:r>
    </w:p>
    <w:p>
      <w:pPr>
        <w:pStyle w:val="41"/>
        <w:numPr>
          <w:ilvl w:val="0"/>
          <w:numId w:val="7"/>
        </w:numPr>
        <w:spacing w:line="360" w:lineRule="auto"/>
        <w:ind w:firstLineChars="0"/>
        <w:rPr>
          <w:rFonts w:ascii="宋体" w:hAnsi="宋体" w:cs="宋体"/>
          <w:szCs w:val="21"/>
        </w:rPr>
      </w:pPr>
      <w:r>
        <w:rPr>
          <w:rFonts w:hint="eastAsia" w:ascii="宋体" w:hAnsi="宋体" w:cs="宋体"/>
          <w:szCs w:val="21"/>
        </w:rPr>
        <w:t>电气设备的外露可导电部分应单独与保护导体相连接，不得串联连接，连接导体的材质、截面积应符合设计要求。</w:t>
      </w:r>
    </w:p>
    <w:p>
      <w:pPr>
        <w:pStyle w:val="41"/>
        <w:numPr>
          <w:ilvl w:val="0"/>
          <w:numId w:val="7"/>
        </w:numPr>
        <w:spacing w:line="360" w:lineRule="auto"/>
        <w:ind w:firstLineChars="0"/>
        <w:rPr>
          <w:rFonts w:ascii="宋体" w:hAnsi="宋体" w:cs="宋体"/>
          <w:szCs w:val="21"/>
        </w:rPr>
      </w:pPr>
      <w:r>
        <w:rPr>
          <w:rFonts w:hint="eastAsia" w:ascii="宋体" w:hAnsi="宋体" w:cs="宋体"/>
          <w:szCs w:val="21"/>
        </w:rPr>
        <w:t>除采取下列任一间接接触防护措施外，电气设备或布线系统应与保护导体可靠连接：</w:t>
      </w:r>
    </w:p>
    <w:p>
      <w:pPr>
        <w:pStyle w:val="41"/>
        <w:numPr>
          <w:ilvl w:val="1"/>
          <w:numId w:val="9"/>
        </w:numPr>
        <w:spacing w:line="360" w:lineRule="auto"/>
        <w:ind w:firstLine="424" w:firstLineChars="202"/>
        <w:rPr>
          <w:rFonts w:ascii="宋体" w:hAnsi="宋体" w:cs="宋体"/>
          <w:szCs w:val="21"/>
        </w:rPr>
      </w:pPr>
      <w:r>
        <w:rPr>
          <w:rFonts w:hint="eastAsia" w:ascii="宋体" w:hAnsi="宋体" w:cs="宋体"/>
          <w:szCs w:val="21"/>
        </w:rPr>
        <w:t>采用Ⅱ类设备；</w:t>
      </w:r>
    </w:p>
    <w:p>
      <w:pPr>
        <w:pStyle w:val="41"/>
        <w:numPr>
          <w:ilvl w:val="1"/>
          <w:numId w:val="9"/>
        </w:numPr>
        <w:spacing w:line="360" w:lineRule="auto"/>
        <w:ind w:firstLine="424" w:firstLineChars="202"/>
        <w:rPr>
          <w:rFonts w:ascii="宋体" w:hAnsi="宋体" w:cs="宋体"/>
          <w:szCs w:val="21"/>
        </w:rPr>
      </w:pPr>
      <w:r>
        <w:rPr>
          <w:rFonts w:hint="eastAsia" w:ascii="宋体" w:hAnsi="宋体" w:cs="宋体"/>
          <w:szCs w:val="21"/>
        </w:rPr>
        <w:t>已采取电气隔离措施；</w:t>
      </w:r>
    </w:p>
    <w:p>
      <w:pPr>
        <w:pStyle w:val="41"/>
        <w:numPr>
          <w:ilvl w:val="1"/>
          <w:numId w:val="9"/>
        </w:numPr>
        <w:spacing w:line="360" w:lineRule="auto"/>
        <w:ind w:firstLine="424" w:firstLineChars="202"/>
        <w:rPr>
          <w:rFonts w:ascii="宋体" w:hAnsi="宋体" w:cs="宋体"/>
          <w:szCs w:val="21"/>
        </w:rPr>
      </w:pPr>
      <w:r>
        <w:rPr>
          <w:rFonts w:hint="eastAsia" w:ascii="宋体" w:hAnsi="宋体" w:cs="宋体"/>
          <w:szCs w:val="21"/>
        </w:rPr>
        <w:t>采用特低电压供电；</w:t>
      </w:r>
    </w:p>
    <w:p>
      <w:pPr>
        <w:pStyle w:val="41"/>
        <w:numPr>
          <w:ilvl w:val="1"/>
          <w:numId w:val="9"/>
        </w:numPr>
        <w:spacing w:line="360" w:lineRule="auto"/>
        <w:ind w:firstLine="424" w:firstLineChars="202"/>
        <w:rPr>
          <w:rFonts w:ascii="宋体" w:hAnsi="宋体" w:cs="宋体"/>
          <w:szCs w:val="21"/>
        </w:rPr>
      </w:pPr>
      <w:r>
        <w:rPr>
          <w:rFonts w:hint="eastAsia" w:ascii="宋体" w:hAnsi="宋体" w:cs="宋体"/>
          <w:szCs w:val="21"/>
        </w:rPr>
        <w:t>将电气设备安装在非导电场所内；</w:t>
      </w:r>
    </w:p>
    <w:p>
      <w:pPr>
        <w:pStyle w:val="41"/>
        <w:numPr>
          <w:ilvl w:val="1"/>
          <w:numId w:val="9"/>
        </w:numPr>
        <w:spacing w:line="360" w:lineRule="auto"/>
        <w:ind w:firstLine="424" w:firstLineChars="202"/>
        <w:rPr>
          <w:rFonts w:ascii="宋体" w:hAnsi="宋体" w:cs="宋体"/>
          <w:szCs w:val="21"/>
        </w:rPr>
      </w:pPr>
      <w:r>
        <w:rPr>
          <w:rFonts w:hint="eastAsia" w:ascii="宋体" w:hAnsi="宋体" w:cs="宋体"/>
          <w:szCs w:val="21"/>
        </w:rPr>
        <w:t>设置不接地的等电位联结。</w:t>
      </w:r>
    </w:p>
    <w:p>
      <w:pPr>
        <w:pStyle w:val="41"/>
        <w:numPr>
          <w:ilvl w:val="0"/>
          <w:numId w:val="7"/>
        </w:numPr>
        <w:spacing w:line="360" w:lineRule="auto"/>
        <w:ind w:firstLineChars="0"/>
        <w:rPr>
          <w:rFonts w:ascii="宋体" w:hAnsi="宋体" w:cs="宋体"/>
          <w:szCs w:val="21"/>
        </w:rPr>
      </w:pPr>
      <w:r>
        <w:rPr>
          <w:rFonts w:hint="eastAsia" w:ascii="宋体" w:hAnsi="宋体" w:cs="宋体"/>
          <w:szCs w:val="21"/>
        </w:rPr>
        <w:t>房屋建筑和市政基础设施电气工程资料必须真实反映工程建设过程和工程质量的实际情况，并应与工程进度同步形成、收集和整理，工程各参建单位应确保各自资料真实、准确、完整、有效，并具有可追溯性；由多方共同形成的资料，应分别对各自所形成的资料内容负责。</w:t>
      </w:r>
    </w:p>
    <w:p>
      <w:pPr>
        <w:pStyle w:val="41"/>
        <w:numPr>
          <w:ilvl w:val="0"/>
          <w:numId w:val="7"/>
        </w:numPr>
        <w:spacing w:line="360" w:lineRule="auto"/>
        <w:ind w:firstLineChars="0"/>
        <w:rPr>
          <w:rFonts w:ascii="宋体" w:hAnsi="宋体" w:cs="宋体"/>
          <w:szCs w:val="21"/>
        </w:rPr>
      </w:pPr>
      <w:r>
        <w:rPr>
          <w:rFonts w:hint="eastAsia" w:ascii="宋体" w:hAnsi="宋体" w:cs="宋体"/>
          <w:szCs w:val="21"/>
        </w:rPr>
        <w:t>房屋建筑和市政基础设施电气工程施工宜采用建筑信息模型（BIM）技术，管线布置综合平衡技术，避免管道间发生碰撞。预留孔洞、预埋构件应满足建筑、结构、设备、电气、智能化、装修等专业的要求，严禁对预制混凝土构件进行沟槽、孔洞的剔凿。</w:t>
      </w:r>
    </w:p>
    <w:p>
      <w:pPr>
        <w:pStyle w:val="3"/>
        <w:numPr>
          <w:ilvl w:val="0"/>
          <w:numId w:val="0"/>
        </w:numPr>
        <w:spacing w:before="120" w:beforeLines="50" w:after="120" w:afterLines="50" w:line="360" w:lineRule="auto"/>
        <w:jc w:val="center"/>
        <w:rPr>
          <w:rFonts w:ascii="宋体" w:hAnsi="宋体" w:eastAsia="宋体"/>
          <w:sz w:val="24"/>
          <w:szCs w:val="24"/>
        </w:rPr>
      </w:pPr>
      <w:bookmarkStart w:id="61" w:name="_Toc137216224"/>
      <w:bookmarkStart w:id="62" w:name="_Toc124168121"/>
      <w:bookmarkStart w:id="63" w:name="_Toc136868030"/>
      <w:bookmarkStart w:id="64" w:name="_Toc136869065"/>
      <w:r>
        <w:rPr>
          <w:rFonts w:hint="eastAsia" w:ascii="宋体" w:hAnsi="宋体" w:eastAsia="宋体"/>
          <w:sz w:val="24"/>
          <w:szCs w:val="24"/>
        </w:rPr>
        <w:t>3</w:t>
      </w:r>
      <w:r>
        <w:rPr>
          <w:rFonts w:ascii="宋体" w:hAnsi="宋体" w:eastAsia="宋体"/>
          <w:sz w:val="24"/>
          <w:szCs w:val="24"/>
        </w:rPr>
        <w:t xml:space="preserve">.2 </w:t>
      </w:r>
      <w:r>
        <w:rPr>
          <w:rFonts w:hint="eastAsia" w:ascii="宋体" w:hAnsi="宋体" w:eastAsia="宋体"/>
          <w:sz w:val="24"/>
          <w:szCs w:val="24"/>
        </w:rPr>
        <w:t>主要设备、材料、成品和半成品进场验收</w:t>
      </w:r>
      <w:bookmarkEnd w:id="61"/>
      <w:bookmarkEnd w:id="62"/>
      <w:bookmarkEnd w:id="63"/>
      <w:bookmarkEnd w:id="64"/>
    </w:p>
    <w:p>
      <w:pPr>
        <w:pStyle w:val="41"/>
        <w:numPr>
          <w:ilvl w:val="0"/>
          <w:numId w:val="10"/>
        </w:numPr>
        <w:spacing w:line="360" w:lineRule="auto"/>
        <w:ind w:firstLineChars="0"/>
        <w:rPr>
          <w:rFonts w:ascii="宋体" w:hAnsi="宋体" w:cs="宋体"/>
          <w:szCs w:val="21"/>
        </w:rPr>
      </w:pPr>
      <w:bookmarkStart w:id="65" w:name="_Toc124168122"/>
      <w:r>
        <w:rPr>
          <w:rFonts w:hint="eastAsia" w:ascii="宋体" w:hAnsi="宋体" w:cs="宋体"/>
          <w:szCs w:val="21"/>
        </w:rPr>
        <w:t>房屋建筑和市政基础设施电气工程主要设备、材料、成品和半成品进场验收应符合以下通用要求：</w:t>
      </w:r>
    </w:p>
    <w:p>
      <w:pPr>
        <w:pStyle w:val="41"/>
        <w:numPr>
          <w:ilvl w:val="1"/>
          <w:numId w:val="11"/>
        </w:numPr>
        <w:spacing w:line="360" w:lineRule="auto"/>
        <w:ind w:firstLine="424" w:firstLineChars="202"/>
        <w:rPr>
          <w:rFonts w:ascii="宋体" w:hAnsi="宋体" w:cs="宋体"/>
          <w:szCs w:val="21"/>
        </w:rPr>
      </w:pPr>
      <w:r>
        <w:rPr>
          <w:rFonts w:hint="eastAsia" w:ascii="宋体" w:hAnsi="宋体" w:cs="宋体"/>
          <w:szCs w:val="21"/>
        </w:rPr>
        <w:t>进场验收应做好验收记录和验收资料归档。当设计有技术参数要求时，应核对其技术参数，并应符合设计要求；</w:t>
      </w:r>
    </w:p>
    <w:p>
      <w:pPr>
        <w:pStyle w:val="41"/>
        <w:numPr>
          <w:ilvl w:val="1"/>
          <w:numId w:val="11"/>
        </w:numPr>
        <w:spacing w:line="360" w:lineRule="auto"/>
        <w:ind w:firstLine="424" w:firstLineChars="202"/>
        <w:rPr>
          <w:rFonts w:ascii="宋体" w:hAnsi="宋体" w:cs="宋体"/>
          <w:szCs w:val="21"/>
        </w:rPr>
      </w:pPr>
      <w:r>
        <w:rPr>
          <w:rFonts w:hint="eastAsia" w:ascii="宋体" w:hAnsi="宋体" w:cs="宋体"/>
          <w:szCs w:val="21"/>
        </w:rPr>
        <w:t>实行生产许可证或强制性认证（CCC认证）的产品，应有许可证编号或CCC认证标志，并应抽查生产许可证和CCC认证证书的认证范围、有效期和真实性；</w:t>
      </w:r>
    </w:p>
    <w:p>
      <w:pPr>
        <w:pStyle w:val="41"/>
        <w:numPr>
          <w:ilvl w:val="1"/>
          <w:numId w:val="11"/>
        </w:numPr>
        <w:spacing w:line="360" w:lineRule="auto"/>
        <w:ind w:firstLine="424" w:firstLineChars="202"/>
        <w:rPr>
          <w:rFonts w:ascii="宋体" w:hAnsi="宋体" w:cs="宋体"/>
          <w:szCs w:val="21"/>
        </w:rPr>
      </w:pPr>
      <w:r>
        <w:rPr>
          <w:rFonts w:hint="eastAsia" w:ascii="宋体" w:hAnsi="宋体" w:cs="宋体"/>
          <w:szCs w:val="21"/>
        </w:rPr>
        <w:t>通过CCC认证的产品应提供国家认可的检测机构出具的型式检验报告，报告中的技术参数应符合设计要求；</w:t>
      </w:r>
      <w:r>
        <w:rPr>
          <w:rFonts w:ascii="宋体" w:hAnsi="宋体" w:cs="宋体"/>
          <w:szCs w:val="21"/>
        </w:rPr>
        <w:t xml:space="preserve"> </w:t>
      </w:r>
    </w:p>
    <w:p>
      <w:pPr>
        <w:pStyle w:val="41"/>
        <w:numPr>
          <w:ilvl w:val="1"/>
          <w:numId w:val="11"/>
        </w:numPr>
        <w:spacing w:line="360" w:lineRule="auto"/>
        <w:ind w:firstLine="424" w:firstLineChars="202"/>
        <w:rPr>
          <w:rFonts w:ascii="宋体" w:hAnsi="宋体" w:cs="宋体"/>
          <w:b/>
          <w:szCs w:val="21"/>
        </w:rPr>
      </w:pPr>
      <w:r>
        <w:rPr>
          <w:rFonts w:hint="eastAsia" w:ascii="宋体" w:hAnsi="宋体" w:cs="宋体"/>
          <w:szCs w:val="21"/>
        </w:rPr>
        <w:t>新型电气设备、器具和材料进场验收时应提供安装、使用、维修和试验要求等技术文件；</w:t>
      </w:r>
    </w:p>
    <w:p>
      <w:pPr>
        <w:pStyle w:val="41"/>
        <w:numPr>
          <w:ilvl w:val="1"/>
          <w:numId w:val="11"/>
        </w:numPr>
        <w:spacing w:line="360" w:lineRule="auto"/>
        <w:ind w:firstLine="424" w:firstLineChars="202"/>
        <w:rPr>
          <w:rFonts w:ascii="宋体" w:hAnsi="宋体" w:cs="宋体"/>
          <w:szCs w:val="21"/>
        </w:rPr>
      </w:pPr>
      <w:r>
        <w:rPr>
          <w:rFonts w:hint="eastAsia" w:ascii="宋体" w:hAnsi="宋体" w:cs="宋体"/>
          <w:szCs w:val="21"/>
        </w:rPr>
        <w:t>进口电气设备、器具和材料进场验收时应提供质量合格证明文件，性能检测报告以及安装、使用、维修、试验要求和说明等技术文件；对有商检规定要求的进口电气设备，尚应提供商检证明；</w:t>
      </w:r>
    </w:p>
    <w:p>
      <w:pPr>
        <w:pStyle w:val="41"/>
        <w:numPr>
          <w:ilvl w:val="1"/>
          <w:numId w:val="11"/>
        </w:numPr>
        <w:spacing w:line="360" w:lineRule="auto"/>
        <w:ind w:firstLine="424" w:firstLineChars="202"/>
        <w:rPr>
          <w:rFonts w:ascii="宋体" w:hAnsi="宋体" w:cs="宋体"/>
          <w:szCs w:val="21"/>
        </w:rPr>
      </w:pPr>
      <w:r>
        <w:rPr>
          <w:rFonts w:hint="eastAsia" w:ascii="宋体" w:hAnsi="宋体" w:cs="宋体"/>
          <w:szCs w:val="21"/>
          <w:lang w:eastAsia="zh-Hans"/>
        </w:rPr>
        <w:t>主要设备</w:t>
      </w:r>
      <w:r>
        <w:rPr>
          <w:rFonts w:ascii="宋体" w:hAnsi="宋体" w:cs="宋体"/>
          <w:szCs w:val="21"/>
          <w:lang w:eastAsia="zh-Hans"/>
        </w:rPr>
        <w:t>、</w:t>
      </w:r>
      <w:r>
        <w:rPr>
          <w:rFonts w:hint="eastAsia" w:ascii="宋体" w:hAnsi="宋体" w:cs="宋体"/>
          <w:szCs w:val="21"/>
          <w:lang w:eastAsia="zh-Hans"/>
        </w:rPr>
        <w:t>材料</w:t>
      </w:r>
      <w:r>
        <w:rPr>
          <w:rFonts w:ascii="宋体" w:hAnsi="宋体" w:cs="宋体"/>
          <w:szCs w:val="21"/>
          <w:lang w:eastAsia="zh-Hans"/>
        </w:rPr>
        <w:t>、</w:t>
      </w:r>
      <w:r>
        <w:rPr>
          <w:rFonts w:hint="eastAsia" w:ascii="宋体" w:hAnsi="宋体" w:cs="宋体"/>
          <w:szCs w:val="21"/>
          <w:lang w:eastAsia="zh-Hans"/>
        </w:rPr>
        <w:t>成品和半成品进场验收</w:t>
      </w:r>
      <w:r>
        <w:rPr>
          <w:rFonts w:hint="eastAsia"/>
          <w:bCs/>
        </w:rPr>
        <w:t>需</w:t>
      </w:r>
      <w:r>
        <w:rPr>
          <w:rFonts w:hint="eastAsia" w:ascii="宋体" w:hAnsi="宋体" w:cs="宋体"/>
          <w:szCs w:val="21"/>
          <w:lang w:eastAsia="zh-Hans"/>
        </w:rPr>
        <w:t>进行</w:t>
      </w:r>
      <w:r>
        <w:rPr>
          <w:rFonts w:hint="eastAsia" w:ascii="宋体" w:hAnsi="宋体" w:cs="宋体"/>
          <w:szCs w:val="21"/>
        </w:rPr>
        <w:t>现场抽样检测</w:t>
      </w:r>
      <w:r>
        <w:rPr>
          <w:rFonts w:ascii="宋体" w:hAnsi="宋体" w:cs="宋体"/>
          <w:szCs w:val="21"/>
        </w:rPr>
        <w:t>，</w:t>
      </w:r>
      <w:r>
        <w:rPr>
          <w:rFonts w:hint="eastAsia" w:ascii="宋体" w:hAnsi="宋体" w:cs="宋体"/>
          <w:szCs w:val="21"/>
          <w:lang w:eastAsia="zh-Hans"/>
        </w:rPr>
        <w:t>有异议的应送有检测资质的试验室进行抽样检测</w:t>
      </w:r>
      <w:r>
        <w:rPr>
          <w:rFonts w:ascii="宋体" w:hAnsi="宋体" w:cs="宋体"/>
          <w:szCs w:val="21"/>
          <w:lang w:eastAsia="zh-Hans"/>
        </w:rPr>
        <w:t>，</w:t>
      </w:r>
      <w:r>
        <w:rPr>
          <w:rFonts w:hint="eastAsia" w:ascii="宋体" w:hAnsi="宋体" w:cs="宋体"/>
          <w:szCs w:val="21"/>
        </w:rPr>
        <w:t>当抽样检测结果出现不合格，可加倍抽样检测，仍不合格时，则该批设备、材料、成品或半成品应判定为不合格品，不得使用</w:t>
      </w:r>
      <w:r>
        <w:rPr>
          <w:rFonts w:ascii="宋体" w:hAnsi="宋体" w:cs="宋体"/>
          <w:szCs w:val="21"/>
        </w:rPr>
        <w:t>。</w:t>
      </w:r>
    </w:p>
    <w:p>
      <w:pPr>
        <w:pStyle w:val="41"/>
        <w:numPr>
          <w:ilvl w:val="0"/>
          <w:numId w:val="10"/>
        </w:numPr>
        <w:spacing w:line="360" w:lineRule="auto"/>
        <w:ind w:firstLineChars="0"/>
        <w:rPr>
          <w:rFonts w:ascii="宋体" w:hAnsi="宋体" w:cs="宋体"/>
          <w:szCs w:val="21"/>
        </w:rPr>
      </w:pPr>
      <w:r>
        <w:rPr>
          <w:rFonts w:hint="eastAsia" w:ascii="宋体" w:hAnsi="宋体" w:cs="宋体"/>
          <w:szCs w:val="21"/>
        </w:rPr>
        <w:t>电源类</w:t>
      </w:r>
      <w:r>
        <w:rPr>
          <w:rFonts w:hint="eastAsia" w:ascii="宋体" w:hAnsi="宋体" w:cs="宋体"/>
          <w:szCs w:val="21"/>
          <w:lang w:eastAsia="zh-Hans"/>
        </w:rPr>
        <w:t>电气</w:t>
      </w:r>
      <w:r>
        <w:rPr>
          <w:rFonts w:hint="eastAsia" w:ascii="宋体" w:hAnsi="宋体" w:cs="宋体"/>
          <w:szCs w:val="21"/>
        </w:rPr>
        <w:t>设备进场验收应符合以下规定：</w:t>
      </w:r>
    </w:p>
    <w:p>
      <w:pPr>
        <w:pStyle w:val="41"/>
        <w:numPr>
          <w:ilvl w:val="1"/>
          <w:numId w:val="12"/>
        </w:numPr>
        <w:spacing w:line="360" w:lineRule="auto"/>
        <w:ind w:firstLine="424" w:firstLineChars="202"/>
        <w:rPr>
          <w:rFonts w:ascii="宋体" w:hAnsi="宋体" w:cs="宋体"/>
          <w:szCs w:val="21"/>
        </w:rPr>
      </w:pPr>
      <w:r>
        <w:rPr>
          <w:rFonts w:hint="eastAsia" w:ascii="宋体" w:hAnsi="宋体" w:cs="宋体"/>
          <w:szCs w:val="21"/>
        </w:rPr>
        <w:t>文件检查：设备应有合格证、质量证明文件</w:t>
      </w:r>
      <w:r>
        <w:rPr>
          <w:rFonts w:ascii="宋体" w:hAnsi="宋体" w:cs="宋体"/>
          <w:szCs w:val="21"/>
        </w:rPr>
        <w:t>、</w:t>
      </w:r>
      <w:r>
        <w:rPr>
          <w:rFonts w:hint="eastAsia" w:ascii="宋体" w:hAnsi="宋体" w:cs="宋体"/>
          <w:szCs w:val="21"/>
        </w:rPr>
        <w:t>出厂试验报告和随带技术文件，且内容应填写齐全、完整；</w:t>
      </w:r>
    </w:p>
    <w:p>
      <w:pPr>
        <w:pStyle w:val="41"/>
        <w:numPr>
          <w:ilvl w:val="1"/>
          <w:numId w:val="12"/>
        </w:numPr>
        <w:spacing w:line="360" w:lineRule="auto"/>
        <w:ind w:firstLine="424" w:firstLineChars="202"/>
        <w:rPr>
          <w:rFonts w:ascii="宋体" w:hAnsi="宋体" w:cs="宋体"/>
          <w:szCs w:val="21"/>
        </w:rPr>
      </w:pPr>
      <w:r>
        <w:rPr>
          <w:rFonts w:hint="eastAsia" w:ascii="宋体" w:hAnsi="宋体" w:cs="宋体"/>
          <w:szCs w:val="21"/>
        </w:rPr>
        <w:t>性能检查：核对产品规格型号、技术参数、附件、专用工具、备品备件应符合国家现行有关产品标准的规定和设计要求；</w:t>
      </w:r>
    </w:p>
    <w:p>
      <w:pPr>
        <w:pStyle w:val="41"/>
        <w:numPr>
          <w:ilvl w:val="1"/>
          <w:numId w:val="12"/>
        </w:numPr>
        <w:spacing w:line="360" w:lineRule="auto"/>
        <w:ind w:firstLine="424" w:firstLineChars="202"/>
        <w:rPr>
          <w:rFonts w:ascii="宋体" w:hAnsi="宋体" w:cs="宋体"/>
          <w:szCs w:val="21"/>
        </w:rPr>
      </w:pPr>
      <w:r>
        <w:rPr>
          <w:rFonts w:hint="eastAsia" w:ascii="宋体" w:hAnsi="宋体" w:cs="宋体"/>
          <w:szCs w:val="21"/>
        </w:rPr>
        <w:t>外观检查：设备应有铭牌，表面涂层应完整，无明显碰撞凹陷</w:t>
      </w:r>
      <w:r>
        <w:rPr>
          <w:rFonts w:ascii="宋体" w:hAnsi="宋体" w:cs="宋体"/>
          <w:szCs w:val="21"/>
        </w:rPr>
        <w:t>；</w:t>
      </w:r>
      <w:r>
        <w:rPr>
          <w:rFonts w:hint="eastAsia" w:ascii="宋体" w:hAnsi="宋体" w:cs="宋体"/>
          <w:szCs w:val="21"/>
        </w:rPr>
        <w:t>设备内元器件应完好无损、接线无脱落脱焊；蓄电池柜内电池壳体应无碎裂、漏液</w:t>
      </w:r>
      <w:r>
        <w:rPr>
          <w:rFonts w:ascii="宋体" w:hAnsi="宋体" w:cs="宋体"/>
          <w:szCs w:val="21"/>
        </w:rPr>
        <w:t>；</w:t>
      </w:r>
      <w:r>
        <w:rPr>
          <w:rFonts w:hint="eastAsia" w:ascii="宋体" w:hAnsi="宋体" w:cs="宋体"/>
          <w:szCs w:val="21"/>
        </w:rPr>
        <w:t>充油、充气设备应无泄漏；变压器绝缘件应无缺损、裂纹，充油部分不应渗漏</w:t>
      </w:r>
      <w:r>
        <w:rPr>
          <w:rFonts w:ascii="宋体" w:hAnsi="宋体" w:cs="宋体"/>
          <w:szCs w:val="21"/>
        </w:rPr>
        <w:t>；</w:t>
      </w:r>
      <w:r>
        <w:rPr>
          <w:rFonts w:hint="eastAsia" w:ascii="宋体" w:hAnsi="宋体" w:cs="宋体"/>
          <w:szCs w:val="21"/>
        </w:rPr>
        <w:t>充气高压设备气压指示应正常</w:t>
      </w:r>
      <w:r>
        <w:rPr>
          <w:rFonts w:ascii="宋体" w:hAnsi="宋体" w:cs="宋体"/>
          <w:szCs w:val="21"/>
        </w:rPr>
        <w:t>，</w:t>
      </w:r>
      <w:r>
        <w:rPr>
          <w:rFonts w:hint="eastAsia" w:ascii="宋体" w:hAnsi="宋体" w:cs="宋体"/>
          <w:szCs w:val="21"/>
          <w:lang w:eastAsia="zh-Hans"/>
        </w:rPr>
        <w:t>设备无缺件</w:t>
      </w:r>
      <w:r>
        <w:rPr>
          <w:rFonts w:hint="eastAsia" w:ascii="宋体" w:hAnsi="宋体" w:cs="宋体"/>
          <w:szCs w:val="21"/>
        </w:rPr>
        <w:t>。</w:t>
      </w:r>
    </w:p>
    <w:p>
      <w:pPr>
        <w:pStyle w:val="41"/>
        <w:numPr>
          <w:ilvl w:val="0"/>
          <w:numId w:val="10"/>
        </w:numPr>
        <w:spacing w:line="360" w:lineRule="auto"/>
        <w:ind w:firstLineChars="0"/>
        <w:rPr>
          <w:rFonts w:ascii="宋体" w:hAnsi="宋体" w:cs="宋体"/>
          <w:szCs w:val="21"/>
        </w:rPr>
      </w:pPr>
      <w:r>
        <w:rPr>
          <w:rFonts w:hint="eastAsia" w:ascii="宋体" w:hAnsi="宋体" w:cs="宋体"/>
          <w:szCs w:val="21"/>
        </w:rPr>
        <w:t>管线类材料进场验收应符合以下规定：</w:t>
      </w:r>
    </w:p>
    <w:p>
      <w:pPr>
        <w:pStyle w:val="41"/>
        <w:numPr>
          <w:ilvl w:val="1"/>
          <w:numId w:val="13"/>
        </w:numPr>
        <w:spacing w:line="360" w:lineRule="auto"/>
        <w:ind w:firstLine="424" w:firstLineChars="202"/>
        <w:rPr>
          <w:rFonts w:ascii="宋体" w:hAnsi="宋体" w:cs="宋体"/>
          <w:szCs w:val="21"/>
        </w:rPr>
      </w:pPr>
      <w:r>
        <w:rPr>
          <w:rFonts w:hint="eastAsia" w:ascii="宋体" w:hAnsi="宋体" w:cs="宋体"/>
          <w:szCs w:val="21"/>
        </w:rPr>
        <w:t>文件检查：材料应有合格证、质量证明文件、相应的检测报告和随带技术文件，且内容应填写齐全、完整；</w:t>
      </w:r>
    </w:p>
    <w:p>
      <w:pPr>
        <w:pStyle w:val="41"/>
        <w:numPr>
          <w:ilvl w:val="1"/>
          <w:numId w:val="13"/>
        </w:numPr>
        <w:spacing w:line="360" w:lineRule="auto"/>
        <w:ind w:firstLine="424" w:firstLineChars="202"/>
        <w:rPr>
          <w:rFonts w:ascii="宋体" w:hAnsi="宋体" w:cs="宋体"/>
          <w:szCs w:val="21"/>
        </w:rPr>
      </w:pPr>
      <w:r>
        <w:rPr>
          <w:rFonts w:hint="eastAsia" w:ascii="宋体" w:hAnsi="宋体" w:cs="宋体"/>
          <w:szCs w:val="21"/>
        </w:rPr>
        <w:t>性能检查：电线、电缆的绝缘性能应符合产品技术标准或产品技术文件规定。应按批抽样检测导管的管径、壁厚及均匀度，并应符合国家现行有关产品标准的规定；</w:t>
      </w:r>
    </w:p>
    <w:p>
      <w:pPr>
        <w:pStyle w:val="41"/>
        <w:numPr>
          <w:ilvl w:val="1"/>
          <w:numId w:val="13"/>
        </w:numPr>
        <w:spacing w:line="360" w:lineRule="auto"/>
        <w:ind w:firstLine="424" w:firstLineChars="202"/>
        <w:rPr>
          <w:rFonts w:ascii="宋体" w:hAnsi="宋体" w:cs="宋体"/>
          <w:szCs w:val="21"/>
        </w:rPr>
      </w:pPr>
      <w:r>
        <w:rPr>
          <w:rFonts w:hint="eastAsia" w:ascii="宋体" w:hAnsi="宋体" w:cs="宋体"/>
          <w:szCs w:val="21"/>
        </w:rPr>
        <w:t>外观检查：导管、梯架、托盘、槽盒表面及内部应光滑，涂层镀层覆盖应完整、无锈蚀、色泽均匀，不应有扭曲变形、压扁或表面划伤等现象；电线电缆端头应密封良好，标识应齐全，绝缘层应完整无损，厚度均匀。无压扁、扭曲，铠装不应松卷。绝缘导线、电缆外护层应有明显标识和制造厂标；母线防潮密封应良好，各段编号应标志清晰，附件应齐全、无缺损，外壳应无明显变形，母线螺栓搭接面应平整、镀层覆盖应完整、无起皮和麻面；插接母线槽上的静触头应无缺损、表面光滑、镀层完整；铝及铝合金电缆用接线端子和接头附件的压接圆筒内表面应有抗氧化剂；矿物绝缘电缆专用终端接线端子规格应与电缆相适配；导线连接器的产品标识应清晰明了、经久耐用。</w:t>
      </w:r>
    </w:p>
    <w:p>
      <w:pPr>
        <w:pStyle w:val="41"/>
        <w:numPr>
          <w:ilvl w:val="0"/>
          <w:numId w:val="10"/>
        </w:numPr>
        <w:spacing w:line="360" w:lineRule="auto"/>
        <w:ind w:firstLineChars="0"/>
        <w:rPr>
          <w:rFonts w:ascii="宋体" w:hAnsi="宋体" w:cs="宋体"/>
          <w:szCs w:val="21"/>
        </w:rPr>
      </w:pPr>
      <w:r>
        <w:rPr>
          <w:rFonts w:hint="eastAsia" w:ascii="宋体" w:hAnsi="宋体" w:cs="宋体"/>
          <w:szCs w:val="21"/>
        </w:rPr>
        <w:t>电气动力设备进场验收应符合以下规定：</w:t>
      </w:r>
    </w:p>
    <w:p>
      <w:pPr>
        <w:pStyle w:val="41"/>
        <w:numPr>
          <w:ilvl w:val="1"/>
          <w:numId w:val="14"/>
        </w:numPr>
        <w:spacing w:line="360" w:lineRule="auto"/>
        <w:ind w:firstLine="424" w:firstLineChars="202"/>
        <w:rPr>
          <w:rFonts w:ascii="宋体" w:hAnsi="宋体" w:cs="宋体"/>
          <w:szCs w:val="21"/>
        </w:rPr>
      </w:pPr>
      <w:r>
        <w:rPr>
          <w:rFonts w:hint="eastAsia" w:ascii="宋体" w:hAnsi="宋体" w:cs="宋体"/>
          <w:szCs w:val="21"/>
        </w:rPr>
        <w:t>文件检查：设备应有合格证、相应的检测报告和随带技术文件，且内容应填写齐全、完整；</w:t>
      </w:r>
    </w:p>
    <w:p>
      <w:pPr>
        <w:pStyle w:val="41"/>
        <w:numPr>
          <w:ilvl w:val="1"/>
          <w:numId w:val="14"/>
        </w:numPr>
        <w:spacing w:line="360" w:lineRule="auto"/>
        <w:ind w:firstLine="424" w:firstLineChars="202"/>
        <w:rPr>
          <w:rFonts w:ascii="宋体" w:hAnsi="宋体" w:cs="宋体"/>
          <w:szCs w:val="21"/>
        </w:rPr>
      </w:pPr>
      <w:r>
        <w:rPr>
          <w:rFonts w:hint="eastAsia" w:ascii="宋体" w:hAnsi="宋体" w:cs="宋体"/>
          <w:szCs w:val="21"/>
        </w:rPr>
        <w:t>外观检查：设备应有铭牌，涂层应完整，设备</w:t>
      </w:r>
      <w:r>
        <w:rPr>
          <w:rFonts w:hint="eastAsia" w:ascii="宋体" w:hAnsi="宋体" w:cs="宋体"/>
          <w:szCs w:val="21"/>
          <w:lang w:eastAsia="zh-Hans"/>
        </w:rPr>
        <w:t>器件</w:t>
      </w:r>
      <w:r>
        <w:rPr>
          <w:rFonts w:hint="eastAsia" w:ascii="宋体" w:hAnsi="宋体" w:cs="宋体"/>
          <w:szCs w:val="21"/>
        </w:rPr>
        <w:t>或附件应齐全、完好、无缺损</w:t>
      </w:r>
      <w:r>
        <w:rPr>
          <w:rFonts w:ascii="宋体" w:hAnsi="宋体" w:cs="宋体"/>
          <w:szCs w:val="21"/>
        </w:rPr>
        <w:t>，</w:t>
      </w:r>
      <w:r>
        <w:rPr>
          <w:rFonts w:hint="eastAsia" w:ascii="宋体" w:hAnsi="宋体" w:cs="宋体"/>
          <w:szCs w:val="21"/>
        </w:rPr>
        <w:t>接线无脱落脱焊</w:t>
      </w:r>
      <w:r>
        <w:rPr>
          <w:rFonts w:ascii="宋体" w:hAnsi="宋体" w:cs="宋体"/>
          <w:szCs w:val="21"/>
        </w:rPr>
        <w:t>，</w:t>
      </w:r>
      <w:r>
        <w:rPr>
          <w:rFonts w:hint="eastAsia" w:ascii="宋体" w:hAnsi="宋体" w:cs="宋体"/>
          <w:szCs w:val="21"/>
          <w:lang w:eastAsia="zh-Hans"/>
        </w:rPr>
        <w:t>标识应清晰</w:t>
      </w:r>
      <w:r>
        <w:rPr>
          <w:rFonts w:ascii="宋体" w:hAnsi="宋体" w:cs="宋体"/>
          <w:szCs w:val="21"/>
          <w:lang w:eastAsia="zh-Hans"/>
        </w:rPr>
        <w:t>。</w:t>
      </w:r>
    </w:p>
    <w:p>
      <w:pPr>
        <w:pStyle w:val="41"/>
        <w:numPr>
          <w:ilvl w:val="0"/>
          <w:numId w:val="10"/>
        </w:numPr>
        <w:spacing w:line="360" w:lineRule="auto"/>
        <w:ind w:firstLineChars="0"/>
        <w:rPr>
          <w:rFonts w:ascii="宋体" w:hAnsi="宋体" w:cs="宋体"/>
          <w:szCs w:val="21"/>
        </w:rPr>
      </w:pPr>
      <w:r>
        <w:rPr>
          <w:rFonts w:hint="eastAsia" w:ascii="宋体" w:hAnsi="宋体" w:cs="宋体"/>
          <w:szCs w:val="21"/>
        </w:rPr>
        <w:t>照明</w:t>
      </w:r>
      <w:r>
        <w:rPr>
          <w:rFonts w:hint="eastAsia" w:ascii="宋体" w:hAnsi="宋体" w:cs="宋体"/>
          <w:szCs w:val="21"/>
          <w:lang w:eastAsia="zh-Hans"/>
        </w:rPr>
        <w:t>类设备</w:t>
      </w:r>
      <w:r>
        <w:rPr>
          <w:rFonts w:hint="eastAsia" w:ascii="宋体" w:hAnsi="宋体" w:cs="宋体"/>
          <w:szCs w:val="21"/>
        </w:rPr>
        <w:t>进场验收应符合以下规定：</w:t>
      </w:r>
    </w:p>
    <w:p>
      <w:pPr>
        <w:pStyle w:val="41"/>
        <w:numPr>
          <w:ilvl w:val="1"/>
          <w:numId w:val="15"/>
        </w:numPr>
        <w:spacing w:line="360" w:lineRule="auto"/>
        <w:ind w:firstLine="424" w:firstLineChars="202"/>
        <w:rPr>
          <w:rFonts w:ascii="宋体" w:hAnsi="宋体" w:cs="宋体"/>
          <w:szCs w:val="21"/>
        </w:rPr>
      </w:pPr>
      <w:r>
        <w:rPr>
          <w:rFonts w:hint="eastAsia" w:ascii="宋体" w:hAnsi="宋体" w:cs="宋体"/>
          <w:szCs w:val="21"/>
        </w:rPr>
        <w:t>文件检查：合格证内容应填写齐全、完整，材质应符合设计要求和产品标准要求；相应的检测报告应齐全，并应符合设计要求。</w:t>
      </w:r>
    </w:p>
    <w:p>
      <w:pPr>
        <w:pStyle w:val="41"/>
        <w:numPr>
          <w:ilvl w:val="1"/>
          <w:numId w:val="15"/>
        </w:numPr>
        <w:spacing w:line="360" w:lineRule="auto"/>
        <w:ind w:firstLine="424" w:firstLineChars="202"/>
        <w:rPr>
          <w:rFonts w:ascii="宋体" w:hAnsi="宋体" w:cs="宋体"/>
          <w:szCs w:val="21"/>
        </w:rPr>
      </w:pPr>
      <w:r>
        <w:rPr>
          <w:rFonts w:hint="eastAsia" w:ascii="宋体" w:hAnsi="宋体" w:cs="宋体"/>
          <w:szCs w:val="21"/>
          <w:lang w:eastAsia="zh-Hans"/>
        </w:rPr>
        <w:t>性能</w:t>
      </w:r>
      <w:r>
        <w:rPr>
          <w:rFonts w:hint="eastAsia" w:ascii="宋体" w:hAnsi="宋体" w:cs="宋体"/>
          <w:szCs w:val="21"/>
        </w:rPr>
        <w:t>检查：</w:t>
      </w:r>
    </w:p>
    <w:p>
      <w:pPr>
        <w:numPr>
          <w:ilvl w:val="0"/>
          <w:numId w:val="16"/>
        </w:numPr>
        <w:spacing w:line="360" w:lineRule="auto"/>
        <w:ind w:firstLine="630" w:firstLineChars="300"/>
        <w:rPr>
          <w:rFonts w:ascii="宋体" w:hAnsi="宋体" w:cs="宋体"/>
          <w:szCs w:val="21"/>
        </w:rPr>
      </w:pPr>
      <w:r>
        <w:rPr>
          <w:rFonts w:hint="eastAsia" w:ascii="宋体" w:hAnsi="宋体" w:cs="宋体"/>
          <w:szCs w:val="21"/>
        </w:rPr>
        <w:t>对灯具的绝缘性能进行现场抽样检测，灯具的绝缘电阻值不应小于</w:t>
      </w:r>
      <w:r>
        <w:rPr>
          <w:rFonts w:hint="eastAsia" w:ascii="宋体" w:hAnsi="宋体" w:cs="宋体"/>
          <w:color w:val="000000"/>
          <w:szCs w:val="21"/>
        </w:rPr>
        <w:t>2</w:t>
      </w:r>
      <w:r>
        <w:rPr>
          <w:rFonts w:hint="eastAsia" w:cs="仿宋" w:asciiTheme="minorEastAsia" w:hAnsiTheme="minorEastAsia" w:eastAsiaTheme="minorEastAsia"/>
          <w:color w:val="000000"/>
          <w:spacing w:val="0"/>
          <w:w w:val="15"/>
          <w:kern w:val="0"/>
          <w:szCs w:val="21"/>
          <w:fitText w:val="42" w:id="293171984"/>
        </w:rPr>
        <w:t xml:space="preserve">　 </w:t>
      </w:r>
      <w:r>
        <w:rPr>
          <w:rFonts w:hint="eastAsia" w:cs="仿宋" w:asciiTheme="minorEastAsia" w:hAnsiTheme="minorEastAsia" w:eastAsiaTheme="minorEastAsia"/>
          <w:color w:val="000000"/>
          <w:spacing w:val="-17"/>
          <w:w w:val="15"/>
          <w:kern w:val="0"/>
          <w:szCs w:val="21"/>
          <w:fitText w:val="42" w:id="293171984"/>
        </w:rPr>
        <w:t>　</w:t>
      </w:r>
      <w:r>
        <w:rPr>
          <w:rFonts w:hint="eastAsia" w:ascii="宋体" w:hAnsi="宋体" w:cs="宋体"/>
          <w:color w:val="000000"/>
          <w:szCs w:val="21"/>
        </w:rPr>
        <w:t>MΩ</w:t>
      </w:r>
      <w:r>
        <w:rPr>
          <w:rFonts w:hint="eastAsia" w:ascii="宋体" w:hAnsi="宋体" w:cs="宋体"/>
          <w:szCs w:val="21"/>
        </w:rPr>
        <w:t>，灯具内绝缘导线的绝缘层厚度不应小于</w:t>
      </w:r>
      <w:r>
        <w:rPr>
          <w:rFonts w:hint="eastAsia" w:ascii="宋体" w:hAnsi="宋体" w:cs="宋体"/>
          <w:color w:val="000000"/>
          <w:szCs w:val="21"/>
        </w:rPr>
        <w:t>0.6</w:t>
      </w:r>
      <w:r>
        <w:rPr>
          <w:rFonts w:hint="eastAsia" w:cs="仿宋" w:asciiTheme="minorEastAsia" w:hAnsiTheme="minorEastAsia" w:eastAsiaTheme="minorEastAsia"/>
          <w:color w:val="000000"/>
          <w:spacing w:val="0"/>
          <w:w w:val="15"/>
          <w:kern w:val="0"/>
          <w:szCs w:val="21"/>
          <w:fitText w:val="42" w:id="1110336450"/>
        </w:rPr>
        <w:t xml:space="preserve">　 </w:t>
      </w:r>
      <w:r>
        <w:rPr>
          <w:rFonts w:hint="eastAsia" w:cs="仿宋" w:asciiTheme="minorEastAsia" w:hAnsiTheme="minorEastAsia" w:eastAsiaTheme="minorEastAsia"/>
          <w:color w:val="000000"/>
          <w:spacing w:val="-17"/>
          <w:w w:val="15"/>
          <w:kern w:val="0"/>
          <w:szCs w:val="21"/>
          <w:fitText w:val="42" w:id="1110336450"/>
        </w:rPr>
        <w:t>　</w:t>
      </w:r>
      <w:r>
        <w:rPr>
          <w:rFonts w:hint="eastAsia" w:ascii="宋体" w:hAnsi="宋体" w:cs="宋体"/>
          <w:color w:val="000000"/>
          <w:szCs w:val="21"/>
        </w:rPr>
        <w:t>mm</w:t>
      </w:r>
      <w:r>
        <w:rPr>
          <w:rFonts w:hint="eastAsia" w:ascii="宋体" w:hAnsi="宋体" w:cs="宋体"/>
          <w:szCs w:val="21"/>
        </w:rPr>
        <w:t>。</w:t>
      </w:r>
    </w:p>
    <w:p>
      <w:pPr>
        <w:numPr>
          <w:ilvl w:val="0"/>
          <w:numId w:val="16"/>
        </w:numPr>
        <w:spacing w:line="360" w:lineRule="auto"/>
        <w:ind w:firstLine="630" w:firstLineChars="300"/>
        <w:rPr>
          <w:rFonts w:ascii="宋体" w:hAnsi="宋体" w:cs="宋体"/>
          <w:szCs w:val="21"/>
        </w:rPr>
      </w:pPr>
      <w:r>
        <w:rPr>
          <w:rFonts w:hint="eastAsia" w:ascii="宋体" w:hAnsi="宋体" w:cs="宋体"/>
          <w:szCs w:val="21"/>
        </w:rPr>
        <w:t>对开关、插座的电气和机械性能应进行现场抽样检测，</w:t>
      </w:r>
      <w:r>
        <w:rPr>
          <w:rFonts w:hint="eastAsia" w:ascii="宋体" w:hAnsi="宋体" w:cs="宋体"/>
          <w:szCs w:val="21"/>
          <w:lang w:eastAsia="zh-Hans"/>
        </w:rPr>
        <w:t>应符合设计要求</w:t>
      </w:r>
      <w:r>
        <w:rPr>
          <w:rFonts w:ascii="宋体" w:hAnsi="宋体" w:cs="宋体"/>
          <w:szCs w:val="21"/>
          <w:lang w:eastAsia="zh-Hans"/>
        </w:rPr>
        <w:t>。</w:t>
      </w:r>
    </w:p>
    <w:p>
      <w:pPr>
        <w:pStyle w:val="41"/>
        <w:numPr>
          <w:ilvl w:val="1"/>
          <w:numId w:val="15"/>
        </w:numPr>
        <w:spacing w:line="360" w:lineRule="auto"/>
        <w:ind w:firstLine="424" w:firstLineChars="202"/>
        <w:rPr>
          <w:rFonts w:ascii="宋体" w:hAnsi="宋体" w:cs="宋体"/>
          <w:szCs w:val="21"/>
        </w:rPr>
      </w:pPr>
      <w:r>
        <w:rPr>
          <w:rFonts w:hint="eastAsia" w:ascii="宋体" w:hAnsi="宋体" w:cs="宋体"/>
          <w:szCs w:val="21"/>
        </w:rPr>
        <w:t>外观检查：</w:t>
      </w:r>
    </w:p>
    <w:p>
      <w:pPr>
        <w:spacing w:line="360" w:lineRule="auto"/>
        <w:ind w:firstLine="600"/>
        <w:rPr>
          <w:rFonts w:ascii="宋体" w:hAnsi="宋体" w:cs="宋体"/>
          <w:szCs w:val="21"/>
        </w:rPr>
      </w:pPr>
      <w:r>
        <w:rPr>
          <w:rFonts w:hint="eastAsia" w:ascii="宋体" w:hAnsi="宋体" w:cs="宋体"/>
          <w:szCs w:val="21"/>
        </w:rPr>
        <w:t>1）灯具涂层应完整、无损伤，附件应齐全，I类灯具的外露可导电部分应具有专用的PE端子；</w:t>
      </w:r>
    </w:p>
    <w:p>
      <w:pPr>
        <w:spacing w:line="360" w:lineRule="auto"/>
        <w:ind w:firstLine="600"/>
        <w:rPr>
          <w:rFonts w:ascii="宋体" w:hAnsi="宋体" w:cs="宋体"/>
          <w:szCs w:val="21"/>
        </w:rPr>
      </w:pPr>
      <w:r>
        <w:rPr>
          <w:rFonts w:ascii="宋体" w:hAnsi="宋体" w:cs="宋体"/>
          <w:szCs w:val="21"/>
        </w:rPr>
        <w:t>2</w:t>
      </w:r>
      <w:r>
        <w:rPr>
          <w:rFonts w:hint="eastAsia" w:ascii="宋体" w:hAnsi="宋体" w:cs="宋体"/>
          <w:szCs w:val="21"/>
        </w:rPr>
        <w:t>）消防应急灯具应获得消防产品型式试验合格评定，且具有认证标志；</w:t>
      </w:r>
    </w:p>
    <w:p>
      <w:pPr>
        <w:spacing w:line="360" w:lineRule="auto"/>
        <w:ind w:firstLine="600"/>
        <w:rPr>
          <w:rFonts w:ascii="宋体" w:hAnsi="宋体" w:cs="宋体"/>
          <w:szCs w:val="21"/>
        </w:rPr>
      </w:pPr>
      <w:r>
        <w:rPr>
          <w:rFonts w:ascii="宋体" w:hAnsi="宋体" w:cs="宋体"/>
          <w:szCs w:val="21"/>
        </w:rPr>
        <w:t>3</w:t>
      </w:r>
      <w:r>
        <w:rPr>
          <w:rFonts w:hint="eastAsia" w:ascii="宋体" w:hAnsi="宋体" w:cs="宋体"/>
          <w:szCs w:val="21"/>
        </w:rPr>
        <w:t>）疏散指示标志灯具的保护罩应完整、无裂纹；</w:t>
      </w:r>
    </w:p>
    <w:p>
      <w:pPr>
        <w:spacing w:line="360" w:lineRule="auto"/>
        <w:ind w:firstLine="600"/>
        <w:rPr>
          <w:rFonts w:ascii="宋体" w:hAnsi="宋体" w:cs="宋体"/>
          <w:szCs w:val="21"/>
        </w:rPr>
      </w:pPr>
      <w:r>
        <w:rPr>
          <w:rFonts w:ascii="宋体" w:hAnsi="宋体" w:cs="宋体"/>
          <w:szCs w:val="21"/>
        </w:rPr>
        <w:t>4</w:t>
      </w:r>
      <w:r>
        <w:rPr>
          <w:rFonts w:hint="eastAsia" w:ascii="宋体" w:hAnsi="宋体" w:cs="宋体"/>
          <w:szCs w:val="21"/>
        </w:rPr>
        <w:t>）游泳池和类似场所灯具（水下灯及防水灯具）的防护等级应符合设计要求；</w:t>
      </w:r>
    </w:p>
    <w:p>
      <w:pPr>
        <w:spacing w:line="360" w:lineRule="auto"/>
        <w:ind w:firstLine="600"/>
        <w:rPr>
          <w:rFonts w:ascii="宋体" w:hAnsi="宋体" w:cs="宋体"/>
          <w:szCs w:val="21"/>
        </w:rPr>
      </w:pPr>
      <w:r>
        <w:rPr>
          <w:rFonts w:ascii="宋体" w:hAnsi="宋体" w:cs="宋体"/>
          <w:szCs w:val="21"/>
        </w:rPr>
        <w:t>5</w:t>
      </w:r>
      <w:r>
        <w:rPr>
          <w:rFonts w:hint="eastAsia" w:ascii="宋体" w:hAnsi="宋体" w:cs="宋体"/>
          <w:szCs w:val="21"/>
        </w:rPr>
        <w:t>）自带蓄电池的供电时间检测：对于自带蓄电池的应急灯具，应现场检测蓄电池最少持续供电时间，且应符合设计要求；</w:t>
      </w:r>
    </w:p>
    <w:p>
      <w:pPr>
        <w:spacing w:line="360" w:lineRule="auto"/>
        <w:ind w:firstLine="600"/>
        <w:rPr>
          <w:rFonts w:ascii="宋体" w:hAnsi="宋体" w:cs="宋体"/>
          <w:szCs w:val="21"/>
        </w:rPr>
      </w:pPr>
      <w:r>
        <w:rPr>
          <w:rFonts w:ascii="宋体" w:hAnsi="宋体" w:cs="宋体"/>
          <w:szCs w:val="21"/>
        </w:rPr>
        <w:t>6）开关、插座的面板及接线盒盒体应完整、无碎裂、零件齐全</w:t>
      </w:r>
      <w:r>
        <w:rPr>
          <w:rFonts w:hint="eastAsia" w:ascii="宋体" w:hAnsi="宋体" w:cs="宋体"/>
          <w:szCs w:val="21"/>
        </w:rPr>
        <w:t>；</w:t>
      </w:r>
    </w:p>
    <w:p>
      <w:pPr>
        <w:spacing w:line="360" w:lineRule="auto"/>
        <w:ind w:firstLine="600"/>
        <w:rPr>
          <w:rFonts w:ascii="宋体" w:hAnsi="宋体" w:cs="宋体"/>
          <w:szCs w:val="21"/>
        </w:rPr>
      </w:pPr>
      <w:r>
        <w:rPr>
          <w:rFonts w:ascii="宋体" w:hAnsi="宋体" w:cs="宋体"/>
          <w:szCs w:val="21"/>
        </w:rPr>
        <w:t>7）</w:t>
      </w:r>
      <w:r>
        <w:rPr>
          <w:rFonts w:hint="eastAsia" w:ascii="宋体" w:hAnsi="宋体" w:cs="宋体"/>
          <w:szCs w:val="21"/>
        </w:rPr>
        <w:t>金属灯柱涂层应完整，根部接线盒盒盖紧固件和内置熔断器、开关等器件应齐全，盒盖密封垫片应完整。金属灯柱内应设有专用接地螺栓，地脚螺孔位置应与提供的附图尺寸一致。</w:t>
      </w:r>
    </w:p>
    <w:p>
      <w:pPr>
        <w:pStyle w:val="3"/>
        <w:numPr>
          <w:ilvl w:val="0"/>
          <w:numId w:val="0"/>
        </w:numPr>
        <w:spacing w:before="120" w:beforeLines="50" w:after="120" w:afterLines="50" w:line="360" w:lineRule="auto"/>
        <w:jc w:val="center"/>
        <w:rPr>
          <w:rFonts w:ascii="宋体" w:hAnsi="宋体" w:eastAsia="宋体"/>
          <w:sz w:val="24"/>
          <w:szCs w:val="24"/>
        </w:rPr>
      </w:pPr>
      <w:bookmarkStart w:id="66" w:name="_Toc136868031"/>
      <w:bookmarkStart w:id="67" w:name="_Toc136869066"/>
      <w:bookmarkStart w:id="68" w:name="_Toc137216225"/>
      <w:r>
        <w:rPr>
          <w:rFonts w:hint="eastAsia" w:ascii="宋体" w:hAnsi="宋体" w:eastAsia="宋体"/>
          <w:sz w:val="24"/>
          <w:szCs w:val="24"/>
        </w:rPr>
        <w:t>3</w:t>
      </w:r>
      <w:r>
        <w:rPr>
          <w:rFonts w:ascii="宋体" w:hAnsi="宋体" w:eastAsia="宋体"/>
          <w:sz w:val="24"/>
          <w:szCs w:val="24"/>
        </w:rPr>
        <w:t xml:space="preserve">.3 </w:t>
      </w:r>
      <w:r>
        <w:rPr>
          <w:rFonts w:hint="eastAsia" w:ascii="宋体" w:hAnsi="宋体" w:eastAsia="宋体"/>
          <w:sz w:val="24"/>
          <w:szCs w:val="24"/>
        </w:rPr>
        <w:t>工序交接确认</w:t>
      </w:r>
      <w:bookmarkEnd w:id="65"/>
      <w:bookmarkEnd w:id="66"/>
      <w:bookmarkEnd w:id="67"/>
      <w:bookmarkEnd w:id="68"/>
    </w:p>
    <w:p>
      <w:pPr>
        <w:pStyle w:val="41"/>
        <w:numPr>
          <w:ilvl w:val="0"/>
          <w:numId w:val="17"/>
        </w:numPr>
        <w:spacing w:line="360" w:lineRule="auto"/>
        <w:ind w:firstLineChars="0"/>
        <w:rPr>
          <w:rFonts w:ascii="宋体" w:hAnsi="宋体" w:cs="宋体"/>
          <w:szCs w:val="21"/>
        </w:rPr>
      </w:pPr>
      <w:r>
        <w:rPr>
          <w:rFonts w:hint="eastAsia" w:ascii="宋体" w:hAnsi="宋体" w:cs="宋体"/>
          <w:szCs w:val="21"/>
        </w:rPr>
        <w:t>电源类设备和电气动力设备的安装应符合下列规定：</w:t>
      </w:r>
    </w:p>
    <w:p>
      <w:pPr>
        <w:pStyle w:val="41"/>
        <w:numPr>
          <w:ilvl w:val="1"/>
          <w:numId w:val="18"/>
        </w:numPr>
        <w:spacing w:line="360" w:lineRule="auto"/>
        <w:ind w:firstLine="424" w:firstLineChars="202"/>
        <w:rPr>
          <w:rFonts w:ascii="宋体" w:hAnsi="宋体" w:cs="宋体"/>
          <w:szCs w:val="21"/>
        </w:rPr>
      </w:pPr>
      <w:r>
        <w:rPr>
          <w:rFonts w:hint="eastAsia" w:ascii="宋体" w:hAnsi="宋体" w:cs="宋体"/>
          <w:szCs w:val="21"/>
        </w:rPr>
        <w:t>安装前，地面的找平层应完成施工，设备基础应验收合格；</w:t>
      </w:r>
      <w:r>
        <w:rPr>
          <w:rFonts w:ascii="宋体" w:hAnsi="宋体" w:cs="宋体"/>
          <w:szCs w:val="21"/>
        </w:rPr>
        <w:t xml:space="preserve"> </w:t>
      </w:r>
    </w:p>
    <w:p>
      <w:pPr>
        <w:pStyle w:val="41"/>
        <w:numPr>
          <w:ilvl w:val="1"/>
          <w:numId w:val="18"/>
        </w:numPr>
        <w:spacing w:line="360" w:lineRule="auto"/>
        <w:ind w:firstLine="424" w:firstLineChars="202"/>
        <w:rPr>
          <w:rFonts w:ascii="宋体" w:hAnsi="宋体" w:cs="宋体"/>
          <w:szCs w:val="21"/>
          <w:lang w:eastAsia="zh-Hans"/>
        </w:rPr>
      </w:pPr>
      <w:r>
        <w:rPr>
          <w:rFonts w:hint="eastAsia" w:ascii="宋体" w:hAnsi="宋体" w:cs="宋体"/>
          <w:szCs w:val="21"/>
          <w:lang w:eastAsia="zh-Hans"/>
        </w:rPr>
        <w:t>室内顶棚、墙体的装饰面应完成施工，无渗漏水；</w:t>
      </w:r>
      <w:r>
        <w:rPr>
          <w:rFonts w:ascii="宋体" w:hAnsi="宋体" w:cs="宋体"/>
          <w:szCs w:val="21"/>
          <w:lang w:eastAsia="zh-Hans"/>
        </w:rPr>
        <w:t xml:space="preserve"> </w:t>
      </w:r>
    </w:p>
    <w:p>
      <w:pPr>
        <w:pStyle w:val="41"/>
        <w:numPr>
          <w:ilvl w:val="1"/>
          <w:numId w:val="18"/>
        </w:numPr>
        <w:spacing w:line="360" w:lineRule="auto"/>
        <w:ind w:firstLine="424" w:firstLineChars="202"/>
        <w:rPr>
          <w:rFonts w:ascii="宋体" w:hAnsi="宋体" w:cs="宋体"/>
          <w:szCs w:val="21"/>
          <w:lang w:eastAsia="zh-Hans"/>
        </w:rPr>
      </w:pPr>
      <w:r>
        <w:rPr>
          <w:rFonts w:hint="eastAsia" w:ascii="宋体" w:hAnsi="宋体" w:cs="宋体"/>
          <w:szCs w:val="21"/>
          <w:lang w:eastAsia="zh-Hans"/>
        </w:rPr>
        <w:t>预埋导管、预留孔及相关预埋件等应经检查合格；</w:t>
      </w:r>
    </w:p>
    <w:p>
      <w:pPr>
        <w:pStyle w:val="41"/>
        <w:numPr>
          <w:ilvl w:val="1"/>
          <w:numId w:val="18"/>
        </w:numPr>
        <w:spacing w:line="360" w:lineRule="auto"/>
        <w:ind w:firstLine="424" w:firstLineChars="202"/>
        <w:rPr>
          <w:rFonts w:ascii="宋体" w:hAnsi="宋体" w:cs="宋体"/>
          <w:szCs w:val="21"/>
          <w:lang w:eastAsia="zh-Hans"/>
        </w:rPr>
      </w:pPr>
      <w:r>
        <w:rPr>
          <w:rFonts w:hint="eastAsia" w:ascii="宋体" w:hAnsi="宋体" w:cs="宋体"/>
          <w:szCs w:val="21"/>
          <w:lang w:eastAsia="zh-Hans"/>
        </w:rPr>
        <w:t>设备基础型钢和柜、台、箱下的电缆沟等应经检查合格；</w:t>
      </w:r>
    </w:p>
    <w:p>
      <w:pPr>
        <w:pStyle w:val="41"/>
        <w:numPr>
          <w:ilvl w:val="1"/>
          <w:numId w:val="18"/>
        </w:numPr>
        <w:spacing w:line="360" w:lineRule="auto"/>
        <w:ind w:firstLine="424" w:firstLineChars="202"/>
        <w:rPr>
          <w:rFonts w:ascii="宋体" w:hAnsi="宋体" w:cs="宋体"/>
          <w:szCs w:val="21"/>
          <w:lang w:eastAsia="zh-Hans"/>
        </w:rPr>
      </w:pPr>
      <w:r>
        <w:rPr>
          <w:rFonts w:hint="eastAsia" w:ascii="宋体" w:hAnsi="宋体" w:cs="宋体"/>
          <w:szCs w:val="21"/>
          <w:lang w:eastAsia="zh-Hans"/>
        </w:rPr>
        <w:t>通电前，电气系统接地电阻和绝缘电阻测试应合格</w:t>
      </w:r>
      <w:r>
        <w:rPr>
          <w:rFonts w:hint="eastAsia" w:ascii="宋体" w:hAnsi="宋体" w:cs="宋体"/>
          <w:szCs w:val="21"/>
        </w:rPr>
        <w:t>。</w:t>
      </w:r>
    </w:p>
    <w:p>
      <w:pPr>
        <w:pStyle w:val="41"/>
        <w:numPr>
          <w:ilvl w:val="0"/>
          <w:numId w:val="17"/>
        </w:numPr>
        <w:spacing w:line="360" w:lineRule="auto"/>
        <w:ind w:firstLineChars="0"/>
        <w:rPr>
          <w:rFonts w:ascii="宋体" w:hAnsi="宋体" w:cs="宋体"/>
          <w:szCs w:val="21"/>
        </w:rPr>
      </w:pPr>
      <w:r>
        <w:rPr>
          <w:rFonts w:hint="eastAsia" w:ascii="宋体" w:hAnsi="宋体" w:cs="宋体"/>
          <w:szCs w:val="21"/>
        </w:rPr>
        <w:t>管线的安装应符合下列规定：</w:t>
      </w:r>
    </w:p>
    <w:p>
      <w:pPr>
        <w:pStyle w:val="41"/>
        <w:numPr>
          <w:ilvl w:val="1"/>
          <w:numId w:val="19"/>
        </w:numPr>
        <w:spacing w:line="360" w:lineRule="auto"/>
        <w:ind w:firstLine="424" w:firstLineChars="202"/>
        <w:rPr>
          <w:rFonts w:ascii="宋体" w:hAnsi="宋体" w:cs="宋体"/>
          <w:szCs w:val="21"/>
        </w:rPr>
      </w:pPr>
      <w:r>
        <w:rPr>
          <w:rFonts w:hint="eastAsia" w:ascii="宋体" w:hAnsi="宋体" w:cs="宋体"/>
          <w:szCs w:val="21"/>
        </w:rPr>
        <w:t>现浇混凝土内的配管，板</w:t>
      </w:r>
      <w:r>
        <w:rPr>
          <w:rFonts w:ascii="宋体" w:hAnsi="宋体" w:cs="宋体"/>
          <w:szCs w:val="21"/>
        </w:rPr>
        <w:t>内</w:t>
      </w:r>
      <w:r>
        <w:rPr>
          <w:rFonts w:hint="eastAsia" w:ascii="宋体" w:hAnsi="宋体" w:cs="宋体"/>
          <w:szCs w:val="21"/>
        </w:rPr>
        <w:t>应在底层钢筋绑扎完成，上层钢筋未绑扎前进行，墙内应在配管前完成钢筋绑扎及门窗等位置的放线，且隐蔽前应检查确认合格；</w:t>
      </w:r>
      <w:r>
        <w:rPr>
          <w:rFonts w:ascii="宋体" w:hAnsi="宋体" w:cs="宋体"/>
          <w:szCs w:val="21"/>
        </w:rPr>
        <w:t xml:space="preserve"> </w:t>
      </w:r>
    </w:p>
    <w:p>
      <w:pPr>
        <w:pStyle w:val="41"/>
        <w:numPr>
          <w:ilvl w:val="1"/>
          <w:numId w:val="19"/>
        </w:numPr>
        <w:spacing w:line="360" w:lineRule="auto"/>
        <w:ind w:firstLine="424" w:firstLineChars="202"/>
        <w:rPr>
          <w:rFonts w:ascii="宋体" w:hAnsi="宋体" w:cs="宋体"/>
          <w:szCs w:val="21"/>
        </w:rPr>
      </w:pPr>
      <w:r>
        <w:rPr>
          <w:rFonts w:hint="eastAsia" w:ascii="宋体" w:hAnsi="宋体" w:cs="宋体"/>
          <w:szCs w:val="21"/>
        </w:rPr>
        <w:t>埋设</w:t>
      </w:r>
      <w:r>
        <w:rPr>
          <w:rFonts w:ascii="宋体" w:hAnsi="宋体" w:cs="宋体"/>
          <w:szCs w:val="21"/>
        </w:rPr>
        <w:t>管线前，应检查确认室外直埋管线的路径</w:t>
      </w:r>
      <w:r>
        <w:rPr>
          <w:rFonts w:hint="eastAsia" w:ascii="宋体" w:hAnsi="宋体" w:cs="宋体"/>
          <w:szCs w:val="21"/>
        </w:rPr>
        <w:t>、</w:t>
      </w:r>
      <w:r>
        <w:rPr>
          <w:rFonts w:ascii="宋体" w:hAnsi="宋体" w:cs="宋体"/>
          <w:szCs w:val="21"/>
        </w:rPr>
        <w:t xml:space="preserve">沟槽深度、宽度及垫层处理等符合设计要求； </w:t>
      </w:r>
    </w:p>
    <w:p>
      <w:pPr>
        <w:pStyle w:val="41"/>
        <w:numPr>
          <w:ilvl w:val="1"/>
          <w:numId w:val="19"/>
        </w:numPr>
        <w:spacing w:line="360" w:lineRule="auto"/>
        <w:ind w:firstLine="424" w:firstLineChars="202"/>
        <w:rPr>
          <w:rFonts w:ascii="宋体" w:hAnsi="宋体" w:cs="宋体"/>
          <w:szCs w:val="21"/>
        </w:rPr>
      </w:pPr>
      <w:r>
        <w:rPr>
          <w:rFonts w:hint="eastAsia" w:ascii="宋体" w:hAnsi="宋体" w:cs="宋体"/>
          <w:szCs w:val="21"/>
        </w:rPr>
        <w:t>管线安装前，支架安装、预埋套管、预留孔及相关预埋件等经检查合格；</w:t>
      </w:r>
      <w:r>
        <w:rPr>
          <w:rFonts w:ascii="宋体" w:hAnsi="宋体" w:cs="宋体"/>
          <w:szCs w:val="21"/>
        </w:rPr>
        <w:t xml:space="preserve"> </w:t>
      </w:r>
    </w:p>
    <w:p>
      <w:pPr>
        <w:pStyle w:val="41"/>
        <w:numPr>
          <w:ilvl w:val="1"/>
          <w:numId w:val="19"/>
        </w:numPr>
        <w:spacing w:line="360" w:lineRule="auto"/>
        <w:ind w:firstLine="424" w:firstLineChars="202"/>
        <w:rPr>
          <w:rFonts w:ascii="宋体" w:hAnsi="宋体" w:cs="宋体"/>
          <w:szCs w:val="21"/>
        </w:rPr>
      </w:pPr>
      <w:r>
        <w:rPr>
          <w:rFonts w:hint="eastAsia" w:ascii="宋体" w:hAnsi="宋体" w:cs="宋体"/>
          <w:szCs w:val="21"/>
        </w:rPr>
        <w:t>电缆敷设前，电缆支架、电缆导管、梯架、托盘和槽盒应完成安装，并已与保护导体完成连接，且经检查应合格；</w:t>
      </w:r>
      <w:r>
        <w:rPr>
          <w:rFonts w:ascii="宋体" w:hAnsi="宋体" w:cs="宋体"/>
          <w:szCs w:val="21"/>
        </w:rPr>
        <w:t xml:space="preserve"> </w:t>
      </w:r>
    </w:p>
    <w:p>
      <w:pPr>
        <w:pStyle w:val="41"/>
        <w:numPr>
          <w:ilvl w:val="1"/>
          <w:numId w:val="19"/>
        </w:numPr>
        <w:spacing w:line="360" w:lineRule="auto"/>
        <w:ind w:firstLine="424" w:firstLineChars="202"/>
        <w:rPr>
          <w:rFonts w:ascii="宋体" w:hAnsi="宋体" w:cs="宋体"/>
          <w:szCs w:val="21"/>
        </w:rPr>
      </w:pPr>
      <w:r>
        <w:rPr>
          <w:rFonts w:hint="eastAsia" w:ascii="宋体" w:hAnsi="宋体" w:cs="宋体"/>
          <w:szCs w:val="21"/>
        </w:rPr>
        <w:t>导线敷设前，导管或槽盒与柜、台、箱应已经完成连接，导管内积水及杂物已清理干净；</w:t>
      </w:r>
      <w:r>
        <w:rPr>
          <w:rFonts w:ascii="宋体" w:hAnsi="宋体" w:cs="宋体"/>
          <w:szCs w:val="21"/>
        </w:rPr>
        <w:t xml:space="preserve"> </w:t>
      </w:r>
    </w:p>
    <w:p>
      <w:pPr>
        <w:pStyle w:val="41"/>
        <w:numPr>
          <w:ilvl w:val="1"/>
          <w:numId w:val="19"/>
        </w:numPr>
        <w:spacing w:line="360" w:lineRule="auto"/>
        <w:ind w:firstLine="424" w:firstLineChars="202"/>
        <w:rPr>
          <w:rFonts w:ascii="宋体" w:hAnsi="宋体" w:cs="宋体"/>
          <w:szCs w:val="21"/>
        </w:rPr>
      </w:pPr>
      <w:r>
        <w:rPr>
          <w:rFonts w:hint="eastAsia" w:ascii="宋体" w:hAnsi="宋体" w:cs="宋体"/>
          <w:szCs w:val="21"/>
        </w:rPr>
        <w:t>母线槽安装前，与母线槽安装位置有关的管道、空调及建筑装修工程应完成施工；</w:t>
      </w:r>
      <w:r>
        <w:rPr>
          <w:rFonts w:ascii="宋体" w:hAnsi="宋体" w:cs="宋体"/>
          <w:szCs w:val="21"/>
        </w:rPr>
        <w:t xml:space="preserve"> </w:t>
      </w:r>
    </w:p>
    <w:p>
      <w:pPr>
        <w:pStyle w:val="41"/>
        <w:numPr>
          <w:ilvl w:val="1"/>
          <w:numId w:val="19"/>
        </w:numPr>
        <w:spacing w:line="360" w:lineRule="auto"/>
        <w:ind w:firstLine="424" w:firstLineChars="202"/>
        <w:rPr>
          <w:rFonts w:ascii="宋体" w:hAnsi="宋体" w:cs="宋体"/>
          <w:szCs w:val="21"/>
        </w:rPr>
      </w:pPr>
      <w:r>
        <w:rPr>
          <w:rFonts w:hint="eastAsia" w:ascii="宋体" w:hAnsi="宋体" w:cs="宋体"/>
          <w:szCs w:val="21"/>
        </w:rPr>
        <w:t>母线槽组对、电缆敷设、电缆头制作、设备接线前，绝缘电阻测试应合格；</w:t>
      </w:r>
      <w:r>
        <w:rPr>
          <w:rFonts w:ascii="宋体" w:hAnsi="宋体" w:cs="宋体"/>
          <w:szCs w:val="21"/>
        </w:rPr>
        <w:t xml:space="preserve"> </w:t>
      </w:r>
    </w:p>
    <w:p>
      <w:pPr>
        <w:pStyle w:val="41"/>
        <w:numPr>
          <w:ilvl w:val="1"/>
          <w:numId w:val="19"/>
        </w:numPr>
        <w:spacing w:line="360" w:lineRule="auto"/>
        <w:ind w:firstLine="424" w:firstLineChars="202"/>
        <w:rPr>
          <w:rFonts w:ascii="宋体" w:hAnsi="宋体" w:cs="宋体"/>
          <w:szCs w:val="21"/>
        </w:rPr>
      </w:pPr>
      <w:r>
        <w:rPr>
          <w:rFonts w:hint="eastAsia" w:ascii="宋体" w:hAnsi="宋体" w:cs="宋体"/>
          <w:szCs w:val="21"/>
        </w:rPr>
        <w:t>通电前，母线槽的金属外壳应与外部保护导体完成连接，且母线绝缘电阻测试和交流工频耐压试验应合格；</w:t>
      </w:r>
      <w:r>
        <w:rPr>
          <w:rFonts w:ascii="宋体" w:hAnsi="宋体" w:cs="宋体"/>
          <w:szCs w:val="21"/>
        </w:rPr>
        <w:t xml:space="preserve"> </w:t>
      </w:r>
    </w:p>
    <w:p>
      <w:pPr>
        <w:pStyle w:val="41"/>
        <w:numPr>
          <w:ilvl w:val="1"/>
          <w:numId w:val="19"/>
        </w:numPr>
        <w:spacing w:line="360" w:lineRule="auto"/>
        <w:ind w:firstLine="424" w:firstLineChars="202"/>
        <w:rPr>
          <w:rFonts w:ascii="宋体" w:hAnsi="宋体" w:cs="宋体"/>
          <w:szCs w:val="21"/>
        </w:rPr>
      </w:pPr>
      <w:r>
        <w:rPr>
          <w:rFonts w:hint="eastAsia" w:ascii="宋体" w:hAnsi="宋体" w:cs="宋体"/>
          <w:szCs w:val="21"/>
        </w:rPr>
        <w:t>通电前，绝缘导线、电缆交接试验应合格，检查并确认接线去向和相位等应符合设计要求。</w:t>
      </w:r>
    </w:p>
    <w:p>
      <w:pPr>
        <w:pStyle w:val="41"/>
        <w:numPr>
          <w:ilvl w:val="0"/>
          <w:numId w:val="17"/>
        </w:numPr>
        <w:spacing w:line="360" w:lineRule="auto"/>
        <w:ind w:firstLineChars="0"/>
        <w:rPr>
          <w:rFonts w:ascii="宋体" w:hAnsi="宋体" w:cs="宋体"/>
          <w:szCs w:val="21"/>
        </w:rPr>
      </w:pPr>
      <w:r>
        <w:rPr>
          <w:rFonts w:hint="eastAsia" w:ascii="宋体" w:hAnsi="宋体" w:cs="宋体"/>
          <w:szCs w:val="21"/>
        </w:rPr>
        <w:t>照明系统的安装、测试和通电试运行应符合下列规定：</w:t>
      </w:r>
    </w:p>
    <w:p>
      <w:pPr>
        <w:pStyle w:val="41"/>
        <w:numPr>
          <w:ilvl w:val="1"/>
          <w:numId w:val="20"/>
        </w:numPr>
        <w:spacing w:line="360" w:lineRule="auto"/>
        <w:ind w:firstLine="424" w:firstLineChars="202"/>
        <w:rPr>
          <w:rFonts w:ascii="宋体" w:hAnsi="宋体" w:cs="宋体"/>
          <w:szCs w:val="21"/>
        </w:rPr>
      </w:pPr>
      <w:r>
        <w:rPr>
          <w:rFonts w:hint="eastAsia" w:ascii="宋体" w:hAnsi="宋体" w:cs="宋体"/>
          <w:szCs w:val="21"/>
        </w:rPr>
        <w:t>灯具安装前，应确认安装灯具的预埋螺栓、专用支架等已完成，对需做承载试验的预埋件或吊杆经试验应合格；</w:t>
      </w:r>
      <w:r>
        <w:rPr>
          <w:rFonts w:ascii="宋体" w:hAnsi="宋体" w:cs="宋体"/>
          <w:szCs w:val="21"/>
        </w:rPr>
        <w:t xml:space="preserve"> </w:t>
      </w:r>
    </w:p>
    <w:p>
      <w:pPr>
        <w:pStyle w:val="41"/>
        <w:numPr>
          <w:ilvl w:val="1"/>
          <w:numId w:val="20"/>
        </w:numPr>
        <w:spacing w:line="360" w:lineRule="auto"/>
        <w:ind w:firstLine="424" w:firstLineChars="202"/>
        <w:rPr>
          <w:rFonts w:ascii="宋体" w:hAnsi="宋体" w:cs="宋体"/>
          <w:szCs w:val="21"/>
        </w:rPr>
      </w:pPr>
      <w:r>
        <w:rPr>
          <w:rFonts w:hint="eastAsia" w:ascii="宋体" w:hAnsi="宋体" w:cs="宋体"/>
          <w:szCs w:val="21"/>
        </w:rPr>
        <w:t>灯具、照明开关、插座、风扇安装前，顶棚和墙面的喷浆、油漆或壁纸等已完工；</w:t>
      </w:r>
      <w:r>
        <w:rPr>
          <w:rFonts w:ascii="宋体" w:hAnsi="宋体" w:cs="宋体"/>
          <w:szCs w:val="21"/>
        </w:rPr>
        <w:t xml:space="preserve"> </w:t>
      </w:r>
    </w:p>
    <w:p>
      <w:pPr>
        <w:pStyle w:val="41"/>
        <w:numPr>
          <w:ilvl w:val="1"/>
          <w:numId w:val="20"/>
        </w:numPr>
        <w:spacing w:line="360" w:lineRule="auto"/>
        <w:ind w:firstLine="424" w:firstLineChars="202"/>
        <w:rPr>
          <w:rFonts w:ascii="宋体" w:hAnsi="宋体" w:cs="宋体"/>
          <w:szCs w:val="21"/>
        </w:rPr>
      </w:pPr>
      <w:r>
        <w:rPr>
          <w:rFonts w:hint="eastAsia" w:ascii="宋体" w:hAnsi="宋体" w:cs="宋体"/>
          <w:szCs w:val="21"/>
        </w:rPr>
        <w:t>导线绝缘电阻测试应在导线接续前完成；</w:t>
      </w:r>
    </w:p>
    <w:p>
      <w:pPr>
        <w:pStyle w:val="41"/>
        <w:numPr>
          <w:ilvl w:val="1"/>
          <w:numId w:val="20"/>
        </w:numPr>
        <w:spacing w:line="360" w:lineRule="auto"/>
        <w:ind w:firstLine="424" w:firstLineChars="202"/>
        <w:rPr>
          <w:rFonts w:ascii="宋体" w:hAnsi="宋体" w:cs="宋体"/>
          <w:szCs w:val="21"/>
        </w:rPr>
      </w:pPr>
      <w:r>
        <w:rPr>
          <w:rFonts w:hint="eastAsia" w:ascii="宋体" w:hAnsi="宋体" w:cs="宋体"/>
          <w:szCs w:val="21"/>
        </w:rPr>
        <w:t>照明箱（盘）、灯具、开关、插座的绝缘电阻测试应在器具就位前或接线前完成；</w:t>
      </w:r>
    </w:p>
    <w:p>
      <w:pPr>
        <w:pStyle w:val="41"/>
        <w:numPr>
          <w:ilvl w:val="1"/>
          <w:numId w:val="20"/>
        </w:numPr>
        <w:spacing w:line="360" w:lineRule="auto"/>
        <w:ind w:firstLine="424" w:firstLineChars="202"/>
        <w:rPr>
          <w:rFonts w:ascii="宋体" w:hAnsi="宋体" w:cs="宋体"/>
          <w:szCs w:val="21"/>
        </w:rPr>
      </w:pPr>
      <w:r>
        <w:rPr>
          <w:rFonts w:hint="eastAsia" w:ascii="宋体" w:hAnsi="宋体" w:cs="宋体"/>
          <w:szCs w:val="21"/>
        </w:rPr>
        <w:t>通电试验前，电气器具及线路绝缘电阻应测试合格，当照明回路装有剩余电流动作保护器时，剩余电流动作保护器应检测合格；</w:t>
      </w:r>
    </w:p>
    <w:p>
      <w:pPr>
        <w:pStyle w:val="41"/>
        <w:numPr>
          <w:ilvl w:val="1"/>
          <w:numId w:val="20"/>
        </w:numPr>
        <w:spacing w:line="360" w:lineRule="auto"/>
        <w:ind w:firstLine="424" w:firstLineChars="202"/>
        <w:rPr>
          <w:rFonts w:ascii="宋体" w:hAnsi="宋体" w:cs="宋体"/>
          <w:szCs w:val="21"/>
        </w:rPr>
      </w:pPr>
      <w:r>
        <w:rPr>
          <w:rFonts w:hint="eastAsia" w:ascii="宋体" w:hAnsi="宋体" w:cs="宋体"/>
          <w:szCs w:val="21"/>
        </w:rPr>
        <w:t>备用照明电源或应急照明电源做空载自动投切试验前，应卸除负荷，有载自动投切试验应在空载自动投切试验合格后进行。</w:t>
      </w:r>
    </w:p>
    <w:p>
      <w:pPr>
        <w:pStyle w:val="41"/>
        <w:numPr>
          <w:ilvl w:val="0"/>
          <w:numId w:val="17"/>
        </w:numPr>
        <w:spacing w:line="360" w:lineRule="auto"/>
        <w:ind w:firstLineChars="0"/>
        <w:rPr>
          <w:rFonts w:ascii="宋体" w:hAnsi="宋体" w:cs="宋体"/>
          <w:szCs w:val="21"/>
        </w:rPr>
      </w:pPr>
      <w:r>
        <w:rPr>
          <w:rFonts w:hint="eastAsia" w:ascii="宋体" w:hAnsi="宋体" w:cs="宋体"/>
          <w:szCs w:val="21"/>
        </w:rPr>
        <w:t>防雷接地安装应符合下列规定：</w:t>
      </w:r>
    </w:p>
    <w:p>
      <w:pPr>
        <w:pStyle w:val="41"/>
        <w:numPr>
          <w:ilvl w:val="1"/>
          <w:numId w:val="21"/>
        </w:numPr>
        <w:spacing w:line="360" w:lineRule="auto"/>
        <w:ind w:firstLine="424" w:firstLineChars="202"/>
        <w:rPr>
          <w:rFonts w:ascii="宋体" w:hAnsi="宋体" w:cs="宋体"/>
          <w:szCs w:val="21"/>
        </w:rPr>
      </w:pPr>
      <w:r>
        <w:rPr>
          <w:rFonts w:hint="eastAsia" w:ascii="宋体" w:hAnsi="宋体" w:cs="宋体"/>
          <w:szCs w:val="21"/>
        </w:rPr>
        <w:t>对于利用建筑物基础接地的接地体，应先完成底板钢筋敷设，然后按设计要求进行接地装置施工，经检查确认后，再支模或浇捣混凝土；</w:t>
      </w:r>
    </w:p>
    <w:p>
      <w:pPr>
        <w:pStyle w:val="41"/>
        <w:numPr>
          <w:ilvl w:val="1"/>
          <w:numId w:val="21"/>
        </w:numPr>
        <w:spacing w:line="360" w:lineRule="auto"/>
        <w:ind w:firstLine="424" w:firstLineChars="202"/>
        <w:rPr>
          <w:rFonts w:ascii="宋体" w:hAnsi="宋体" w:cs="宋体"/>
          <w:szCs w:val="21"/>
        </w:rPr>
      </w:pPr>
      <w:r>
        <w:rPr>
          <w:rFonts w:hint="eastAsia" w:ascii="宋体" w:hAnsi="宋体" w:cs="宋体"/>
          <w:szCs w:val="21"/>
        </w:rPr>
        <w:t>对于人工接地的接地体，应按设计要求利用基础沟槽或开挖沟槽，然后经检查确认，再埋入或打入接地极和敷设地下接地干线；</w:t>
      </w:r>
    </w:p>
    <w:p>
      <w:pPr>
        <w:pStyle w:val="41"/>
        <w:numPr>
          <w:ilvl w:val="1"/>
          <w:numId w:val="21"/>
        </w:numPr>
        <w:spacing w:line="360" w:lineRule="auto"/>
        <w:ind w:firstLine="424" w:firstLineChars="202"/>
        <w:rPr>
          <w:rFonts w:ascii="宋体" w:hAnsi="宋体" w:cs="宋体"/>
          <w:szCs w:val="21"/>
        </w:rPr>
      </w:pPr>
      <w:r>
        <w:rPr>
          <w:rFonts w:hint="eastAsia" w:ascii="宋体" w:hAnsi="宋体" w:cs="宋体"/>
          <w:szCs w:val="21"/>
        </w:rPr>
        <w:t>当利用建筑物柱内主筋作引下线时，应在柱内主筋绑扎或连接后，按设计要求进行施工，经检查确认，再支模；</w:t>
      </w:r>
    </w:p>
    <w:p>
      <w:pPr>
        <w:pStyle w:val="41"/>
        <w:numPr>
          <w:ilvl w:val="1"/>
          <w:numId w:val="21"/>
        </w:numPr>
        <w:spacing w:line="360" w:lineRule="auto"/>
        <w:ind w:firstLine="424" w:firstLineChars="202"/>
        <w:rPr>
          <w:rFonts w:ascii="宋体" w:hAnsi="宋体" w:cs="宋体"/>
          <w:szCs w:val="21"/>
        </w:rPr>
      </w:pPr>
      <w:r>
        <w:rPr>
          <w:rFonts w:hint="eastAsia" w:ascii="宋体" w:hAnsi="宋体" w:cs="宋体"/>
          <w:szCs w:val="21"/>
        </w:rPr>
        <w:t>接闪器安装前，应先完成接地装置和引下线的施工，接闪器安装后应及时与引下线连接；</w:t>
      </w:r>
    </w:p>
    <w:p>
      <w:pPr>
        <w:pStyle w:val="41"/>
        <w:numPr>
          <w:ilvl w:val="1"/>
          <w:numId w:val="21"/>
        </w:numPr>
        <w:spacing w:line="360" w:lineRule="auto"/>
        <w:ind w:firstLine="424" w:firstLineChars="202"/>
        <w:rPr>
          <w:rFonts w:ascii="宋体" w:hAnsi="宋体" w:cs="宋体"/>
          <w:szCs w:val="21"/>
        </w:rPr>
      </w:pPr>
      <w:r>
        <w:rPr>
          <w:rFonts w:hint="eastAsia" w:ascii="宋体" w:hAnsi="宋体" w:cs="宋体"/>
          <w:szCs w:val="21"/>
        </w:rPr>
        <w:t>防雷接地系统测试前，接地装置应完成施工且测试合格；防雷接闪器应完成安装，整个防雷接地系统应连成回路。</w:t>
      </w:r>
    </w:p>
    <w:p>
      <w:pPr>
        <w:pStyle w:val="3"/>
        <w:numPr>
          <w:ilvl w:val="0"/>
          <w:numId w:val="0"/>
        </w:numPr>
        <w:spacing w:before="120" w:beforeLines="50" w:after="120" w:afterLines="50" w:line="360" w:lineRule="auto"/>
        <w:jc w:val="center"/>
        <w:rPr>
          <w:rFonts w:ascii="宋体" w:hAnsi="宋体" w:eastAsia="宋体"/>
          <w:sz w:val="24"/>
          <w:szCs w:val="24"/>
        </w:rPr>
      </w:pPr>
      <w:bookmarkStart w:id="69" w:name="_Toc137216226"/>
      <w:bookmarkStart w:id="70" w:name="_Toc136869067"/>
      <w:bookmarkStart w:id="71" w:name="_Toc136868032"/>
      <w:bookmarkStart w:id="72" w:name="_Toc124168123"/>
      <w:r>
        <w:rPr>
          <w:rFonts w:hint="eastAsia" w:ascii="宋体" w:hAnsi="宋体" w:eastAsia="宋体"/>
          <w:sz w:val="24"/>
          <w:szCs w:val="24"/>
        </w:rPr>
        <w:t>3</w:t>
      </w:r>
      <w:r>
        <w:rPr>
          <w:rFonts w:ascii="宋体" w:hAnsi="宋体" w:eastAsia="宋体"/>
          <w:sz w:val="24"/>
          <w:szCs w:val="24"/>
        </w:rPr>
        <w:t xml:space="preserve">.4 </w:t>
      </w:r>
      <w:r>
        <w:rPr>
          <w:rFonts w:hint="eastAsia" w:ascii="宋体" w:hAnsi="宋体" w:eastAsia="宋体"/>
          <w:sz w:val="24"/>
          <w:szCs w:val="24"/>
        </w:rPr>
        <w:t>分部（子分部）工程验收</w:t>
      </w:r>
      <w:bookmarkEnd w:id="69"/>
      <w:bookmarkEnd w:id="70"/>
      <w:bookmarkEnd w:id="71"/>
      <w:bookmarkEnd w:id="72"/>
    </w:p>
    <w:p>
      <w:pPr>
        <w:pStyle w:val="41"/>
        <w:numPr>
          <w:ilvl w:val="0"/>
          <w:numId w:val="22"/>
        </w:numPr>
        <w:spacing w:line="360" w:lineRule="auto"/>
        <w:ind w:firstLineChars="0"/>
        <w:rPr>
          <w:rFonts w:ascii="宋体" w:hAnsi="宋体" w:cs="宋体"/>
          <w:szCs w:val="21"/>
        </w:rPr>
      </w:pPr>
      <w:r>
        <w:rPr>
          <w:rFonts w:hint="eastAsia" w:ascii="宋体" w:hAnsi="宋体" w:cs="宋体"/>
          <w:szCs w:val="21"/>
        </w:rPr>
        <w:t>当验收房屋建筑与市政基础设施电气工程时，应核查下列各项质量控制资料，且资料内容应真实、齐全、完整：</w:t>
      </w:r>
    </w:p>
    <w:p>
      <w:pPr>
        <w:pStyle w:val="41"/>
        <w:numPr>
          <w:ilvl w:val="1"/>
          <w:numId w:val="23"/>
        </w:numPr>
        <w:spacing w:line="360" w:lineRule="auto"/>
        <w:ind w:firstLine="424" w:firstLineChars="202"/>
        <w:rPr>
          <w:rFonts w:ascii="宋体" w:hAnsi="宋体" w:cs="宋体"/>
          <w:szCs w:val="21"/>
        </w:rPr>
      </w:pPr>
      <w:r>
        <w:rPr>
          <w:rFonts w:hint="eastAsia" w:ascii="宋体" w:hAnsi="宋体" w:cs="宋体"/>
          <w:szCs w:val="21"/>
        </w:rPr>
        <w:t>设计文件和图纸会审记录及设计变更与工程洽商记录；</w:t>
      </w:r>
    </w:p>
    <w:p>
      <w:pPr>
        <w:pStyle w:val="41"/>
        <w:numPr>
          <w:ilvl w:val="1"/>
          <w:numId w:val="23"/>
        </w:numPr>
        <w:spacing w:line="360" w:lineRule="auto"/>
        <w:ind w:firstLine="424" w:firstLineChars="202"/>
        <w:rPr>
          <w:rFonts w:ascii="宋体" w:hAnsi="宋体" w:cs="宋体"/>
          <w:szCs w:val="21"/>
        </w:rPr>
      </w:pPr>
      <w:r>
        <w:rPr>
          <w:rFonts w:hint="eastAsia" w:ascii="宋体" w:hAnsi="宋体" w:cs="宋体"/>
          <w:szCs w:val="21"/>
        </w:rPr>
        <w:t>主要设备、器具、材料的合格证和进场验收记录；</w:t>
      </w:r>
    </w:p>
    <w:p>
      <w:pPr>
        <w:pStyle w:val="41"/>
        <w:numPr>
          <w:ilvl w:val="1"/>
          <w:numId w:val="23"/>
        </w:numPr>
        <w:spacing w:line="360" w:lineRule="auto"/>
        <w:ind w:firstLine="424" w:firstLineChars="202"/>
        <w:rPr>
          <w:rFonts w:ascii="宋体" w:hAnsi="宋体" w:cs="宋体"/>
          <w:szCs w:val="21"/>
        </w:rPr>
      </w:pPr>
      <w:r>
        <w:rPr>
          <w:rFonts w:hint="eastAsia" w:ascii="宋体" w:hAnsi="宋体" w:cs="宋体"/>
          <w:szCs w:val="21"/>
        </w:rPr>
        <w:t>隐蔽工程检查记录；</w:t>
      </w:r>
    </w:p>
    <w:p>
      <w:pPr>
        <w:pStyle w:val="41"/>
        <w:numPr>
          <w:ilvl w:val="1"/>
          <w:numId w:val="23"/>
        </w:numPr>
        <w:spacing w:line="360" w:lineRule="auto"/>
        <w:ind w:firstLine="424" w:firstLineChars="202"/>
        <w:rPr>
          <w:rFonts w:ascii="宋体" w:hAnsi="宋体" w:cs="宋体"/>
          <w:szCs w:val="21"/>
        </w:rPr>
      </w:pPr>
      <w:r>
        <w:rPr>
          <w:rFonts w:hint="eastAsia" w:ascii="宋体" w:hAnsi="宋体" w:cs="宋体"/>
          <w:szCs w:val="21"/>
        </w:rPr>
        <w:t>电气设备交接试验检验记录；</w:t>
      </w:r>
    </w:p>
    <w:p>
      <w:pPr>
        <w:pStyle w:val="41"/>
        <w:numPr>
          <w:ilvl w:val="1"/>
          <w:numId w:val="23"/>
        </w:numPr>
        <w:spacing w:line="360" w:lineRule="auto"/>
        <w:ind w:firstLine="424" w:firstLineChars="202"/>
        <w:rPr>
          <w:rFonts w:ascii="宋体" w:hAnsi="宋体" w:cs="宋体"/>
          <w:szCs w:val="21"/>
        </w:rPr>
      </w:pPr>
      <w:r>
        <w:rPr>
          <w:rFonts w:hint="eastAsia" w:ascii="宋体" w:hAnsi="宋体" w:cs="宋体"/>
          <w:szCs w:val="21"/>
        </w:rPr>
        <w:t>电动机检查（抽芯）记录；</w:t>
      </w:r>
    </w:p>
    <w:p>
      <w:pPr>
        <w:pStyle w:val="41"/>
        <w:numPr>
          <w:ilvl w:val="1"/>
          <w:numId w:val="23"/>
        </w:numPr>
        <w:spacing w:line="360" w:lineRule="auto"/>
        <w:ind w:firstLine="424" w:firstLineChars="202"/>
        <w:rPr>
          <w:rFonts w:ascii="宋体" w:hAnsi="宋体" w:cs="宋体"/>
          <w:szCs w:val="21"/>
        </w:rPr>
      </w:pPr>
      <w:r>
        <w:rPr>
          <w:rFonts w:hint="eastAsia" w:ascii="宋体" w:hAnsi="宋体" w:cs="宋体"/>
          <w:szCs w:val="21"/>
        </w:rPr>
        <w:t>电气接地电阻测试记录；</w:t>
      </w:r>
    </w:p>
    <w:p>
      <w:pPr>
        <w:pStyle w:val="41"/>
        <w:numPr>
          <w:ilvl w:val="1"/>
          <w:numId w:val="23"/>
        </w:numPr>
        <w:spacing w:line="360" w:lineRule="auto"/>
        <w:ind w:firstLine="424" w:firstLineChars="202"/>
        <w:rPr>
          <w:rFonts w:ascii="宋体" w:hAnsi="宋体" w:cs="宋体"/>
          <w:szCs w:val="21"/>
        </w:rPr>
      </w:pPr>
      <w:r>
        <w:rPr>
          <w:rFonts w:hint="eastAsia" w:ascii="宋体" w:hAnsi="宋体" w:cs="宋体"/>
          <w:szCs w:val="21"/>
        </w:rPr>
        <w:t>电气绝缘电阻测试记录；</w:t>
      </w:r>
    </w:p>
    <w:p>
      <w:pPr>
        <w:pStyle w:val="41"/>
        <w:numPr>
          <w:ilvl w:val="1"/>
          <w:numId w:val="23"/>
        </w:numPr>
        <w:spacing w:line="360" w:lineRule="auto"/>
        <w:ind w:firstLine="424" w:firstLineChars="202"/>
        <w:rPr>
          <w:rFonts w:ascii="宋体" w:hAnsi="宋体" w:cs="宋体"/>
          <w:szCs w:val="21"/>
        </w:rPr>
      </w:pPr>
      <w:r>
        <w:rPr>
          <w:rFonts w:hint="eastAsia" w:ascii="宋体" w:hAnsi="宋体" w:cs="宋体"/>
          <w:szCs w:val="21"/>
        </w:rPr>
        <w:t>接地故障回路阻抗测试记录；</w:t>
      </w:r>
    </w:p>
    <w:p>
      <w:pPr>
        <w:pStyle w:val="41"/>
        <w:numPr>
          <w:ilvl w:val="1"/>
          <w:numId w:val="23"/>
        </w:numPr>
        <w:spacing w:line="360" w:lineRule="auto"/>
        <w:ind w:firstLine="424" w:firstLineChars="202"/>
        <w:rPr>
          <w:rFonts w:ascii="宋体" w:hAnsi="宋体" w:cs="宋体"/>
          <w:szCs w:val="21"/>
        </w:rPr>
      </w:pPr>
      <w:r>
        <w:rPr>
          <w:rFonts w:hint="eastAsia" w:ascii="宋体" w:hAnsi="宋体" w:cs="宋体"/>
          <w:szCs w:val="21"/>
        </w:rPr>
        <w:t>剩余电流动作保护器测试记录；</w:t>
      </w:r>
    </w:p>
    <w:p>
      <w:pPr>
        <w:pStyle w:val="41"/>
        <w:numPr>
          <w:ilvl w:val="1"/>
          <w:numId w:val="23"/>
        </w:numPr>
        <w:spacing w:line="360" w:lineRule="auto"/>
        <w:ind w:firstLine="424" w:firstLineChars="202"/>
        <w:rPr>
          <w:rFonts w:ascii="宋体" w:hAnsi="宋体" w:cs="宋体"/>
          <w:szCs w:val="21"/>
        </w:rPr>
      </w:pPr>
      <w:r>
        <w:rPr>
          <w:rFonts w:hint="eastAsia" w:ascii="宋体" w:hAnsi="宋体" w:cs="宋体"/>
          <w:szCs w:val="21"/>
        </w:rPr>
        <w:t>电气设备空载试运行和负荷试运行记录；</w:t>
      </w:r>
    </w:p>
    <w:p>
      <w:pPr>
        <w:pStyle w:val="41"/>
        <w:numPr>
          <w:ilvl w:val="1"/>
          <w:numId w:val="23"/>
        </w:numPr>
        <w:spacing w:line="360" w:lineRule="auto"/>
        <w:ind w:firstLine="424" w:firstLineChars="202"/>
        <w:rPr>
          <w:rFonts w:ascii="宋体" w:hAnsi="宋体" w:cs="宋体"/>
          <w:szCs w:val="21"/>
        </w:rPr>
      </w:pPr>
      <w:r>
        <w:rPr>
          <w:rFonts w:hint="eastAsia" w:ascii="宋体" w:hAnsi="宋体" w:cs="宋体"/>
          <w:szCs w:val="21"/>
        </w:rPr>
        <w:t>各类电源自动切换或通断装置的动作检验记录，EPS/UPS应急持续供电时间记录；</w:t>
      </w:r>
      <w:r>
        <w:rPr>
          <w:rFonts w:ascii="宋体" w:hAnsi="宋体" w:cs="宋体"/>
          <w:szCs w:val="21"/>
        </w:rPr>
        <w:t xml:space="preserve"> </w:t>
      </w:r>
    </w:p>
    <w:p>
      <w:pPr>
        <w:pStyle w:val="41"/>
        <w:numPr>
          <w:ilvl w:val="1"/>
          <w:numId w:val="23"/>
        </w:numPr>
        <w:spacing w:line="360" w:lineRule="auto"/>
        <w:ind w:firstLine="424" w:firstLineChars="202"/>
        <w:rPr>
          <w:rFonts w:ascii="宋体" w:hAnsi="宋体" w:cs="宋体"/>
          <w:szCs w:val="21"/>
        </w:rPr>
      </w:pPr>
      <w:r>
        <w:rPr>
          <w:rFonts w:hint="eastAsia" w:ascii="宋体" w:hAnsi="宋体" w:cs="宋体"/>
          <w:szCs w:val="21"/>
        </w:rPr>
        <w:t>灯具固定装置及悬吊装置的载荷强度试验记录；</w:t>
      </w:r>
    </w:p>
    <w:p>
      <w:pPr>
        <w:pStyle w:val="41"/>
        <w:numPr>
          <w:ilvl w:val="1"/>
          <w:numId w:val="23"/>
        </w:numPr>
        <w:spacing w:line="360" w:lineRule="auto"/>
        <w:ind w:firstLine="424" w:firstLineChars="202"/>
        <w:rPr>
          <w:rFonts w:ascii="宋体" w:hAnsi="宋体" w:cs="宋体"/>
          <w:szCs w:val="21"/>
        </w:rPr>
      </w:pPr>
      <w:r>
        <w:rPr>
          <w:rFonts w:hint="eastAsia" w:ascii="宋体" w:hAnsi="宋体" w:cs="宋体"/>
          <w:szCs w:val="21"/>
        </w:rPr>
        <w:t>建筑照明通电试运行记录；</w:t>
      </w:r>
    </w:p>
    <w:p>
      <w:pPr>
        <w:pStyle w:val="41"/>
        <w:numPr>
          <w:ilvl w:val="1"/>
          <w:numId w:val="23"/>
        </w:numPr>
        <w:spacing w:line="360" w:lineRule="auto"/>
        <w:ind w:firstLine="424" w:firstLineChars="202"/>
        <w:rPr>
          <w:rFonts w:ascii="宋体" w:hAnsi="宋体" w:cs="宋体"/>
          <w:szCs w:val="21"/>
        </w:rPr>
      </w:pPr>
      <w:r>
        <w:rPr>
          <w:rFonts w:hint="eastAsia" w:ascii="宋体" w:hAnsi="宋体" w:cs="宋体"/>
          <w:szCs w:val="21"/>
        </w:rPr>
        <w:t>吊装、壁装智能化设备安装预埋件安全性检查记录；</w:t>
      </w:r>
      <w:r>
        <w:rPr>
          <w:rFonts w:ascii="宋体" w:hAnsi="宋体" w:cs="宋体"/>
          <w:szCs w:val="21"/>
        </w:rPr>
        <w:t xml:space="preserve"> </w:t>
      </w:r>
    </w:p>
    <w:p>
      <w:pPr>
        <w:pStyle w:val="41"/>
        <w:numPr>
          <w:ilvl w:val="0"/>
          <w:numId w:val="22"/>
        </w:numPr>
        <w:spacing w:line="360" w:lineRule="auto"/>
        <w:ind w:firstLineChars="0"/>
        <w:rPr>
          <w:rFonts w:ascii="宋体" w:hAnsi="宋体" w:cs="宋体"/>
          <w:szCs w:val="21"/>
        </w:rPr>
      </w:pPr>
      <w:r>
        <w:rPr>
          <w:rFonts w:hint="eastAsia" w:ascii="宋体" w:hAnsi="宋体" w:cs="宋体"/>
          <w:szCs w:val="21"/>
        </w:rPr>
        <w:t>按本规范附录A划分的电气分部（子分部）工程和所含分项工程的质量验收记录应无遗漏缺项、填写正确。</w:t>
      </w:r>
    </w:p>
    <w:p>
      <w:pPr>
        <w:pStyle w:val="41"/>
        <w:numPr>
          <w:ilvl w:val="0"/>
          <w:numId w:val="22"/>
        </w:numPr>
        <w:spacing w:line="360" w:lineRule="auto"/>
        <w:ind w:firstLineChars="0"/>
        <w:rPr>
          <w:rFonts w:ascii="宋体" w:hAnsi="宋体" w:cs="宋体"/>
          <w:szCs w:val="21"/>
        </w:rPr>
      </w:pPr>
      <w:r>
        <w:rPr>
          <w:rFonts w:hint="eastAsia" w:ascii="宋体" w:hAnsi="宋体" w:cs="宋体"/>
          <w:szCs w:val="21"/>
        </w:rPr>
        <w:t>技术资料应齐全，且应符合工序要求、有可追溯性；责任单位和责任人均应确认且签章齐全。</w:t>
      </w:r>
    </w:p>
    <w:p>
      <w:pPr>
        <w:pStyle w:val="41"/>
        <w:numPr>
          <w:ilvl w:val="0"/>
          <w:numId w:val="22"/>
        </w:numPr>
        <w:spacing w:line="360" w:lineRule="auto"/>
        <w:ind w:firstLineChars="0"/>
        <w:rPr>
          <w:rFonts w:ascii="宋体" w:hAnsi="宋体" w:cs="宋体"/>
          <w:szCs w:val="21"/>
        </w:rPr>
      </w:pPr>
      <w:r>
        <w:rPr>
          <w:rFonts w:hint="eastAsia" w:ascii="宋体" w:hAnsi="宋体" w:cs="宋体"/>
          <w:szCs w:val="21"/>
        </w:rPr>
        <w:t>检验批验收时应按本规范主控项目和一般项目中规定的 检查数量和抽查比例进行检查，施工单位过程检查时应进行全数检查。</w:t>
      </w:r>
    </w:p>
    <w:p>
      <w:pPr>
        <w:pStyle w:val="41"/>
        <w:numPr>
          <w:ilvl w:val="0"/>
          <w:numId w:val="22"/>
        </w:numPr>
        <w:spacing w:line="360" w:lineRule="auto"/>
        <w:ind w:firstLineChars="0"/>
        <w:rPr>
          <w:rFonts w:ascii="宋体" w:hAnsi="宋体" w:cs="宋体"/>
          <w:szCs w:val="21"/>
        </w:rPr>
      </w:pPr>
      <w:r>
        <w:rPr>
          <w:rFonts w:hint="eastAsia" w:ascii="宋体" w:hAnsi="宋体" w:cs="宋体"/>
          <w:szCs w:val="21"/>
        </w:rPr>
        <w:t>单位工程质量验收时，电气分部（子分部）工程实物质量应抽检下列部位和设施，且抽检结果应符合本规范的规定：</w:t>
      </w:r>
    </w:p>
    <w:p>
      <w:pPr>
        <w:pStyle w:val="41"/>
        <w:numPr>
          <w:ilvl w:val="1"/>
          <w:numId w:val="24"/>
        </w:numPr>
        <w:spacing w:line="360" w:lineRule="auto"/>
        <w:ind w:firstLine="424" w:firstLineChars="202"/>
        <w:rPr>
          <w:rFonts w:ascii="宋体" w:hAnsi="宋体" w:cs="宋体"/>
          <w:szCs w:val="21"/>
        </w:rPr>
      </w:pPr>
      <w:r>
        <w:rPr>
          <w:rFonts w:hint="eastAsia" w:ascii="宋体" w:hAnsi="宋体" w:cs="宋体"/>
          <w:szCs w:val="21"/>
        </w:rPr>
        <w:t>变配电室，技术层、设备层的动力工程，电气竖井，建筑顶部的防雷工程，电气系统接地，重要的或大面积活动场所的照明工程，以及5%自然间的建筑电气动力、照明工程；</w:t>
      </w:r>
    </w:p>
    <w:p>
      <w:pPr>
        <w:pStyle w:val="41"/>
        <w:numPr>
          <w:ilvl w:val="1"/>
          <w:numId w:val="24"/>
        </w:numPr>
        <w:spacing w:line="360" w:lineRule="auto"/>
        <w:ind w:firstLine="424" w:firstLineChars="202"/>
        <w:rPr>
          <w:rFonts w:ascii="宋体" w:hAnsi="宋体" w:cs="宋体"/>
          <w:szCs w:val="21"/>
        </w:rPr>
      </w:pPr>
      <w:r>
        <w:rPr>
          <w:rFonts w:hint="eastAsia" w:ascii="宋体" w:hAnsi="宋体" w:cs="宋体"/>
          <w:szCs w:val="21"/>
        </w:rPr>
        <w:t>室外电气工程的变配电室，以及灯具总数的5%。</w:t>
      </w:r>
    </w:p>
    <w:p>
      <w:pPr>
        <w:pStyle w:val="41"/>
        <w:numPr>
          <w:ilvl w:val="0"/>
          <w:numId w:val="22"/>
        </w:numPr>
        <w:spacing w:line="360" w:lineRule="auto"/>
        <w:ind w:firstLineChars="0"/>
        <w:rPr>
          <w:rFonts w:ascii="宋体" w:hAnsi="宋体" w:cs="宋体"/>
          <w:szCs w:val="21"/>
        </w:rPr>
      </w:pPr>
      <w:r>
        <w:rPr>
          <w:rFonts w:hint="eastAsia" w:ascii="宋体" w:hAnsi="宋体" w:cs="宋体"/>
          <w:szCs w:val="21"/>
        </w:rPr>
        <w:t>变配电室通电后可抽测下列项目，抽测结果应符合本规范的规定和设计要求：</w:t>
      </w:r>
    </w:p>
    <w:p>
      <w:pPr>
        <w:pStyle w:val="41"/>
        <w:numPr>
          <w:ilvl w:val="1"/>
          <w:numId w:val="25"/>
        </w:numPr>
        <w:spacing w:line="360" w:lineRule="auto"/>
        <w:ind w:firstLine="424" w:firstLineChars="202"/>
        <w:rPr>
          <w:rFonts w:ascii="宋体" w:hAnsi="宋体" w:cs="宋体"/>
          <w:szCs w:val="21"/>
        </w:rPr>
      </w:pPr>
      <w:r>
        <w:rPr>
          <w:rFonts w:hint="eastAsia" w:ascii="宋体" w:hAnsi="宋体" w:cs="宋体"/>
          <w:szCs w:val="21"/>
        </w:rPr>
        <w:t>各类电源自动切换或通断装置；</w:t>
      </w:r>
    </w:p>
    <w:p>
      <w:pPr>
        <w:pStyle w:val="41"/>
        <w:numPr>
          <w:ilvl w:val="1"/>
          <w:numId w:val="25"/>
        </w:numPr>
        <w:spacing w:line="360" w:lineRule="auto"/>
        <w:ind w:firstLine="424" w:firstLineChars="202"/>
        <w:rPr>
          <w:rFonts w:ascii="宋体" w:hAnsi="宋体" w:cs="宋体"/>
          <w:szCs w:val="21"/>
        </w:rPr>
      </w:pPr>
      <w:r>
        <w:rPr>
          <w:rFonts w:hint="eastAsia" w:ascii="宋体" w:hAnsi="宋体" w:cs="宋体"/>
          <w:szCs w:val="21"/>
        </w:rPr>
        <w:t>馈电线路的绝缘电阻；</w:t>
      </w:r>
    </w:p>
    <w:p>
      <w:pPr>
        <w:pStyle w:val="41"/>
        <w:numPr>
          <w:ilvl w:val="1"/>
          <w:numId w:val="25"/>
        </w:numPr>
        <w:spacing w:line="360" w:lineRule="auto"/>
        <w:ind w:firstLine="424" w:firstLineChars="202"/>
        <w:rPr>
          <w:rFonts w:ascii="宋体" w:hAnsi="宋体" w:cs="宋体"/>
          <w:szCs w:val="21"/>
        </w:rPr>
      </w:pPr>
      <w:r>
        <w:rPr>
          <w:rFonts w:hint="eastAsia" w:ascii="宋体" w:hAnsi="宋体" w:cs="宋体"/>
          <w:szCs w:val="21"/>
        </w:rPr>
        <w:t>接地故障回路阻抗；</w:t>
      </w:r>
    </w:p>
    <w:p>
      <w:pPr>
        <w:pStyle w:val="41"/>
        <w:numPr>
          <w:ilvl w:val="1"/>
          <w:numId w:val="25"/>
        </w:numPr>
        <w:spacing w:line="360" w:lineRule="auto"/>
        <w:ind w:firstLine="424" w:firstLineChars="202"/>
        <w:rPr>
          <w:rFonts w:ascii="宋体" w:hAnsi="宋体" w:cs="宋体"/>
          <w:szCs w:val="21"/>
        </w:rPr>
      </w:pPr>
      <w:r>
        <w:rPr>
          <w:rFonts w:hint="eastAsia" w:ascii="宋体" w:hAnsi="宋体" w:cs="宋体"/>
          <w:szCs w:val="21"/>
        </w:rPr>
        <w:t>开关插座的接线正确性；</w:t>
      </w:r>
    </w:p>
    <w:p>
      <w:pPr>
        <w:pStyle w:val="41"/>
        <w:numPr>
          <w:ilvl w:val="1"/>
          <w:numId w:val="25"/>
        </w:numPr>
        <w:spacing w:line="360" w:lineRule="auto"/>
        <w:ind w:firstLine="424" w:firstLineChars="202"/>
        <w:rPr>
          <w:rFonts w:ascii="宋体" w:hAnsi="宋体" w:cs="宋体"/>
          <w:szCs w:val="21"/>
        </w:rPr>
      </w:pPr>
      <w:r>
        <w:rPr>
          <w:rFonts w:hint="eastAsia" w:ascii="宋体" w:hAnsi="宋体" w:cs="宋体"/>
          <w:szCs w:val="21"/>
        </w:rPr>
        <w:t>剩余电流动作保护器的动作电流和时间。</w:t>
      </w:r>
    </w:p>
    <w:p>
      <w:pPr>
        <w:pStyle w:val="41"/>
        <w:spacing w:line="360" w:lineRule="auto"/>
        <w:ind w:left="424" w:firstLine="0" w:firstLineChars="0"/>
        <w:rPr>
          <w:rFonts w:ascii="宋体" w:hAnsi="宋体" w:cs="宋体"/>
          <w:szCs w:val="21"/>
        </w:rPr>
      </w:pPr>
    </w:p>
    <w:p>
      <w:pPr>
        <w:pStyle w:val="41"/>
        <w:spacing w:line="360" w:lineRule="auto"/>
        <w:ind w:left="424" w:firstLine="0" w:firstLineChars="0"/>
        <w:rPr>
          <w:rFonts w:ascii="宋体" w:hAnsi="宋体" w:cs="宋体"/>
          <w:szCs w:val="21"/>
        </w:rPr>
      </w:pPr>
    </w:p>
    <w:p>
      <w:pPr>
        <w:pStyle w:val="41"/>
        <w:spacing w:line="360" w:lineRule="auto"/>
        <w:ind w:left="424" w:firstLine="0" w:firstLineChars="0"/>
        <w:rPr>
          <w:rFonts w:ascii="宋体" w:hAnsi="宋体" w:cs="宋体"/>
          <w:szCs w:val="21"/>
        </w:rPr>
      </w:pPr>
    </w:p>
    <w:p>
      <w:pPr>
        <w:pStyle w:val="41"/>
        <w:spacing w:line="360" w:lineRule="auto"/>
        <w:ind w:left="424" w:firstLine="0" w:firstLineChars="0"/>
        <w:rPr>
          <w:rFonts w:ascii="宋体" w:hAnsi="宋体" w:cs="宋体"/>
          <w:szCs w:val="21"/>
        </w:rPr>
      </w:pPr>
    </w:p>
    <w:p>
      <w:pPr>
        <w:pStyle w:val="41"/>
        <w:spacing w:line="360" w:lineRule="auto"/>
        <w:ind w:left="424" w:firstLine="0" w:firstLineChars="0"/>
        <w:rPr>
          <w:rFonts w:ascii="宋体" w:hAnsi="宋体" w:cs="宋体"/>
          <w:szCs w:val="21"/>
        </w:rPr>
      </w:pPr>
    </w:p>
    <w:p>
      <w:pPr>
        <w:pStyle w:val="41"/>
        <w:spacing w:line="360" w:lineRule="auto"/>
        <w:ind w:left="424" w:firstLine="0" w:firstLineChars="0"/>
        <w:rPr>
          <w:rFonts w:ascii="宋体" w:hAnsi="宋体" w:cs="宋体"/>
          <w:szCs w:val="21"/>
        </w:rPr>
      </w:pPr>
    </w:p>
    <w:p>
      <w:pPr>
        <w:pStyle w:val="41"/>
        <w:spacing w:line="360" w:lineRule="auto"/>
        <w:ind w:left="424" w:firstLine="0" w:firstLineChars="0"/>
        <w:rPr>
          <w:rFonts w:ascii="宋体" w:hAnsi="宋体" w:cs="宋体"/>
          <w:szCs w:val="21"/>
        </w:rPr>
      </w:pPr>
    </w:p>
    <w:p>
      <w:pPr>
        <w:pStyle w:val="41"/>
        <w:spacing w:line="360" w:lineRule="auto"/>
        <w:ind w:left="424" w:firstLine="0" w:firstLineChars="0"/>
        <w:rPr>
          <w:rFonts w:ascii="宋体" w:hAnsi="宋体" w:cs="宋体"/>
          <w:szCs w:val="21"/>
        </w:rPr>
      </w:pPr>
    </w:p>
    <w:p>
      <w:pPr>
        <w:pStyle w:val="41"/>
        <w:spacing w:line="360" w:lineRule="auto"/>
        <w:ind w:left="424" w:firstLine="0" w:firstLineChars="0"/>
        <w:rPr>
          <w:rFonts w:ascii="宋体" w:hAnsi="宋体" w:cs="宋体"/>
          <w:szCs w:val="21"/>
        </w:rPr>
      </w:pPr>
    </w:p>
    <w:p>
      <w:pPr>
        <w:pStyle w:val="41"/>
        <w:spacing w:line="360" w:lineRule="auto"/>
        <w:ind w:left="424" w:firstLine="0" w:firstLineChars="0"/>
        <w:rPr>
          <w:rFonts w:ascii="宋体" w:hAnsi="宋体" w:cs="宋体"/>
          <w:szCs w:val="21"/>
        </w:rPr>
      </w:pPr>
    </w:p>
    <w:p>
      <w:pPr>
        <w:pStyle w:val="41"/>
        <w:spacing w:line="360" w:lineRule="auto"/>
        <w:ind w:left="424" w:firstLine="0" w:firstLineChars="0"/>
        <w:rPr>
          <w:rFonts w:ascii="宋体" w:hAnsi="宋体" w:cs="宋体"/>
          <w:szCs w:val="21"/>
        </w:rPr>
      </w:pPr>
    </w:p>
    <w:p>
      <w:pPr>
        <w:pStyle w:val="41"/>
        <w:spacing w:line="360" w:lineRule="auto"/>
        <w:ind w:left="424" w:firstLine="0" w:firstLineChars="0"/>
        <w:rPr>
          <w:rFonts w:ascii="宋体" w:hAnsi="宋体" w:cs="宋体"/>
          <w:szCs w:val="21"/>
        </w:rPr>
      </w:pPr>
    </w:p>
    <w:p>
      <w:pPr>
        <w:pStyle w:val="41"/>
        <w:spacing w:line="360" w:lineRule="auto"/>
        <w:ind w:left="424" w:firstLine="0" w:firstLineChars="0"/>
        <w:rPr>
          <w:rFonts w:ascii="宋体" w:hAnsi="宋体" w:cs="宋体"/>
          <w:szCs w:val="21"/>
        </w:rPr>
      </w:pPr>
    </w:p>
    <w:p>
      <w:pPr>
        <w:pStyle w:val="41"/>
        <w:spacing w:line="360" w:lineRule="auto"/>
        <w:ind w:left="424" w:firstLine="0" w:firstLineChars="0"/>
        <w:rPr>
          <w:rFonts w:ascii="宋体" w:hAnsi="宋体" w:cs="宋体"/>
          <w:szCs w:val="21"/>
        </w:rPr>
      </w:pPr>
    </w:p>
    <w:p>
      <w:pPr>
        <w:pStyle w:val="41"/>
        <w:spacing w:line="360" w:lineRule="auto"/>
        <w:ind w:left="424" w:firstLine="0" w:firstLineChars="0"/>
        <w:rPr>
          <w:rFonts w:ascii="宋体" w:hAnsi="宋体" w:cs="宋体"/>
          <w:szCs w:val="21"/>
        </w:rPr>
      </w:pPr>
    </w:p>
    <w:p>
      <w:pPr>
        <w:pStyle w:val="41"/>
        <w:spacing w:line="360" w:lineRule="auto"/>
        <w:ind w:left="424" w:firstLine="0" w:firstLineChars="0"/>
        <w:rPr>
          <w:rFonts w:ascii="宋体" w:hAnsi="宋体" w:cs="宋体"/>
          <w:szCs w:val="21"/>
        </w:rPr>
      </w:pPr>
    </w:p>
    <w:p>
      <w:pPr>
        <w:widowControl/>
        <w:jc w:val="left"/>
        <w:rPr>
          <w:rFonts w:asciiTheme="minorEastAsia" w:hAnsiTheme="minorEastAsia" w:eastAsiaTheme="minorEastAsia"/>
          <w:b/>
          <w:bCs/>
          <w:kern w:val="44"/>
          <w:sz w:val="28"/>
          <w:szCs w:val="28"/>
        </w:rPr>
      </w:pPr>
      <w:bookmarkStart w:id="73" w:name="_Toc136869068"/>
      <w:bookmarkStart w:id="74" w:name="_Toc136868033"/>
      <w:r>
        <w:rPr>
          <w:rFonts w:asciiTheme="minorEastAsia" w:hAnsiTheme="minorEastAsia" w:eastAsiaTheme="minorEastAsia"/>
          <w:sz w:val="28"/>
          <w:szCs w:val="28"/>
        </w:rPr>
        <w:br w:type="page"/>
      </w:r>
    </w:p>
    <w:p>
      <w:pPr>
        <w:pStyle w:val="2"/>
        <w:numPr>
          <w:ilvl w:val="0"/>
          <w:numId w:val="4"/>
        </w:numPr>
        <w:spacing w:before="120" w:beforeLines="50" w:after="120" w:afterLines="50" w:line="360" w:lineRule="auto"/>
        <w:jc w:val="center"/>
        <w:rPr>
          <w:rFonts w:asciiTheme="minorEastAsia" w:hAnsiTheme="minorEastAsia" w:eastAsiaTheme="minorEastAsia"/>
          <w:sz w:val="28"/>
          <w:szCs w:val="28"/>
        </w:rPr>
      </w:pPr>
      <w:bookmarkStart w:id="75" w:name="_Toc137216227"/>
      <w:r>
        <w:rPr>
          <w:rFonts w:hint="eastAsia" w:asciiTheme="minorEastAsia" w:hAnsiTheme="minorEastAsia" w:eastAsiaTheme="minorEastAsia"/>
          <w:sz w:val="28"/>
          <w:szCs w:val="28"/>
        </w:rPr>
        <w:t>电源</w:t>
      </w:r>
      <w:bookmarkEnd w:id="1"/>
      <w:bookmarkEnd w:id="73"/>
      <w:bookmarkEnd w:id="74"/>
      <w:bookmarkEnd w:id="75"/>
    </w:p>
    <w:p>
      <w:pPr>
        <w:pStyle w:val="3"/>
        <w:numPr>
          <w:ilvl w:val="0"/>
          <w:numId w:val="0"/>
        </w:numPr>
        <w:spacing w:before="120" w:beforeLines="50" w:after="120" w:afterLines="50" w:line="360" w:lineRule="auto"/>
        <w:jc w:val="center"/>
        <w:rPr>
          <w:rFonts w:ascii="宋体" w:hAnsi="宋体" w:eastAsia="宋体" w:cs="宋体"/>
          <w:sz w:val="24"/>
          <w:szCs w:val="24"/>
        </w:rPr>
      </w:pPr>
      <w:bookmarkStart w:id="76" w:name="_Toc137216228"/>
      <w:bookmarkStart w:id="77" w:name="_Toc136869069"/>
      <w:bookmarkStart w:id="78" w:name="_Toc124168125"/>
      <w:bookmarkStart w:id="79" w:name="_Toc136868034"/>
      <w:r>
        <w:rPr>
          <w:rFonts w:ascii="宋体" w:hAnsi="宋体" w:eastAsia="宋体" w:cs="宋体"/>
          <w:sz w:val="24"/>
          <w:szCs w:val="24"/>
        </w:rPr>
        <w:t>4.1</w:t>
      </w:r>
      <w:r>
        <w:rPr>
          <w:rFonts w:hint="eastAsia" w:ascii="宋体" w:hAnsi="宋体" w:eastAsia="宋体" w:cs="宋体"/>
          <w:sz w:val="24"/>
          <w:szCs w:val="24"/>
        </w:rPr>
        <w:t xml:space="preserve"> 变压器、箱式变电所、光伏发电设备安装</w:t>
      </w:r>
      <w:bookmarkEnd w:id="76"/>
      <w:bookmarkEnd w:id="77"/>
      <w:bookmarkEnd w:id="78"/>
      <w:bookmarkEnd w:id="79"/>
    </w:p>
    <w:p>
      <w:pPr>
        <w:pStyle w:val="4"/>
        <w:numPr>
          <w:ilvl w:val="0"/>
          <w:numId w:val="26"/>
        </w:numPr>
        <w:spacing w:before="120" w:beforeLines="50" w:after="120" w:afterLines="50"/>
        <w:ind w:firstLine="482"/>
        <w:rPr>
          <w:sz w:val="21"/>
          <w:szCs w:val="21"/>
        </w:rPr>
      </w:pPr>
      <w:r>
        <w:rPr>
          <w:rFonts w:hint="eastAsia"/>
          <w:sz w:val="21"/>
          <w:szCs w:val="21"/>
        </w:rPr>
        <w:t xml:space="preserve"> </w:t>
      </w:r>
      <w:r>
        <w:rPr>
          <w:sz w:val="21"/>
          <w:szCs w:val="21"/>
        </w:rPr>
        <w:t xml:space="preserve"> </w:t>
      </w:r>
      <w:r>
        <w:rPr>
          <w:rFonts w:hint="eastAsia"/>
          <w:sz w:val="21"/>
          <w:szCs w:val="21"/>
        </w:rPr>
        <w:t>主控项目</w:t>
      </w:r>
    </w:p>
    <w:p>
      <w:pPr>
        <w:pStyle w:val="41"/>
        <w:numPr>
          <w:ilvl w:val="0"/>
          <w:numId w:val="27"/>
        </w:numPr>
        <w:spacing w:line="360" w:lineRule="auto"/>
        <w:ind w:firstLineChars="0"/>
        <w:rPr>
          <w:rFonts w:asciiTheme="minorEastAsia" w:hAnsiTheme="minorEastAsia" w:eastAsiaTheme="minorEastAsia" w:cstheme="minorEastAsia"/>
          <w:bCs/>
          <w:szCs w:val="21"/>
        </w:rPr>
      </w:pPr>
      <w:r>
        <w:rPr>
          <w:rFonts w:hint="eastAsia" w:asciiTheme="minorEastAsia" w:hAnsiTheme="minorEastAsia" w:eastAsiaTheme="minorEastAsia"/>
          <w:szCs w:val="21"/>
        </w:rPr>
        <w:t>变压器</w:t>
      </w:r>
      <w:r>
        <w:rPr>
          <w:rFonts w:hint="eastAsia" w:asciiTheme="minorEastAsia" w:hAnsiTheme="minorEastAsia" w:eastAsiaTheme="minorEastAsia" w:cstheme="minorEastAsia"/>
          <w:szCs w:val="21"/>
        </w:rPr>
        <w:t>安装应位置正确，附件齐全</w:t>
      </w:r>
      <w:r>
        <w:rPr>
          <w:rFonts w:hint="eastAsia" w:asciiTheme="minorEastAsia" w:hAnsiTheme="minorEastAsia" w:eastAsiaTheme="minorEastAsia" w:cstheme="minorEastAsia"/>
          <w:color w:val="000000"/>
          <w:szCs w:val="21"/>
        </w:rPr>
        <w:t>，</w:t>
      </w:r>
      <w:r>
        <w:rPr>
          <w:rFonts w:hint="eastAsia" w:asciiTheme="minorEastAsia" w:hAnsiTheme="minorEastAsia" w:eastAsiaTheme="minorEastAsia" w:cstheme="minorEastAsia"/>
          <w:szCs w:val="21"/>
        </w:rPr>
        <w:t>油浸变压器油位正常，无渗油现象。变压器箱体、干式变压器的支架、基础型钢及外壳应分别单独与保护导体可靠连接，紧固件及防松零件齐全。</w:t>
      </w:r>
    </w:p>
    <w:p>
      <w:pPr>
        <w:spacing w:line="360" w:lineRule="auto"/>
        <w:ind w:firstLine="424" w:firstLineChars="20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检查数量：紧固件及防松零件抽查5%，其余全数检查。</w:t>
      </w:r>
    </w:p>
    <w:p>
      <w:pPr>
        <w:spacing w:line="360" w:lineRule="auto"/>
        <w:ind w:firstLine="424" w:firstLineChars="202"/>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检查方法：观察检查。</w:t>
      </w:r>
    </w:p>
    <w:p>
      <w:pPr>
        <w:pStyle w:val="41"/>
        <w:numPr>
          <w:ilvl w:val="0"/>
          <w:numId w:val="27"/>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变压器</w:t>
      </w:r>
      <w:r>
        <w:rPr>
          <w:rFonts w:hint="eastAsia" w:asciiTheme="minorEastAsia" w:hAnsiTheme="minorEastAsia" w:eastAsiaTheme="minorEastAsia"/>
          <w:color w:val="000000"/>
          <w:szCs w:val="21"/>
        </w:rPr>
        <w:t>联接线</w:t>
      </w:r>
      <w:r>
        <w:rPr>
          <w:rFonts w:hint="eastAsia" w:asciiTheme="minorEastAsia" w:hAnsiTheme="minorEastAsia" w:eastAsiaTheme="minorEastAsia"/>
          <w:szCs w:val="21"/>
        </w:rPr>
        <w:t>应符合下列规定：</w:t>
      </w:r>
    </w:p>
    <w:p>
      <w:pPr>
        <w:pStyle w:val="41"/>
        <w:numPr>
          <w:ilvl w:val="1"/>
          <w:numId w:val="28"/>
        </w:numPr>
        <w:spacing w:line="360" w:lineRule="auto"/>
        <w:ind w:firstLine="424" w:firstLineChars="202"/>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变压器中性点的接地连接方式及接地电阻值应符合设计要求。</w:t>
      </w:r>
    </w:p>
    <w:p>
      <w:pPr>
        <w:pStyle w:val="41"/>
        <w:numPr>
          <w:ilvl w:val="1"/>
          <w:numId w:val="28"/>
        </w:numPr>
        <w:spacing w:line="360" w:lineRule="auto"/>
        <w:ind w:firstLine="424" w:firstLineChars="202"/>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配电间隔和静止补偿装置栅栏门应采用裸编织铜线与保 护导体可靠连接，其截面积不应小于</w:t>
      </w:r>
      <w:r>
        <w:rPr>
          <w:rFonts w:hint="eastAsia" w:asciiTheme="minorEastAsia" w:hAnsiTheme="minorEastAsia" w:eastAsiaTheme="minorEastAsia" w:cstheme="minorEastAsia"/>
          <w:color w:val="000000"/>
          <w:szCs w:val="21"/>
        </w:rPr>
        <w:t>4 mm²</w:t>
      </w:r>
      <w:r>
        <w:rPr>
          <w:rFonts w:hint="eastAsia" w:asciiTheme="minorEastAsia" w:hAnsiTheme="minorEastAsia" w:eastAsiaTheme="minorEastAsia" w:cstheme="minorEastAsia"/>
          <w:szCs w:val="21"/>
        </w:rPr>
        <w:t>。</w:t>
      </w:r>
    </w:p>
    <w:p>
      <w:pPr>
        <w:pStyle w:val="41"/>
        <w:numPr>
          <w:ilvl w:val="1"/>
          <w:numId w:val="28"/>
        </w:numPr>
        <w:spacing w:line="360" w:lineRule="auto"/>
        <w:ind w:firstLine="424" w:firstLineChars="202"/>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导体之间连接，接触面螺栓应紧密、牢固；母线之间连接，连接螺栓应采用力矩扳手紧固。</w:t>
      </w:r>
    </w:p>
    <w:p>
      <w:pPr>
        <w:pStyle w:val="41"/>
        <w:numPr>
          <w:ilvl w:val="1"/>
          <w:numId w:val="28"/>
        </w:numPr>
        <w:spacing w:line="360" w:lineRule="auto"/>
        <w:ind w:firstLine="424" w:firstLineChars="202"/>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变压器低压侧母排与低压柜硬母排应采用软连接过渡。</w:t>
      </w:r>
    </w:p>
    <w:p>
      <w:pPr>
        <w:pStyle w:val="41"/>
        <w:numPr>
          <w:ilvl w:val="1"/>
          <w:numId w:val="28"/>
        </w:numPr>
        <w:spacing w:line="360" w:lineRule="auto"/>
        <w:ind w:firstLine="424" w:firstLineChars="202"/>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高低压配电室内接地干线应符合下列要求：</w:t>
      </w:r>
      <w:r>
        <w:rPr>
          <w:rFonts w:asciiTheme="minorEastAsia" w:hAnsiTheme="minorEastAsia" w:eastAsiaTheme="minorEastAsia" w:cstheme="minorEastAsia"/>
          <w:b/>
          <w:bCs/>
          <w:szCs w:val="21"/>
        </w:rPr>
        <w:t xml:space="preserve"> </w:t>
      </w:r>
    </w:p>
    <w:p>
      <w:pPr>
        <w:spacing w:line="360" w:lineRule="auto"/>
        <w:ind w:firstLine="850" w:firstLineChars="405"/>
        <w:rPr>
          <w:rFonts w:asciiTheme="minorEastAsia" w:hAnsiTheme="minorEastAsia" w:eastAsiaTheme="minorEastAsia" w:cstheme="minorEastAsia"/>
          <w:b/>
          <w:bCs/>
          <w:szCs w:val="21"/>
        </w:rPr>
      </w:pPr>
      <w:r>
        <w:rPr>
          <w:rFonts w:hint="eastAsia" w:ascii="宋体" w:hAnsi="宋体" w:cs="宋体"/>
          <w:szCs w:val="21"/>
        </w:rPr>
        <w:t>1）</w:t>
      </w:r>
      <w:r>
        <w:rPr>
          <w:rFonts w:hint="eastAsia" w:asciiTheme="minorEastAsia" w:hAnsiTheme="minorEastAsia" w:eastAsiaTheme="minorEastAsia" w:cstheme="minorEastAsia"/>
          <w:szCs w:val="21"/>
        </w:rPr>
        <w:t>接地干线材料采用-40×4热浸镀锌扁钢，扁钢间连接采用焊接。</w:t>
      </w:r>
    </w:p>
    <w:p>
      <w:pPr>
        <w:spacing w:line="360" w:lineRule="auto"/>
        <w:ind w:firstLine="850" w:firstLineChars="405"/>
        <w:rPr>
          <w:rFonts w:asciiTheme="minorEastAsia" w:hAnsiTheme="minorEastAsia" w:eastAsiaTheme="minorEastAsia" w:cstheme="minorEastAsia"/>
          <w:b/>
          <w:bCs/>
          <w:szCs w:val="21"/>
        </w:rPr>
      </w:pPr>
      <w:r>
        <w:rPr>
          <w:rFonts w:hint="eastAsia" w:ascii="宋体" w:hAnsi="宋体" w:cs="宋体"/>
          <w:szCs w:val="21"/>
        </w:rPr>
        <w:t>2）</w:t>
      </w:r>
      <w:r>
        <w:rPr>
          <w:rFonts w:hint="eastAsia" w:asciiTheme="minorEastAsia" w:hAnsiTheme="minorEastAsia" w:eastAsiaTheme="minorEastAsia" w:cstheme="minorEastAsia"/>
          <w:szCs w:val="21"/>
        </w:rPr>
        <w:t>应按设计要求或敷设在距地面</w:t>
      </w:r>
      <w:r>
        <w:rPr>
          <w:rFonts w:hint="eastAsia" w:asciiTheme="minorEastAsia" w:hAnsiTheme="minorEastAsia" w:eastAsiaTheme="minorEastAsia" w:cstheme="minorEastAsia"/>
          <w:color w:val="000000"/>
          <w:szCs w:val="21"/>
        </w:rPr>
        <w:t>300 mm</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color w:val="000000"/>
          <w:szCs w:val="21"/>
        </w:rPr>
        <w:t>500 mm</w:t>
      </w:r>
      <w:r>
        <w:rPr>
          <w:rFonts w:hint="eastAsia" w:asciiTheme="minorEastAsia" w:hAnsiTheme="minorEastAsia" w:eastAsiaTheme="minorEastAsia" w:cstheme="minorEastAsia"/>
          <w:szCs w:val="21"/>
        </w:rPr>
        <w:t>墙侧，室内接地干线应形成闭环。</w:t>
      </w:r>
    </w:p>
    <w:p>
      <w:pPr>
        <w:spacing w:line="360" w:lineRule="auto"/>
        <w:ind w:firstLine="850" w:firstLineChars="40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3）高低压配电室应设置闭环接地干线，每隔</w:t>
      </w:r>
      <w:r>
        <w:rPr>
          <w:rFonts w:hint="eastAsia" w:asciiTheme="minorEastAsia" w:hAnsiTheme="minorEastAsia" w:eastAsiaTheme="minorEastAsia" w:cstheme="minorEastAsia"/>
          <w:color w:val="000000"/>
          <w:szCs w:val="21"/>
        </w:rPr>
        <w:t>2 m</w:t>
      </w:r>
      <w:r>
        <w:rPr>
          <w:rFonts w:hint="eastAsia" w:asciiTheme="minorEastAsia" w:hAnsiTheme="minorEastAsia" w:eastAsiaTheme="minorEastAsia" w:cstheme="minorEastAsia"/>
          <w:szCs w:val="21"/>
        </w:rPr>
        <w:t>设置接地标识，不得涂刷油漆。</w:t>
      </w:r>
    </w:p>
    <w:p>
      <w:pPr>
        <w:spacing w:line="360" w:lineRule="auto"/>
        <w:ind w:firstLine="424" w:firstLineChars="20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检查数量：全数检查。</w:t>
      </w:r>
    </w:p>
    <w:p>
      <w:pPr>
        <w:spacing w:line="360" w:lineRule="auto"/>
        <w:ind w:firstLine="424" w:firstLineChars="20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检查方法：第1款观察检查并用接地电阻测试仪测试；其余款观察检查。</w:t>
      </w:r>
    </w:p>
    <w:p>
      <w:pPr>
        <w:pStyle w:val="41"/>
        <w:numPr>
          <w:ilvl w:val="0"/>
          <w:numId w:val="27"/>
        </w:numPr>
        <w:spacing w:line="360" w:lineRule="auto"/>
        <w:ind w:left="0"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变压器及高压的电气装置应符合现行国家标准《建筑电气与智能化通用规范》</w:t>
      </w:r>
      <w:r>
        <w:rPr>
          <w:rFonts w:asciiTheme="minorEastAsia" w:hAnsiTheme="minorEastAsia" w:eastAsiaTheme="minorEastAsia" w:cstheme="minorEastAsia"/>
          <w:szCs w:val="21"/>
        </w:rPr>
        <w:t>GB 55024-2022</w:t>
      </w:r>
      <w:r>
        <w:rPr>
          <w:rFonts w:hint="eastAsia" w:asciiTheme="minorEastAsia" w:hAnsiTheme="minorEastAsia" w:eastAsiaTheme="minorEastAsia" w:cstheme="minorEastAsia"/>
          <w:szCs w:val="21"/>
        </w:rPr>
        <w:t>第9.2.1条的规定完成交接试验且合格。</w:t>
      </w:r>
    </w:p>
    <w:p>
      <w:pPr>
        <w:spacing w:line="360" w:lineRule="auto"/>
        <w:ind w:firstLine="424" w:firstLineChars="20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检查数量：全数检查。 </w:t>
      </w:r>
    </w:p>
    <w:p>
      <w:pPr>
        <w:spacing w:line="360" w:lineRule="auto"/>
        <w:ind w:firstLine="424" w:firstLineChars="20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检查方法：试验时观察检查或查阅交接试验记录。</w:t>
      </w:r>
    </w:p>
    <w:p>
      <w:pPr>
        <w:pStyle w:val="41"/>
        <w:numPr>
          <w:ilvl w:val="0"/>
          <w:numId w:val="27"/>
        </w:numPr>
        <w:spacing w:line="360" w:lineRule="auto"/>
        <w:ind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变压器送电前的检查：</w:t>
      </w:r>
    </w:p>
    <w:p>
      <w:pPr>
        <w:pStyle w:val="41"/>
        <w:numPr>
          <w:ilvl w:val="1"/>
          <w:numId w:val="29"/>
        </w:numPr>
        <w:spacing w:line="360" w:lineRule="auto"/>
        <w:ind w:firstLine="424" w:firstLineChars="20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变压器试运行前应做全面检查，确认符合试运行条件时方可投入运行。</w:t>
      </w:r>
    </w:p>
    <w:p>
      <w:pPr>
        <w:pStyle w:val="41"/>
        <w:numPr>
          <w:ilvl w:val="1"/>
          <w:numId w:val="29"/>
        </w:numPr>
        <w:spacing w:line="360" w:lineRule="auto"/>
        <w:ind w:firstLine="424" w:firstLineChars="20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变压器试运行前，必须由质量监督部门检查合格。</w:t>
      </w:r>
    </w:p>
    <w:p>
      <w:pPr>
        <w:spacing w:line="360" w:lineRule="auto"/>
        <w:ind w:firstLine="424" w:firstLineChars="20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检查数量：全数检查。 </w:t>
      </w:r>
    </w:p>
    <w:p>
      <w:pPr>
        <w:spacing w:line="360" w:lineRule="auto"/>
        <w:ind w:firstLine="424" w:firstLineChars="20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检查方法：观察检查或查阅单据。</w:t>
      </w:r>
    </w:p>
    <w:p>
      <w:pPr>
        <w:pStyle w:val="41"/>
        <w:numPr>
          <w:ilvl w:val="0"/>
          <w:numId w:val="27"/>
        </w:numPr>
        <w:spacing w:line="360" w:lineRule="auto"/>
        <w:ind w:left="0" w:firstLine="0" w:firstLineChars="0"/>
        <w:rPr>
          <w:rFonts w:eastAsiaTheme="minorEastAsia"/>
          <w:b/>
          <w:szCs w:val="21"/>
        </w:rPr>
      </w:pPr>
      <w:r>
        <w:rPr>
          <w:rFonts w:hint="eastAsia" w:eastAsiaTheme="minorEastAsia"/>
          <w:szCs w:val="21"/>
        </w:rPr>
        <w:t>箱式变电所及其落地式配电箱的基础应高于室外地坪，周围排水通畅。用地脚螺栓固定的螺帽应齐全，拧紧牢固；自由安放的应垫平放正。变压器安装位置应正确、相关尺寸应符合设计要求、附件齐全。</w:t>
      </w:r>
    </w:p>
    <w:p>
      <w:pPr>
        <w:spacing w:line="360" w:lineRule="auto"/>
        <w:ind w:firstLine="424" w:firstLineChars="202"/>
        <w:rPr>
          <w:rFonts w:eastAsiaTheme="minorEastAsia"/>
          <w:szCs w:val="21"/>
        </w:rPr>
      </w:pPr>
      <w:r>
        <w:rPr>
          <w:rFonts w:hint="eastAsia" w:eastAsiaTheme="minorEastAsia"/>
          <w:szCs w:val="21"/>
        </w:rPr>
        <w:t>检查数量：全数检查</w:t>
      </w:r>
    </w:p>
    <w:p>
      <w:pPr>
        <w:spacing w:line="360" w:lineRule="auto"/>
        <w:ind w:firstLine="424" w:firstLineChars="202"/>
        <w:rPr>
          <w:rFonts w:eastAsiaTheme="minorEastAsia"/>
          <w:szCs w:val="21"/>
        </w:rPr>
      </w:pPr>
      <w:r>
        <w:rPr>
          <w:rFonts w:hint="eastAsia" w:eastAsiaTheme="minorEastAsia"/>
          <w:szCs w:val="21"/>
        </w:rPr>
        <w:t>检查方法：观察检查和测量检查</w:t>
      </w:r>
    </w:p>
    <w:p>
      <w:pPr>
        <w:pStyle w:val="41"/>
        <w:numPr>
          <w:ilvl w:val="0"/>
          <w:numId w:val="27"/>
        </w:numPr>
        <w:spacing w:line="360" w:lineRule="auto"/>
        <w:ind w:firstLineChars="0"/>
        <w:rPr>
          <w:rFonts w:eastAsiaTheme="minorEastAsia"/>
          <w:szCs w:val="21"/>
        </w:rPr>
      </w:pPr>
      <w:r>
        <w:rPr>
          <w:rFonts w:hint="eastAsia" w:eastAsiaTheme="minorEastAsia"/>
          <w:szCs w:val="21"/>
        </w:rPr>
        <w:t>对于金属箱式变电所及落地式配电箱，箱体应与保护导体可靠连接，且有标识。</w:t>
      </w:r>
    </w:p>
    <w:p>
      <w:pPr>
        <w:spacing w:line="360" w:lineRule="auto"/>
        <w:ind w:firstLine="424" w:firstLineChars="202"/>
        <w:rPr>
          <w:rFonts w:eastAsiaTheme="minorEastAsia"/>
          <w:szCs w:val="21"/>
        </w:rPr>
      </w:pPr>
      <w:r>
        <w:rPr>
          <w:rFonts w:hint="eastAsia" w:eastAsiaTheme="minorEastAsia"/>
          <w:szCs w:val="21"/>
        </w:rPr>
        <w:t>检查数量：全数检查</w:t>
      </w:r>
    </w:p>
    <w:p>
      <w:pPr>
        <w:spacing w:line="360" w:lineRule="auto"/>
        <w:ind w:firstLine="424" w:firstLineChars="202"/>
        <w:rPr>
          <w:rFonts w:eastAsiaTheme="minorEastAsia"/>
          <w:szCs w:val="21"/>
        </w:rPr>
      </w:pPr>
      <w:r>
        <w:rPr>
          <w:rFonts w:hint="eastAsia" w:eastAsiaTheme="minorEastAsia"/>
          <w:szCs w:val="21"/>
        </w:rPr>
        <w:t>检查方法：观察检查和手感检查</w:t>
      </w:r>
    </w:p>
    <w:p>
      <w:pPr>
        <w:pStyle w:val="41"/>
        <w:numPr>
          <w:ilvl w:val="0"/>
          <w:numId w:val="27"/>
        </w:numPr>
        <w:spacing w:line="360" w:lineRule="auto"/>
        <w:ind w:firstLineChars="0"/>
        <w:rPr>
          <w:rFonts w:eastAsiaTheme="minorEastAsia"/>
          <w:szCs w:val="21"/>
        </w:rPr>
      </w:pPr>
      <w:r>
        <w:rPr>
          <w:rFonts w:hint="eastAsia" w:eastAsiaTheme="minorEastAsia"/>
          <w:szCs w:val="21"/>
        </w:rPr>
        <w:t>箱式变电所的交接试验应符合下列规定：</w:t>
      </w:r>
    </w:p>
    <w:p>
      <w:pPr>
        <w:pStyle w:val="41"/>
        <w:numPr>
          <w:ilvl w:val="1"/>
          <w:numId w:val="30"/>
        </w:numPr>
        <w:spacing w:line="360" w:lineRule="auto"/>
        <w:ind w:firstLine="424" w:firstLineChars="202"/>
        <w:rPr>
          <w:rFonts w:eastAsiaTheme="minorEastAsia"/>
          <w:szCs w:val="21"/>
        </w:rPr>
      </w:pPr>
      <w:r>
        <w:rPr>
          <w:rFonts w:hint="eastAsia" w:eastAsiaTheme="minorEastAsia"/>
          <w:szCs w:val="21"/>
        </w:rPr>
        <w:t>变压器、高压成套配电柜、低压成套配电柜三个独立单元组合的箱式变电站，高压电气设备、布线系统及继电保护系统的交接试验，应符合现行国家标准</w:t>
      </w:r>
      <w:r>
        <w:rPr>
          <w:rFonts w:hint="eastAsia" w:eastAsiaTheme="minorEastAsia"/>
          <w:color w:val="000000"/>
          <w:szCs w:val="21"/>
        </w:rPr>
        <w:t>《电气装置安装工程电气设备交接试验标准》GB</w:t>
      </w:r>
      <w:r>
        <w:rPr>
          <w:rFonts w:eastAsiaTheme="minorEastAsia"/>
          <w:color w:val="000000"/>
          <w:szCs w:val="21"/>
        </w:rPr>
        <w:t xml:space="preserve"> </w:t>
      </w:r>
      <w:r>
        <w:rPr>
          <w:rFonts w:hint="eastAsia" w:eastAsiaTheme="minorEastAsia"/>
          <w:color w:val="000000"/>
          <w:szCs w:val="21"/>
        </w:rPr>
        <w:t>50150</w:t>
      </w:r>
      <w:r>
        <w:rPr>
          <w:rFonts w:hint="eastAsia" w:eastAsiaTheme="minorEastAsia"/>
          <w:szCs w:val="21"/>
        </w:rPr>
        <w:t>的规定，交接试验合格；</w:t>
      </w:r>
      <w:r>
        <w:rPr>
          <w:rFonts w:eastAsiaTheme="minorEastAsia"/>
          <w:szCs w:val="21"/>
        </w:rPr>
        <w:t xml:space="preserve"> </w:t>
      </w:r>
    </w:p>
    <w:p>
      <w:pPr>
        <w:pStyle w:val="41"/>
        <w:numPr>
          <w:ilvl w:val="1"/>
          <w:numId w:val="30"/>
        </w:numPr>
        <w:spacing w:line="360" w:lineRule="auto"/>
        <w:ind w:firstLineChars="0"/>
        <w:rPr>
          <w:rFonts w:eastAsiaTheme="minorEastAsia"/>
          <w:szCs w:val="21"/>
        </w:rPr>
      </w:pPr>
      <w:r>
        <w:rPr>
          <w:rFonts w:hint="eastAsia" w:eastAsiaTheme="minorEastAsia"/>
          <w:szCs w:val="21"/>
        </w:rPr>
        <w:t>现场组装的箱式变电所，应按《高压/低压预装式变电站》GB/T</w:t>
      </w:r>
      <w:r>
        <w:rPr>
          <w:rFonts w:eastAsiaTheme="minorEastAsia"/>
          <w:szCs w:val="21"/>
        </w:rPr>
        <w:t xml:space="preserve"> </w:t>
      </w:r>
      <w:r>
        <w:rPr>
          <w:rFonts w:hint="eastAsia" w:eastAsiaTheme="minorEastAsia"/>
          <w:szCs w:val="21"/>
        </w:rPr>
        <w:t>17467进行试验，以保证能正确地运行；</w:t>
      </w:r>
      <w:r>
        <w:rPr>
          <w:rFonts w:eastAsiaTheme="minorEastAsia"/>
          <w:szCs w:val="21"/>
        </w:rPr>
        <w:t xml:space="preserve"> </w:t>
      </w:r>
    </w:p>
    <w:p>
      <w:pPr>
        <w:pStyle w:val="41"/>
        <w:numPr>
          <w:ilvl w:val="1"/>
          <w:numId w:val="30"/>
        </w:numPr>
        <w:spacing w:line="360" w:lineRule="auto"/>
        <w:ind w:firstLine="424" w:firstLineChars="202"/>
        <w:rPr>
          <w:rFonts w:eastAsiaTheme="minorEastAsia"/>
          <w:szCs w:val="21"/>
        </w:rPr>
      </w:pPr>
      <w:r>
        <w:rPr>
          <w:rFonts w:hint="eastAsia" w:eastAsiaTheme="minorEastAsia"/>
          <w:szCs w:val="21"/>
        </w:rPr>
        <w:t>对于高压开关、熔断器等与变压器组合在同一个密闭油箱内的箱式变电所，交接试验应按产品提供的技术文件要求执行；</w:t>
      </w:r>
      <w:r>
        <w:rPr>
          <w:rFonts w:eastAsiaTheme="minorEastAsia"/>
          <w:szCs w:val="21"/>
        </w:rPr>
        <w:t xml:space="preserve"> </w:t>
      </w:r>
    </w:p>
    <w:p>
      <w:pPr>
        <w:pStyle w:val="41"/>
        <w:numPr>
          <w:ilvl w:val="1"/>
          <w:numId w:val="30"/>
        </w:numPr>
        <w:spacing w:line="360" w:lineRule="auto"/>
        <w:ind w:firstLine="424" w:firstLineChars="202"/>
        <w:rPr>
          <w:rFonts w:eastAsiaTheme="minorEastAsia"/>
          <w:szCs w:val="21"/>
        </w:rPr>
      </w:pPr>
      <w:r>
        <w:rPr>
          <w:rFonts w:hint="eastAsia" w:eastAsiaTheme="minorEastAsia"/>
          <w:szCs w:val="21"/>
        </w:rPr>
        <w:t>成套配电柜和馈电线路的每路配电开关及保护装置的相间和相对地间的绝缘电阻值不应小于</w:t>
      </w:r>
      <w:r>
        <w:rPr>
          <w:rFonts w:hint="eastAsia" w:eastAsiaTheme="minorEastAsia"/>
          <w:color w:val="000000"/>
          <w:szCs w:val="21"/>
        </w:rPr>
        <w:t>0.5 MΩ</w:t>
      </w:r>
      <w:r>
        <w:rPr>
          <w:rFonts w:hint="eastAsia" w:eastAsiaTheme="minorEastAsia"/>
          <w:szCs w:val="21"/>
        </w:rPr>
        <w:t>；当国家现行产品标准未做规定时，电气装置的交流工频耐压试验电压应为</w:t>
      </w:r>
      <w:r>
        <w:rPr>
          <w:rFonts w:hint="eastAsia" w:eastAsiaTheme="minorEastAsia"/>
          <w:color w:val="000000"/>
          <w:szCs w:val="21"/>
        </w:rPr>
        <w:t>1000 V</w:t>
      </w:r>
      <w:r>
        <w:rPr>
          <w:rFonts w:hint="eastAsia" w:eastAsiaTheme="minorEastAsia"/>
          <w:szCs w:val="21"/>
        </w:rPr>
        <w:t>，试验持续时间应为</w:t>
      </w:r>
      <w:r>
        <w:rPr>
          <w:rFonts w:hint="eastAsia" w:eastAsiaTheme="minorEastAsia"/>
          <w:color w:val="000000"/>
          <w:szCs w:val="21"/>
        </w:rPr>
        <w:t>1 min</w:t>
      </w:r>
      <w:r>
        <w:rPr>
          <w:rFonts w:hint="eastAsia" w:eastAsiaTheme="minorEastAsia"/>
          <w:szCs w:val="21"/>
        </w:rPr>
        <w:t>，当绝缘电阻值大于</w:t>
      </w:r>
      <w:r>
        <w:rPr>
          <w:rFonts w:hint="eastAsia" w:eastAsiaTheme="minorEastAsia"/>
          <w:color w:val="000000"/>
          <w:szCs w:val="21"/>
        </w:rPr>
        <w:t>10 MΩ</w:t>
      </w:r>
      <w:r>
        <w:rPr>
          <w:rFonts w:hint="eastAsia" w:eastAsiaTheme="minorEastAsia"/>
          <w:szCs w:val="21"/>
        </w:rPr>
        <w:t>时，宜采用</w:t>
      </w:r>
      <w:r>
        <w:rPr>
          <w:rFonts w:hint="eastAsia" w:eastAsiaTheme="minorEastAsia"/>
          <w:color w:val="000000"/>
          <w:szCs w:val="21"/>
        </w:rPr>
        <w:t>2500 V</w:t>
      </w:r>
      <w:r>
        <w:rPr>
          <w:rFonts w:hint="eastAsia" w:eastAsiaTheme="minorEastAsia"/>
          <w:szCs w:val="21"/>
        </w:rPr>
        <w:t>兆欧表摇测。</w:t>
      </w:r>
    </w:p>
    <w:p>
      <w:pPr>
        <w:spacing w:line="360" w:lineRule="auto"/>
        <w:ind w:firstLine="424" w:firstLineChars="202"/>
        <w:rPr>
          <w:rFonts w:eastAsiaTheme="minorEastAsia"/>
          <w:szCs w:val="21"/>
        </w:rPr>
      </w:pPr>
      <w:r>
        <w:rPr>
          <w:rFonts w:hint="eastAsia" w:eastAsiaTheme="minorEastAsia"/>
          <w:szCs w:val="21"/>
        </w:rPr>
        <w:t>检查数量：全数检查</w:t>
      </w:r>
    </w:p>
    <w:p>
      <w:pPr>
        <w:spacing w:line="360" w:lineRule="auto"/>
        <w:ind w:firstLine="424" w:firstLineChars="202"/>
        <w:rPr>
          <w:rFonts w:eastAsiaTheme="minorEastAsia"/>
          <w:szCs w:val="21"/>
        </w:rPr>
      </w:pPr>
      <w:r>
        <w:rPr>
          <w:rFonts w:hint="eastAsia" w:eastAsiaTheme="minorEastAsia"/>
          <w:szCs w:val="21"/>
        </w:rPr>
        <w:t>检查方法：用绝缘电阻测试仪测试、试验并查阅交接试验记录</w:t>
      </w:r>
    </w:p>
    <w:p>
      <w:pPr>
        <w:pStyle w:val="41"/>
        <w:numPr>
          <w:ilvl w:val="0"/>
          <w:numId w:val="27"/>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光伏金属结构支架应与保护导体可靠连接。</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检查数量：支架总数的10%，且不应少于3个。</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pPr>
        <w:pStyle w:val="41"/>
        <w:numPr>
          <w:ilvl w:val="0"/>
          <w:numId w:val="27"/>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光伏组件安装应符合下列规定：</w:t>
      </w:r>
    </w:p>
    <w:p>
      <w:pPr>
        <w:pStyle w:val="41"/>
        <w:numPr>
          <w:ilvl w:val="1"/>
          <w:numId w:val="3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光伏组件安装按设计图纸进行，连接数量和路径应符合设计要求。</w:t>
      </w:r>
    </w:p>
    <w:p>
      <w:pPr>
        <w:pStyle w:val="41"/>
        <w:numPr>
          <w:ilvl w:val="1"/>
          <w:numId w:val="3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光伏组件的外观及接线盒、连接器不应有损坏现象。</w:t>
      </w:r>
    </w:p>
    <w:p>
      <w:pPr>
        <w:pStyle w:val="41"/>
        <w:numPr>
          <w:ilvl w:val="1"/>
          <w:numId w:val="3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光伏组件间接插件连接应牢固，连接线应进行处理，整齐美观。</w:t>
      </w:r>
    </w:p>
    <w:p>
      <w:pPr>
        <w:pStyle w:val="41"/>
        <w:numPr>
          <w:ilvl w:val="1"/>
          <w:numId w:val="3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光伏方阵的绝缘电阻应符合设计要求。</w:t>
      </w:r>
    </w:p>
    <w:p>
      <w:p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检查数量：第1~</w:t>
      </w:r>
      <w:r>
        <w:rPr>
          <w:rFonts w:asciiTheme="minorEastAsia" w:hAnsiTheme="minorEastAsia" w:eastAsiaTheme="minorEastAsia"/>
          <w:szCs w:val="21"/>
        </w:rPr>
        <w:t>3</w:t>
      </w:r>
      <w:r>
        <w:rPr>
          <w:rFonts w:hint="eastAsia" w:asciiTheme="minorEastAsia" w:hAnsiTheme="minorEastAsia" w:eastAsiaTheme="minorEastAsia"/>
          <w:szCs w:val="21"/>
        </w:rPr>
        <w:t>款抽查光伏组件总数的10%，且不应少于10个；第</w:t>
      </w:r>
      <w:r>
        <w:rPr>
          <w:rFonts w:asciiTheme="minorEastAsia" w:hAnsiTheme="minorEastAsia" w:eastAsiaTheme="minorEastAsia"/>
          <w:szCs w:val="21"/>
        </w:rPr>
        <w:t>4</w:t>
      </w:r>
      <w:r>
        <w:rPr>
          <w:rFonts w:hint="eastAsia" w:asciiTheme="minorEastAsia" w:hAnsiTheme="minorEastAsia" w:eastAsiaTheme="minorEastAsia"/>
          <w:szCs w:val="21"/>
        </w:rPr>
        <w:t>项全数检查。</w:t>
      </w:r>
    </w:p>
    <w:p>
      <w:p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检查方法：第1~</w:t>
      </w:r>
      <w:r>
        <w:rPr>
          <w:rFonts w:asciiTheme="minorEastAsia" w:hAnsiTheme="minorEastAsia" w:eastAsiaTheme="minorEastAsia"/>
          <w:szCs w:val="21"/>
        </w:rPr>
        <w:t>3</w:t>
      </w:r>
      <w:r>
        <w:rPr>
          <w:rFonts w:hint="eastAsia" w:asciiTheme="minorEastAsia" w:hAnsiTheme="minorEastAsia" w:eastAsiaTheme="minorEastAsia"/>
          <w:szCs w:val="21"/>
        </w:rPr>
        <w:t>款观察检查，第4款仪表测试并查阅试验记录。</w:t>
      </w:r>
    </w:p>
    <w:p>
      <w:pPr>
        <w:pStyle w:val="41"/>
        <w:numPr>
          <w:ilvl w:val="0"/>
          <w:numId w:val="27"/>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光伏系统采用金属箱体的汇流箱应与保护导体可靠连接。</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pPr>
        <w:pStyle w:val="41"/>
        <w:numPr>
          <w:ilvl w:val="0"/>
          <w:numId w:val="27"/>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光伏逆变器安装应符合下列规定：</w:t>
      </w:r>
    </w:p>
    <w:p>
      <w:pPr>
        <w:pStyle w:val="41"/>
        <w:numPr>
          <w:ilvl w:val="1"/>
          <w:numId w:val="3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逆变器直流侧电缆应接线牢固且极性正确、绝缘良好；</w:t>
      </w:r>
    </w:p>
    <w:p>
      <w:pPr>
        <w:pStyle w:val="41"/>
        <w:numPr>
          <w:ilvl w:val="1"/>
          <w:numId w:val="3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逆变器交流侧电缆应接线牢固且相序正确、绝缘良好；</w:t>
      </w:r>
    </w:p>
    <w:p>
      <w:pPr>
        <w:pStyle w:val="41"/>
        <w:numPr>
          <w:ilvl w:val="1"/>
          <w:numId w:val="3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逆变器的可接触非载流金属导体均应可靠接地，接地电阻不应大于</w:t>
      </w:r>
      <w:r>
        <w:rPr>
          <w:rFonts w:hint="eastAsia" w:asciiTheme="minorEastAsia" w:hAnsiTheme="minorEastAsia" w:eastAsiaTheme="minorEastAsia"/>
          <w:color w:val="000000"/>
          <w:szCs w:val="21"/>
        </w:rPr>
        <w:t>1 Ω</w:t>
      </w:r>
      <w:r>
        <w:rPr>
          <w:rFonts w:hint="eastAsia" w:asciiTheme="minorEastAsia" w:hAnsiTheme="minorEastAsia" w:eastAsiaTheme="minorEastAsia"/>
          <w:szCs w:val="21"/>
        </w:rPr>
        <w:t>；</w:t>
      </w:r>
    </w:p>
    <w:p>
      <w:pPr>
        <w:pStyle w:val="41"/>
        <w:numPr>
          <w:ilvl w:val="1"/>
          <w:numId w:val="3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逆变器内部元器件应完好，无受潮、放电痕迹。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检查方法：第1~</w:t>
      </w:r>
      <w:r>
        <w:rPr>
          <w:rFonts w:asciiTheme="minorEastAsia" w:hAnsiTheme="minorEastAsia" w:eastAsiaTheme="minorEastAsia"/>
          <w:szCs w:val="21"/>
        </w:rPr>
        <w:t>3</w:t>
      </w:r>
      <w:r>
        <w:rPr>
          <w:rFonts w:hint="eastAsia" w:asciiTheme="minorEastAsia" w:hAnsiTheme="minorEastAsia" w:eastAsiaTheme="minorEastAsia"/>
          <w:szCs w:val="21"/>
        </w:rPr>
        <w:t>项仪表测试并查阅试验记录，第4项观察检查。</w:t>
      </w:r>
    </w:p>
    <w:p>
      <w:pPr>
        <w:pStyle w:val="4"/>
        <w:spacing w:before="120" w:beforeLines="50" w:after="120" w:afterLines="50"/>
        <w:ind w:left="482"/>
      </w:pPr>
      <w:r>
        <w:t xml:space="preserve">Ⅱ  </w:t>
      </w:r>
      <w:r>
        <w:rPr>
          <w:rFonts w:hint="eastAsia"/>
        </w:rPr>
        <w:t>一般项目</w:t>
      </w:r>
    </w:p>
    <w:p>
      <w:pPr>
        <w:pStyle w:val="41"/>
        <w:numPr>
          <w:ilvl w:val="0"/>
          <w:numId w:val="27"/>
        </w:numPr>
        <w:spacing w:line="360" w:lineRule="auto"/>
        <w:ind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变压器应按产品技术文件要求进行器身检查，当满足下列条件之一时，可不检查。</w:t>
      </w:r>
    </w:p>
    <w:p>
      <w:pPr>
        <w:pStyle w:val="41"/>
        <w:numPr>
          <w:ilvl w:val="1"/>
          <w:numId w:val="33"/>
        </w:numPr>
        <w:spacing w:line="360" w:lineRule="auto"/>
        <w:ind w:firstLine="424" w:firstLineChars="20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制造厂规定不检查器身。 </w:t>
      </w:r>
    </w:p>
    <w:p>
      <w:pPr>
        <w:pStyle w:val="41"/>
        <w:numPr>
          <w:ilvl w:val="1"/>
          <w:numId w:val="33"/>
        </w:numPr>
        <w:spacing w:line="360" w:lineRule="auto"/>
        <w:ind w:firstLine="424" w:firstLineChars="20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就地生产仅作短途运输的变压器，且在运输过程中有效监督，无紧急制动、剧烈振动、冲撞或严重颠簸等异常情况。 </w:t>
      </w:r>
    </w:p>
    <w:p>
      <w:pPr>
        <w:spacing w:line="360" w:lineRule="auto"/>
        <w:ind w:firstLine="424" w:firstLineChars="20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检查数量：全数检查。 </w:t>
      </w:r>
    </w:p>
    <w:p>
      <w:p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 xml:space="preserve">检查方法：核对产品技术文件、查阅运输过程资料。 </w:t>
      </w:r>
    </w:p>
    <w:p>
      <w:pPr>
        <w:pStyle w:val="41"/>
        <w:numPr>
          <w:ilvl w:val="0"/>
          <w:numId w:val="27"/>
        </w:numPr>
        <w:spacing w:line="360" w:lineRule="auto"/>
        <w:ind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变压器本体安装应符合下列规定：</w:t>
      </w:r>
    </w:p>
    <w:p>
      <w:pPr>
        <w:pStyle w:val="41"/>
        <w:numPr>
          <w:ilvl w:val="1"/>
          <w:numId w:val="34"/>
        </w:numPr>
        <w:spacing w:line="360" w:lineRule="auto"/>
        <w:ind w:firstLine="424" w:firstLineChars="20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绝缘件应无裂纹、缺损和瓷件瓷</w:t>
      </w:r>
      <w:r>
        <w:rPr>
          <w:rFonts w:hint="eastAsia" w:asciiTheme="minorEastAsia" w:hAnsiTheme="minorEastAsia" w:eastAsiaTheme="minorEastAsia" w:cstheme="minorEastAsia"/>
          <w:color w:val="000000"/>
          <w:szCs w:val="21"/>
        </w:rPr>
        <w:t>柏</w:t>
      </w:r>
      <w:r>
        <w:rPr>
          <w:rFonts w:hint="eastAsia" w:asciiTheme="minorEastAsia" w:hAnsiTheme="minorEastAsia" w:eastAsiaTheme="minorEastAsia" w:cstheme="minorEastAsia"/>
          <w:szCs w:val="21"/>
        </w:rPr>
        <w:t>损坏等缺陷，外表应清洁，测温仪表指示应准确。</w:t>
      </w:r>
    </w:p>
    <w:p>
      <w:pPr>
        <w:pStyle w:val="41"/>
        <w:numPr>
          <w:ilvl w:val="1"/>
          <w:numId w:val="34"/>
        </w:numPr>
        <w:spacing w:line="360" w:lineRule="auto"/>
        <w:ind w:firstLine="424" w:firstLineChars="20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装有滚轮的变压器，滚轮应能转动灵活，在变压器就位后，应将滚轮用能拆卸的制动装置加以固定。</w:t>
      </w:r>
    </w:p>
    <w:p>
      <w:pPr>
        <w:pStyle w:val="41"/>
        <w:numPr>
          <w:ilvl w:val="1"/>
          <w:numId w:val="34"/>
        </w:numPr>
        <w:spacing w:line="360" w:lineRule="auto"/>
        <w:ind w:firstLine="424" w:firstLineChars="20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对于油浸变压器顶盖，沿气体继电器的气流方向应有 1</w:t>
      </w:r>
      <w:r>
        <w:rPr>
          <w:rFonts w:asciiTheme="minorEastAsia" w:hAnsiTheme="minorEastAsia" w:eastAsiaTheme="minorEastAsia" w:cstheme="minorEastAsia"/>
          <w:szCs w:val="21"/>
        </w:rPr>
        <w:t>.</w:t>
      </w:r>
      <w:r>
        <w:rPr>
          <w:rFonts w:hint="eastAsia" w:asciiTheme="minorEastAsia" w:hAnsiTheme="minorEastAsia" w:eastAsiaTheme="minorEastAsia" w:cstheme="minorEastAsia"/>
          <w:szCs w:val="21"/>
        </w:rPr>
        <w:t>0% ~ 1</w:t>
      </w:r>
      <w:r>
        <w:rPr>
          <w:rFonts w:asciiTheme="minorEastAsia" w:hAnsiTheme="minorEastAsia" w:eastAsiaTheme="minorEastAsia" w:cstheme="minorEastAsia"/>
          <w:szCs w:val="21"/>
        </w:rPr>
        <w:t>.</w:t>
      </w:r>
      <w:r>
        <w:rPr>
          <w:rFonts w:hint="eastAsia" w:asciiTheme="minorEastAsia" w:hAnsiTheme="minorEastAsia" w:eastAsiaTheme="minorEastAsia" w:cstheme="minorEastAsia"/>
          <w:szCs w:val="21"/>
        </w:rPr>
        <w:t>5%的升高坡度。除与母线槽采用软连接外，变压器的 套管中心线应与母线槽中心线在同一轴线上。</w:t>
      </w:r>
    </w:p>
    <w:p>
      <w:pPr>
        <w:pStyle w:val="41"/>
        <w:numPr>
          <w:ilvl w:val="1"/>
          <w:numId w:val="34"/>
        </w:numPr>
        <w:spacing w:line="360" w:lineRule="auto"/>
        <w:ind w:firstLine="424" w:firstLineChars="20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对有防护等级要求的变压器，在其高压或低压及其他用途 的绝缘盖板上开孔时，应符合变压器的防护等级要求。</w:t>
      </w:r>
    </w:p>
    <w:p>
      <w:pPr>
        <w:pStyle w:val="41"/>
        <w:numPr>
          <w:ilvl w:val="1"/>
          <w:numId w:val="34"/>
        </w:numPr>
        <w:spacing w:line="360" w:lineRule="auto"/>
        <w:ind w:firstLine="424" w:firstLineChars="20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变压器与基础构件间安装，应稳固、有抗震措施。</w:t>
      </w:r>
    </w:p>
    <w:p>
      <w:pPr>
        <w:pStyle w:val="41"/>
        <w:numPr>
          <w:ilvl w:val="1"/>
          <w:numId w:val="34"/>
        </w:numPr>
        <w:spacing w:line="360" w:lineRule="auto"/>
        <w:ind w:firstLine="424" w:firstLineChars="20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变压器设施、裸露带电体的上方，不应敷设动力、照明、信号等线路和管线。</w:t>
      </w:r>
    </w:p>
    <w:p>
      <w:pPr>
        <w:pStyle w:val="41"/>
        <w:numPr>
          <w:ilvl w:val="1"/>
          <w:numId w:val="34"/>
        </w:numPr>
        <w:spacing w:line="360" w:lineRule="auto"/>
        <w:ind w:firstLine="424" w:firstLineChars="20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围栏或围墙应在明显位置悬挂警示标识。</w:t>
      </w:r>
    </w:p>
    <w:p>
      <w:pPr>
        <w:spacing w:line="360" w:lineRule="auto"/>
        <w:ind w:firstLine="424" w:firstLineChars="20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检查数量：第1款各种规格各抽查10% ，且不得少于1件； 其余款全数检查。 </w:t>
      </w:r>
    </w:p>
    <w:p>
      <w:pPr>
        <w:spacing w:line="360" w:lineRule="auto"/>
        <w:ind w:firstLine="424" w:firstLineChars="20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检查方法：第3款观察检查并采用水平仪测试；其余款观察检查。</w:t>
      </w:r>
    </w:p>
    <w:p>
      <w:pPr>
        <w:pStyle w:val="41"/>
        <w:numPr>
          <w:ilvl w:val="0"/>
          <w:numId w:val="27"/>
        </w:numPr>
        <w:spacing w:line="360" w:lineRule="auto"/>
        <w:ind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变压器附件安装应符合以下规定：</w:t>
      </w:r>
    </w:p>
    <w:p>
      <w:pPr>
        <w:spacing w:line="360" w:lineRule="auto"/>
        <w:ind w:firstLine="319" w:firstLineChars="15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1与油箱直接连通的附件内部清洗干净，安装牢固，连接严密，无渗油现象。</w:t>
      </w:r>
    </w:p>
    <w:p>
      <w:pPr>
        <w:spacing w:line="360" w:lineRule="auto"/>
        <w:ind w:firstLine="319" w:firstLineChars="15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2膨胀式温度计至细管的弯曲半径不小于</w:t>
      </w:r>
      <w:r>
        <w:rPr>
          <w:rFonts w:hint="eastAsia" w:asciiTheme="minorEastAsia" w:hAnsiTheme="minorEastAsia" w:eastAsiaTheme="minorEastAsia" w:cstheme="minorEastAsia"/>
          <w:color w:val="000000"/>
          <w:szCs w:val="21"/>
        </w:rPr>
        <w:t>50 mm</w:t>
      </w:r>
      <w:r>
        <w:rPr>
          <w:rFonts w:hint="eastAsia" w:asciiTheme="minorEastAsia" w:hAnsiTheme="minorEastAsia" w:eastAsiaTheme="minorEastAsia" w:cstheme="minorEastAsia"/>
          <w:szCs w:val="21"/>
        </w:rPr>
        <w:t>，且管子无压扁和急剧扭折现象，毛细管过长部分盘放整齐，</w:t>
      </w:r>
      <w:r>
        <w:rPr>
          <w:rFonts w:hint="eastAsia" w:asciiTheme="minorEastAsia" w:hAnsiTheme="minorEastAsia" w:eastAsiaTheme="minorEastAsia" w:cstheme="minorEastAsia"/>
          <w:color w:val="000000"/>
          <w:szCs w:val="21"/>
        </w:rPr>
        <w:t>温包</w:t>
      </w:r>
      <w:r>
        <w:rPr>
          <w:rFonts w:hint="eastAsia" w:asciiTheme="minorEastAsia" w:hAnsiTheme="minorEastAsia" w:eastAsiaTheme="minorEastAsia" w:cstheme="minorEastAsia"/>
          <w:szCs w:val="21"/>
        </w:rPr>
        <w:t>套管充油饱满。</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3有载调压开关的传动部分润滑应良好，动作应灵活，点动给定位置与开关实际位置应一致，自动调节应符合产品的技术文件要求。</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4变压器</w:t>
      </w:r>
      <w:r>
        <w:rPr>
          <w:rFonts w:hint="eastAsia" w:asciiTheme="minorEastAsia" w:hAnsiTheme="minorEastAsia" w:eastAsiaTheme="minorEastAsia" w:cstheme="minorEastAsia"/>
          <w:color w:val="000000"/>
          <w:szCs w:val="21"/>
        </w:rPr>
        <w:t>一、二次</w:t>
      </w:r>
      <w:r>
        <w:rPr>
          <w:rFonts w:hint="eastAsia" w:asciiTheme="minorEastAsia" w:hAnsiTheme="minorEastAsia" w:eastAsiaTheme="minorEastAsia" w:cstheme="minorEastAsia"/>
          <w:szCs w:val="21"/>
        </w:rPr>
        <w:t xml:space="preserve">导体安装，不应使变压器套管直接承受应力。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5变压器中性点的接地回路中，靠近变压器处，宜做一个可拆卸的连接点。</w:t>
      </w:r>
    </w:p>
    <w:p>
      <w:pPr>
        <w:spacing w:line="360" w:lineRule="auto"/>
        <w:ind w:firstLine="424" w:firstLineChars="20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检查数量：全数检查。 </w:t>
      </w:r>
    </w:p>
    <w:p>
      <w:pPr>
        <w:spacing w:line="360" w:lineRule="auto"/>
        <w:ind w:firstLine="424" w:firstLineChars="20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检查方法：观察检查和检查安装记录。</w:t>
      </w:r>
    </w:p>
    <w:p>
      <w:pPr>
        <w:pStyle w:val="41"/>
        <w:numPr>
          <w:ilvl w:val="0"/>
          <w:numId w:val="27"/>
        </w:numPr>
        <w:spacing w:line="360" w:lineRule="auto"/>
        <w:ind w:left="0" w:firstLine="6" w:firstLineChars="0"/>
        <w:rPr>
          <w:rFonts w:eastAsiaTheme="minorEastAsia"/>
          <w:szCs w:val="21"/>
        </w:rPr>
      </w:pPr>
      <w:r>
        <w:rPr>
          <w:rFonts w:hint="eastAsia" w:eastAsiaTheme="minorEastAsia"/>
          <w:szCs w:val="21"/>
        </w:rPr>
        <w:t>现场组装的箱式变电所，应严格按照出厂技术文件进行组装，组装完成后按照出厂技术文件进行验收。</w:t>
      </w:r>
    </w:p>
    <w:p>
      <w:pPr>
        <w:spacing w:line="360" w:lineRule="auto"/>
        <w:ind w:firstLine="424" w:firstLineChars="202"/>
        <w:rPr>
          <w:rFonts w:eastAsiaTheme="minorEastAsia"/>
          <w:szCs w:val="21"/>
        </w:rPr>
      </w:pPr>
      <w:r>
        <w:rPr>
          <w:rFonts w:hint="eastAsia" w:eastAsiaTheme="minorEastAsia"/>
          <w:szCs w:val="21"/>
        </w:rPr>
        <w:t>检查数量：全数检查</w:t>
      </w:r>
    </w:p>
    <w:p>
      <w:pPr>
        <w:spacing w:line="360" w:lineRule="auto"/>
        <w:ind w:firstLine="424" w:firstLineChars="202"/>
        <w:rPr>
          <w:rFonts w:eastAsiaTheme="minorEastAsia"/>
          <w:szCs w:val="21"/>
        </w:rPr>
      </w:pPr>
      <w:r>
        <w:rPr>
          <w:rFonts w:hint="eastAsia" w:eastAsiaTheme="minorEastAsia"/>
          <w:szCs w:val="21"/>
        </w:rPr>
        <w:t>检查方法：观察检查并查阅出厂技术文件</w:t>
      </w:r>
    </w:p>
    <w:p>
      <w:pPr>
        <w:pStyle w:val="41"/>
        <w:numPr>
          <w:ilvl w:val="0"/>
          <w:numId w:val="27"/>
        </w:numPr>
        <w:spacing w:line="360" w:lineRule="auto"/>
        <w:ind w:firstLineChars="0"/>
        <w:rPr>
          <w:rFonts w:eastAsiaTheme="minorEastAsia"/>
          <w:szCs w:val="21"/>
        </w:rPr>
      </w:pPr>
      <w:r>
        <w:rPr>
          <w:rFonts w:hint="eastAsia" w:eastAsiaTheme="minorEastAsia"/>
          <w:szCs w:val="21"/>
        </w:rPr>
        <w:t>箱式变电所内、外涂层应完整、无损伤，对于有通风口的，其风口防护网应完好。</w:t>
      </w:r>
    </w:p>
    <w:p>
      <w:pPr>
        <w:spacing w:line="360" w:lineRule="auto"/>
        <w:ind w:firstLine="424" w:firstLineChars="202"/>
        <w:rPr>
          <w:rFonts w:eastAsiaTheme="minorEastAsia"/>
          <w:szCs w:val="21"/>
        </w:rPr>
      </w:pPr>
      <w:r>
        <w:rPr>
          <w:rFonts w:hint="eastAsia" w:eastAsiaTheme="minorEastAsia"/>
          <w:szCs w:val="21"/>
        </w:rPr>
        <w:t>检查数量：全数检查</w:t>
      </w:r>
    </w:p>
    <w:p>
      <w:pPr>
        <w:spacing w:line="360" w:lineRule="auto"/>
        <w:ind w:firstLine="424" w:firstLineChars="202"/>
        <w:rPr>
          <w:rFonts w:eastAsiaTheme="minorEastAsia"/>
          <w:szCs w:val="21"/>
        </w:rPr>
      </w:pPr>
      <w:r>
        <w:rPr>
          <w:rFonts w:hint="eastAsia" w:eastAsiaTheme="minorEastAsia"/>
          <w:szCs w:val="21"/>
        </w:rPr>
        <w:t>检查方法：观察检查</w:t>
      </w:r>
    </w:p>
    <w:p>
      <w:pPr>
        <w:pStyle w:val="41"/>
        <w:numPr>
          <w:ilvl w:val="0"/>
          <w:numId w:val="27"/>
        </w:numPr>
        <w:spacing w:line="360" w:lineRule="auto"/>
        <w:ind w:left="0" w:firstLine="6" w:firstLineChars="0"/>
        <w:rPr>
          <w:rFonts w:asciiTheme="minorEastAsia" w:hAnsiTheme="minorEastAsia" w:eastAsiaTheme="minorEastAsia"/>
          <w:szCs w:val="21"/>
        </w:rPr>
      </w:pPr>
      <w:r>
        <w:rPr>
          <w:rFonts w:hint="eastAsia" w:asciiTheme="minorEastAsia" w:hAnsiTheme="minorEastAsia" w:eastAsiaTheme="minorEastAsia"/>
          <w:szCs w:val="21"/>
        </w:rPr>
        <w:t>箱式变电所的高压和低压配电柜内部接线应完整、低压输出回路标记应清晰，回路名称应准确。</w:t>
      </w:r>
    </w:p>
    <w:p>
      <w:pPr>
        <w:spacing w:line="360" w:lineRule="auto"/>
        <w:ind w:firstLine="424" w:firstLineChars="202"/>
        <w:rPr>
          <w:rFonts w:eastAsiaTheme="minorEastAsia"/>
          <w:szCs w:val="21"/>
        </w:rPr>
      </w:pPr>
      <w:r>
        <w:rPr>
          <w:rFonts w:hint="eastAsia" w:eastAsiaTheme="minorEastAsia"/>
          <w:szCs w:val="21"/>
        </w:rPr>
        <w:t>检查数量：按回路数量抽查10%，且不得少于1个回路</w:t>
      </w:r>
    </w:p>
    <w:p>
      <w:pPr>
        <w:spacing w:line="360" w:lineRule="auto"/>
        <w:ind w:firstLine="424" w:firstLineChars="202"/>
        <w:rPr>
          <w:rFonts w:eastAsiaTheme="minorEastAsia"/>
          <w:szCs w:val="21"/>
        </w:rPr>
      </w:pPr>
      <w:r>
        <w:rPr>
          <w:rFonts w:hint="eastAsia" w:eastAsiaTheme="minorEastAsia"/>
          <w:szCs w:val="21"/>
        </w:rPr>
        <w:t>检查方法：观察检查</w:t>
      </w:r>
    </w:p>
    <w:p>
      <w:pPr>
        <w:pStyle w:val="41"/>
        <w:numPr>
          <w:ilvl w:val="0"/>
          <w:numId w:val="27"/>
        </w:numPr>
        <w:spacing w:line="360" w:lineRule="auto"/>
        <w:ind w:firstLineChars="0"/>
        <w:rPr>
          <w:rFonts w:eastAsiaTheme="minorEastAsia"/>
          <w:szCs w:val="21"/>
        </w:rPr>
      </w:pPr>
      <w:r>
        <w:rPr>
          <w:rFonts w:hint="eastAsia" w:eastAsiaTheme="minorEastAsia"/>
          <w:szCs w:val="21"/>
        </w:rPr>
        <w:t>箱式变电站外廓与围栏或围墙周围应留有不小于</w:t>
      </w:r>
      <w:r>
        <w:rPr>
          <w:rFonts w:hint="eastAsia" w:eastAsiaTheme="minorEastAsia"/>
          <w:color w:val="000000"/>
          <w:szCs w:val="21"/>
        </w:rPr>
        <w:t>1 m</w:t>
      </w:r>
      <w:r>
        <w:rPr>
          <w:rFonts w:eastAsiaTheme="minorEastAsia"/>
          <w:szCs w:val="21"/>
        </w:rPr>
        <w:t xml:space="preserve"> </w:t>
      </w:r>
      <w:r>
        <w:rPr>
          <w:rFonts w:hint="eastAsia" w:eastAsiaTheme="minorEastAsia"/>
          <w:szCs w:val="21"/>
        </w:rPr>
        <w:t>的巡视或检修通道。</w:t>
      </w:r>
    </w:p>
    <w:p>
      <w:pPr>
        <w:spacing w:line="360" w:lineRule="auto"/>
        <w:ind w:firstLine="420" w:firstLineChars="200"/>
        <w:rPr>
          <w:rFonts w:eastAsiaTheme="minorEastAsia"/>
          <w:szCs w:val="21"/>
        </w:rPr>
      </w:pPr>
      <w:r>
        <w:rPr>
          <w:rFonts w:hint="eastAsia" w:eastAsiaTheme="minorEastAsia"/>
          <w:szCs w:val="21"/>
        </w:rPr>
        <w:t>检查数量：全数检查</w:t>
      </w:r>
    </w:p>
    <w:p>
      <w:pPr>
        <w:spacing w:line="360" w:lineRule="auto"/>
        <w:ind w:firstLine="420" w:firstLineChars="200"/>
        <w:rPr>
          <w:rFonts w:eastAsiaTheme="minorEastAsia"/>
          <w:szCs w:val="21"/>
        </w:rPr>
      </w:pPr>
      <w:r>
        <w:rPr>
          <w:rFonts w:hint="eastAsia" w:eastAsiaTheme="minorEastAsia"/>
          <w:szCs w:val="21"/>
        </w:rPr>
        <w:t>检查方法：观察检查和测量检查</w:t>
      </w:r>
    </w:p>
    <w:p>
      <w:pPr>
        <w:pStyle w:val="41"/>
        <w:numPr>
          <w:ilvl w:val="0"/>
          <w:numId w:val="27"/>
        </w:numPr>
        <w:spacing w:line="360" w:lineRule="auto"/>
        <w:ind w:firstLineChars="0"/>
        <w:rPr>
          <w:rFonts w:eastAsiaTheme="minorEastAsia"/>
          <w:szCs w:val="21"/>
        </w:rPr>
      </w:pPr>
      <w:r>
        <w:rPr>
          <w:rFonts w:hint="eastAsia" w:eastAsiaTheme="minorEastAsia"/>
          <w:szCs w:val="21"/>
        </w:rPr>
        <w:t>围栏或围墙应在明显位置悬挂警示标识。</w:t>
      </w:r>
    </w:p>
    <w:p>
      <w:pPr>
        <w:spacing w:line="360" w:lineRule="auto"/>
        <w:ind w:firstLine="420" w:firstLineChars="200"/>
        <w:rPr>
          <w:rFonts w:eastAsiaTheme="minorEastAsia"/>
          <w:szCs w:val="21"/>
        </w:rPr>
      </w:pPr>
      <w:r>
        <w:rPr>
          <w:rFonts w:hint="eastAsia" w:eastAsiaTheme="minorEastAsia"/>
          <w:szCs w:val="21"/>
        </w:rPr>
        <w:t>检查数量：全数检查</w:t>
      </w:r>
    </w:p>
    <w:p>
      <w:pPr>
        <w:spacing w:line="360" w:lineRule="auto"/>
        <w:ind w:firstLine="420" w:firstLineChars="200"/>
        <w:rPr>
          <w:rFonts w:eastAsiaTheme="minorEastAsia"/>
          <w:szCs w:val="21"/>
        </w:rPr>
      </w:pPr>
      <w:r>
        <w:rPr>
          <w:rFonts w:hint="eastAsia" w:eastAsiaTheme="minorEastAsia"/>
          <w:szCs w:val="21"/>
        </w:rPr>
        <w:t>检查方法：观察检查</w:t>
      </w:r>
    </w:p>
    <w:p>
      <w:pPr>
        <w:pStyle w:val="41"/>
        <w:numPr>
          <w:ilvl w:val="0"/>
          <w:numId w:val="27"/>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光伏支架安装应连接牢固</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防腐处理应符合设计要求。</w:t>
      </w:r>
    </w:p>
    <w:p>
      <w:p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检查数量：支架总数的10%，且不应少于3个。</w:t>
      </w:r>
    </w:p>
    <w:p>
      <w:p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检查方法：对照设计要求测量检查和观察检查。</w:t>
      </w:r>
    </w:p>
    <w:p>
      <w:pPr>
        <w:pStyle w:val="41"/>
        <w:numPr>
          <w:ilvl w:val="0"/>
          <w:numId w:val="27"/>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光伏组件安装允许偏差应符合表</w:t>
      </w:r>
      <w:r>
        <w:rPr>
          <w:rFonts w:asciiTheme="minorEastAsia" w:hAnsiTheme="minorEastAsia" w:eastAsiaTheme="minorEastAsia"/>
          <w:szCs w:val="21"/>
        </w:rPr>
        <w:t>4.1.21</w:t>
      </w:r>
      <w:r>
        <w:rPr>
          <w:rFonts w:hint="eastAsia" w:asciiTheme="minorEastAsia" w:hAnsiTheme="minorEastAsia" w:eastAsiaTheme="minorEastAsia"/>
          <w:szCs w:val="21"/>
        </w:rPr>
        <w:t>的规定：</w:t>
      </w:r>
    </w:p>
    <w:p>
      <w:pPr>
        <w:spacing w:line="360" w:lineRule="auto"/>
        <w:ind w:firstLine="212" w:firstLineChars="101"/>
        <w:jc w:val="center"/>
        <w:rPr>
          <w:rFonts w:ascii="黑体" w:hAnsi="黑体" w:eastAsia="黑体"/>
          <w:szCs w:val="21"/>
        </w:rPr>
      </w:pPr>
      <w:r>
        <w:rPr>
          <w:rFonts w:hint="eastAsia" w:ascii="黑体" w:hAnsi="黑体" w:eastAsia="黑体"/>
          <w:szCs w:val="21"/>
        </w:rPr>
        <w:t>表</w:t>
      </w:r>
      <w:r>
        <w:rPr>
          <w:rFonts w:ascii="黑体" w:hAnsi="黑体" w:eastAsia="黑体"/>
          <w:szCs w:val="21"/>
        </w:rPr>
        <w:t xml:space="preserve">4.1.21 </w:t>
      </w:r>
      <w:r>
        <w:rPr>
          <w:rFonts w:hint="eastAsia" w:ascii="黑体" w:hAnsi="黑体" w:eastAsia="黑体"/>
          <w:szCs w:val="21"/>
        </w:rPr>
        <w:t>光伏组件安装允许偏差</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项目</w:t>
            </w:r>
          </w:p>
        </w:tc>
        <w:tc>
          <w:tcPr>
            <w:tcW w:w="3714" w:type="dxa"/>
            <w:gridSpan w:val="2"/>
            <w:vAlign w:val="center"/>
          </w:tcPr>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倾斜角偏差</w:t>
            </w:r>
          </w:p>
        </w:tc>
        <w:tc>
          <w:tcPr>
            <w:tcW w:w="3714" w:type="dxa"/>
            <w:gridSpan w:val="2"/>
            <w:vAlign w:val="center"/>
          </w:tcPr>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hint="eastAsia" w:asciiTheme="minorEastAsia" w:hAnsiTheme="minorEastAsia" w:eastAsiaTheme="minorEastAsia"/>
                <w:color w:val="000000"/>
                <w:sz w:val="18"/>
                <w:szCs w:val="18"/>
              </w:rPr>
              <w:t>1</w:t>
            </w:r>
            <w:r>
              <w:rPr>
                <w:rFonts w:hint="eastAsia" w:cs="仿宋" w:asciiTheme="minorEastAsia" w:hAnsiTheme="minorEastAsia" w:eastAsiaTheme="minorEastAsia"/>
                <w:color w:val="000000"/>
                <w:spacing w:val="0"/>
                <w:w w:val="15"/>
                <w:kern w:val="0"/>
                <w:szCs w:val="21"/>
                <w:fitText w:val="42" w:id="1700926411"/>
              </w:rPr>
              <w:t xml:space="preserve">　 </w:t>
            </w:r>
            <w:r>
              <w:rPr>
                <w:rFonts w:hint="eastAsia" w:cs="仿宋" w:asciiTheme="minorEastAsia" w:hAnsiTheme="minorEastAsia" w:eastAsiaTheme="minorEastAsia"/>
                <w:color w:val="000000"/>
                <w:spacing w:val="-17"/>
                <w:w w:val="15"/>
                <w:kern w:val="0"/>
                <w:szCs w:val="21"/>
                <w:fitText w:val="42" w:id="1700926411"/>
              </w:rPr>
              <w:t>　</w:t>
            </w:r>
            <w:r>
              <w:rPr>
                <w:rFonts w:hint="eastAsia" w:asciiTheme="minorEastAsia" w:hAnsiTheme="minorEastAsia" w:eastAsia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vAlign w:val="center"/>
          </w:tcPr>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光伏组件边缘高度差</w:t>
            </w:r>
          </w:p>
        </w:tc>
        <w:tc>
          <w:tcPr>
            <w:tcW w:w="2130" w:type="dxa"/>
            <w:vAlign w:val="center"/>
          </w:tcPr>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相邻光伏组件间</w:t>
            </w:r>
          </w:p>
        </w:tc>
        <w:tc>
          <w:tcPr>
            <w:tcW w:w="1584" w:type="dxa"/>
            <w:vAlign w:val="center"/>
          </w:tcPr>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hint="eastAsia" w:asciiTheme="minorEastAsia" w:hAnsiTheme="minorEastAsia" w:eastAsiaTheme="minorEastAsia"/>
                <w:color w:val="000000"/>
                <w:sz w:val="18"/>
                <w:szCs w:val="18"/>
              </w:rPr>
              <w:t>2</w:t>
            </w:r>
            <w:r>
              <w:rPr>
                <w:rFonts w:hint="eastAsia" w:cs="仿宋" w:asciiTheme="minorEastAsia" w:hAnsiTheme="minorEastAsia" w:eastAsiaTheme="minorEastAsia"/>
                <w:color w:val="000000"/>
                <w:spacing w:val="0"/>
                <w:w w:val="15"/>
                <w:kern w:val="0"/>
                <w:szCs w:val="21"/>
                <w:fitText w:val="42" w:id="1977362629"/>
              </w:rPr>
              <w:t xml:space="preserve">　 </w:t>
            </w:r>
            <w:r>
              <w:rPr>
                <w:rFonts w:hint="eastAsia" w:cs="仿宋" w:asciiTheme="minorEastAsia" w:hAnsiTheme="minorEastAsia" w:eastAsiaTheme="minorEastAsia"/>
                <w:color w:val="000000"/>
                <w:spacing w:val="-17"/>
                <w:w w:val="15"/>
                <w:kern w:val="0"/>
                <w:szCs w:val="21"/>
                <w:fitText w:val="42" w:id="1977362629"/>
              </w:rPr>
              <w:t>　</w:t>
            </w:r>
            <w:r>
              <w:rPr>
                <w:rFonts w:hint="eastAsia" w:asciiTheme="minorEastAsia" w:hAnsiTheme="minorEastAsia" w:eastAsiaTheme="minorEastAsia"/>
                <w:color w:val="000000"/>
                <w:sz w:val="18"/>
                <w:szCs w:val="18"/>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0" w:type="dxa"/>
            <w:vMerge w:val="continue"/>
            <w:vAlign w:val="center"/>
          </w:tcPr>
          <w:p>
            <w:pPr>
              <w:spacing w:line="360" w:lineRule="auto"/>
              <w:rPr>
                <w:rFonts w:asciiTheme="minorEastAsia" w:hAnsiTheme="minorEastAsia" w:eastAsiaTheme="minorEastAsia"/>
                <w:sz w:val="18"/>
                <w:szCs w:val="18"/>
              </w:rPr>
            </w:pPr>
          </w:p>
        </w:tc>
        <w:tc>
          <w:tcPr>
            <w:tcW w:w="2130" w:type="dxa"/>
            <w:vAlign w:val="center"/>
          </w:tcPr>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同组光伏组件间</w:t>
            </w:r>
          </w:p>
        </w:tc>
        <w:tc>
          <w:tcPr>
            <w:tcW w:w="1584" w:type="dxa"/>
            <w:vAlign w:val="center"/>
          </w:tcPr>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hint="eastAsia" w:asciiTheme="minorEastAsia" w:hAnsiTheme="minorEastAsia" w:eastAsiaTheme="minorEastAsia"/>
                <w:color w:val="000000"/>
                <w:sz w:val="18"/>
                <w:szCs w:val="18"/>
              </w:rPr>
              <w:t>5</w:t>
            </w:r>
            <w:r>
              <w:rPr>
                <w:rFonts w:hint="eastAsia" w:cs="仿宋" w:asciiTheme="minorEastAsia" w:hAnsiTheme="minorEastAsia" w:eastAsiaTheme="minorEastAsia"/>
                <w:color w:val="000000"/>
                <w:spacing w:val="0"/>
                <w:w w:val="15"/>
                <w:kern w:val="0"/>
                <w:szCs w:val="21"/>
                <w:fitText w:val="42" w:id="801182301"/>
              </w:rPr>
              <w:t xml:space="preserve">　 </w:t>
            </w:r>
            <w:r>
              <w:rPr>
                <w:rFonts w:hint="eastAsia" w:cs="仿宋" w:asciiTheme="minorEastAsia" w:hAnsiTheme="minorEastAsia" w:eastAsiaTheme="minorEastAsia"/>
                <w:color w:val="000000"/>
                <w:spacing w:val="-17"/>
                <w:w w:val="15"/>
                <w:kern w:val="0"/>
                <w:szCs w:val="21"/>
                <w:fitText w:val="42" w:id="801182301"/>
              </w:rPr>
              <w:t>　</w:t>
            </w:r>
            <w:r>
              <w:rPr>
                <w:rFonts w:hint="eastAsia" w:asciiTheme="minorEastAsia" w:hAnsiTheme="minorEastAsia" w:eastAsiaTheme="minorEastAsia"/>
                <w:color w:val="000000"/>
                <w:sz w:val="18"/>
                <w:szCs w:val="18"/>
              </w:rPr>
              <w:t>mm</w:t>
            </w:r>
          </w:p>
        </w:tc>
      </w:tr>
    </w:tbl>
    <w:p>
      <w:p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检查数量：光伏组件总数的10%，且不应少于10个。</w:t>
      </w:r>
    </w:p>
    <w:p>
      <w:p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检查方法：测量检查。</w:t>
      </w:r>
    </w:p>
    <w:p>
      <w:pPr>
        <w:pStyle w:val="41"/>
        <w:numPr>
          <w:ilvl w:val="0"/>
          <w:numId w:val="27"/>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光伏组件串、并联方式及标识应符合设计要求。</w:t>
      </w:r>
    </w:p>
    <w:p>
      <w:p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检查数量：光伏组件总数的10%，且不应少于10个。</w:t>
      </w:r>
    </w:p>
    <w:p>
      <w:p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pPr>
        <w:pStyle w:val="41"/>
        <w:numPr>
          <w:ilvl w:val="0"/>
          <w:numId w:val="27"/>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光伏汇流箱标识应齐全，箱体和支架连接应牢固，安装高度和水平度应符合设计要求。</w:t>
      </w:r>
    </w:p>
    <w:p>
      <w:p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p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检查方法：观察检查和测量检查。</w:t>
      </w:r>
    </w:p>
    <w:p>
      <w:pPr>
        <w:pStyle w:val="41"/>
        <w:numPr>
          <w:ilvl w:val="0"/>
          <w:numId w:val="27"/>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光伏逆变器的标签内容应符合要求，应</w:t>
      </w:r>
      <w:r>
        <w:rPr>
          <w:rFonts w:hint="eastAsia" w:asciiTheme="minorEastAsia" w:hAnsiTheme="minorEastAsia" w:eastAsiaTheme="minorEastAsia"/>
          <w:color w:val="000000"/>
          <w:szCs w:val="21"/>
        </w:rPr>
        <w:t>标明</w:t>
      </w:r>
      <w:r>
        <w:rPr>
          <w:rFonts w:hint="eastAsia" w:asciiTheme="minorEastAsia" w:hAnsiTheme="minorEastAsia" w:eastAsiaTheme="minorEastAsia"/>
          <w:szCs w:val="21"/>
        </w:rPr>
        <w:t>负载的连接点和极性，安装高度和水平度应符合设计要求。</w:t>
      </w:r>
    </w:p>
    <w:p>
      <w:p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p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检查方法：观察检查和测量检查。</w:t>
      </w:r>
    </w:p>
    <w:p>
      <w:pPr>
        <w:pStyle w:val="3"/>
        <w:numPr>
          <w:ilvl w:val="0"/>
          <w:numId w:val="0"/>
        </w:numPr>
        <w:spacing w:before="120" w:beforeLines="50" w:after="120" w:afterLines="50" w:line="360" w:lineRule="auto"/>
        <w:jc w:val="center"/>
        <w:rPr>
          <w:rFonts w:ascii="宋体" w:hAnsi="宋体" w:eastAsia="宋体" w:cs="宋体"/>
          <w:sz w:val="24"/>
          <w:szCs w:val="24"/>
        </w:rPr>
      </w:pPr>
      <w:bookmarkStart w:id="80" w:name="_Toc136868035"/>
      <w:bookmarkStart w:id="81" w:name="_Toc137216229"/>
      <w:bookmarkStart w:id="82" w:name="_Toc136869070"/>
      <w:r>
        <w:rPr>
          <w:rFonts w:hint="eastAsia" w:ascii="宋体" w:hAnsi="宋体" w:eastAsia="宋体" w:cs="宋体"/>
          <w:sz w:val="24"/>
          <w:szCs w:val="24"/>
        </w:rPr>
        <w:t>4</w:t>
      </w:r>
      <w:r>
        <w:rPr>
          <w:rFonts w:ascii="宋体" w:hAnsi="宋体" w:eastAsia="宋体" w:cs="宋体"/>
          <w:sz w:val="24"/>
          <w:szCs w:val="24"/>
        </w:rPr>
        <w:t xml:space="preserve">.2 </w:t>
      </w:r>
      <w:r>
        <w:rPr>
          <w:rFonts w:hint="eastAsia" w:ascii="宋体" w:hAnsi="宋体" w:eastAsia="宋体" w:cs="宋体"/>
          <w:sz w:val="24"/>
          <w:szCs w:val="24"/>
        </w:rPr>
        <w:t>成套配电柜、控制柜（台、箱）和配电箱（盘）安装</w:t>
      </w:r>
      <w:bookmarkEnd w:id="80"/>
      <w:bookmarkEnd w:id="81"/>
      <w:bookmarkEnd w:id="82"/>
    </w:p>
    <w:p>
      <w:pPr>
        <w:pStyle w:val="4"/>
        <w:numPr>
          <w:ilvl w:val="0"/>
          <w:numId w:val="35"/>
        </w:numPr>
        <w:spacing w:before="120" w:beforeLines="50" w:after="120" w:afterLines="50"/>
      </w:pPr>
      <w:r>
        <w:rPr>
          <w:rFonts w:hint="eastAsia"/>
        </w:rPr>
        <w:t xml:space="preserve"> 主控项目</w:t>
      </w:r>
    </w:p>
    <w:p>
      <w:pPr>
        <w:pStyle w:val="41"/>
        <w:numPr>
          <w:ilvl w:val="0"/>
          <w:numId w:val="36"/>
        </w:numPr>
        <w:spacing w:line="360" w:lineRule="auto"/>
        <w:ind w:left="0" w:firstLine="0" w:firstLineChars="0"/>
        <w:rPr>
          <w:rFonts w:cs="宋体" w:asciiTheme="minorEastAsia" w:hAnsiTheme="minorEastAsia" w:eastAsiaTheme="minorEastAsia"/>
          <w:szCs w:val="21"/>
        </w:rPr>
      </w:pPr>
      <w:r>
        <w:rPr>
          <w:rFonts w:cs="宋体" w:asciiTheme="minorEastAsia" w:hAnsiTheme="minorEastAsia" w:eastAsiaTheme="minorEastAsia"/>
          <w:szCs w:val="21"/>
        </w:rPr>
        <w:t>柜、台、箱的金属框架及基础型钢应与保护导体可靠连接；对于装有电器的可开启门，门和金属框架的接地端子间应选用截面积不小于</w:t>
      </w:r>
      <w:r>
        <w:rPr>
          <w:rFonts w:hint="eastAsia" w:cs="宋体" w:asciiTheme="minorEastAsia" w:hAnsiTheme="minorEastAsia" w:eastAsiaTheme="minorEastAsia"/>
          <w:color w:val="000000"/>
          <w:szCs w:val="21"/>
        </w:rPr>
        <w:t>4</w:t>
      </w:r>
      <w:r>
        <w:rPr>
          <w:rFonts w:hint="eastAsia" w:cs="仿宋" w:asciiTheme="minorEastAsia" w:hAnsiTheme="minorEastAsia" w:eastAsiaTheme="minorEastAsia"/>
          <w:color w:val="000000"/>
          <w:spacing w:val="0"/>
          <w:w w:val="15"/>
          <w:kern w:val="0"/>
          <w:szCs w:val="21"/>
          <w:fitText w:val="42" w:id="10355379"/>
        </w:rPr>
        <w:t xml:space="preserve">　 </w:t>
      </w:r>
      <w:r>
        <w:rPr>
          <w:rFonts w:hint="eastAsia" w:cs="仿宋" w:asciiTheme="minorEastAsia" w:hAnsiTheme="minorEastAsia" w:eastAsiaTheme="minorEastAsia"/>
          <w:color w:val="000000"/>
          <w:spacing w:val="-17"/>
          <w:w w:val="15"/>
          <w:kern w:val="0"/>
          <w:szCs w:val="21"/>
          <w:fitText w:val="42" w:id="10355379"/>
        </w:rPr>
        <w:t>　</w:t>
      </w:r>
      <w:r>
        <w:rPr>
          <w:rFonts w:hint="eastAsia" w:cs="宋体" w:asciiTheme="minorEastAsia" w:hAnsiTheme="minorEastAsia" w:eastAsiaTheme="minorEastAsia"/>
          <w:color w:val="000000"/>
          <w:szCs w:val="21"/>
        </w:rPr>
        <w:t>m</w:t>
      </w:r>
      <w:r>
        <w:rPr>
          <w:rFonts w:cs="宋体" w:asciiTheme="minorEastAsia" w:hAnsiTheme="minorEastAsia" w:eastAsiaTheme="minorEastAsia"/>
          <w:color w:val="000000"/>
          <w:szCs w:val="21"/>
        </w:rPr>
        <w:t>m</w:t>
      </w:r>
      <w:r>
        <w:rPr>
          <w:rFonts w:cs="宋体" w:asciiTheme="minorEastAsia" w:hAnsiTheme="minorEastAsia" w:eastAsiaTheme="minorEastAsia"/>
          <w:color w:val="000000"/>
          <w:szCs w:val="21"/>
          <w:vertAlign w:val="superscript"/>
        </w:rPr>
        <w:t>2</w:t>
      </w:r>
      <w:r>
        <w:rPr>
          <w:rFonts w:cs="宋体" w:asciiTheme="minorEastAsia" w:hAnsiTheme="minorEastAsia" w:eastAsiaTheme="minorEastAsia"/>
          <w:szCs w:val="21"/>
        </w:rPr>
        <w:t>的黄绿色绝缘铜芯软导线连接，并应有标识。</w:t>
      </w:r>
    </w:p>
    <w:p>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检查数量：全数检查。</w:t>
      </w:r>
    </w:p>
    <w:p>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检查方法：观察检查。</w:t>
      </w:r>
    </w:p>
    <w:p>
      <w:pPr>
        <w:pStyle w:val="41"/>
        <w:numPr>
          <w:ilvl w:val="0"/>
          <w:numId w:val="36"/>
        </w:numPr>
        <w:spacing w:line="360" w:lineRule="auto"/>
        <w:ind w:left="0" w:firstLine="0" w:firstLineChars="0"/>
        <w:rPr>
          <w:rFonts w:cs="宋体" w:asciiTheme="minorEastAsia" w:hAnsiTheme="minorEastAsia" w:eastAsiaTheme="minorEastAsia"/>
          <w:szCs w:val="21"/>
        </w:rPr>
      </w:pPr>
      <w:r>
        <w:rPr>
          <w:rFonts w:cs="宋体" w:asciiTheme="minorEastAsia" w:hAnsiTheme="minorEastAsia" w:eastAsiaTheme="minorEastAsia"/>
          <w:szCs w:val="21"/>
        </w:rPr>
        <w:t>柜、台、箱、盘等配电装置应有可靠的防电击保护；装置内保护接地导体</w:t>
      </w:r>
      <w:r>
        <w:rPr>
          <w:rFonts w:hint="eastAsia" w:cs="宋体" w:asciiTheme="minorEastAsia" w:hAnsiTheme="minorEastAsia" w:eastAsiaTheme="minorEastAsia"/>
          <w:color w:val="000000"/>
          <w:szCs w:val="21"/>
        </w:rPr>
        <w:t>（</w:t>
      </w:r>
      <w:r>
        <w:rPr>
          <w:rFonts w:cs="宋体" w:asciiTheme="minorEastAsia" w:hAnsiTheme="minorEastAsia" w:eastAsiaTheme="minorEastAsia"/>
          <w:szCs w:val="21"/>
        </w:rPr>
        <w:t>PE</w:t>
      </w:r>
      <w:r>
        <w:rPr>
          <w:rFonts w:hint="eastAsia" w:cs="宋体" w:asciiTheme="minorEastAsia" w:hAnsiTheme="minorEastAsia" w:eastAsiaTheme="minorEastAsia"/>
          <w:color w:val="000000"/>
          <w:szCs w:val="21"/>
        </w:rPr>
        <w:t>）</w:t>
      </w:r>
      <w:r>
        <w:rPr>
          <w:rFonts w:cs="宋体" w:asciiTheme="minorEastAsia" w:hAnsiTheme="minorEastAsia" w:eastAsiaTheme="minorEastAsia"/>
          <w:szCs w:val="21"/>
        </w:rPr>
        <w:t>排应有裸露的连接外部保护接地导体的端子，并应可靠连接。当设计未做要求时，连接导体最小截面积应符合现行国家标准《低压配电设计规范》GB 50054的规定。</w:t>
      </w:r>
    </w:p>
    <w:p>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检查数量：全数检查。</w:t>
      </w:r>
    </w:p>
    <w:p>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检查方法：观察检查并采用力矩扳手检查。</w:t>
      </w:r>
    </w:p>
    <w:p>
      <w:pPr>
        <w:pStyle w:val="41"/>
        <w:numPr>
          <w:ilvl w:val="0"/>
          <w:numId w:val="36"/>
        </w:numPr>
        <w:spacing w:line="360" w:lineRule="auto"/>
        <w:ind w:left="0"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手车、抽屉式成套配电柜推拉应灵活，无卡阻碰撞现象。动触头与静触头的中心线应一致，且触头接触应紧密，投入时，接地触头应先于主触头接触；退出时，接地触头应后于主触头脱开。</w:t>
      </w:r>
    </w:p>
    <w:p>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检查数量：全数检查。</w:t>
      </w:r>
    </w:p>
    <w:p>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检查方法：观察检查。</w:t>
      </w:r>
    </w:p>
    <w:p>
      <w:pPr>
        <w:pStyle w:val="41"/>
        <w:numPr>
          <w:ilvl w:val="0"/>
          <w:numId w:val="36"/>
        </w:numPr>
        <w:spacing w:line="360" w:lineRule="auto"/>
        <w:ind w:left="0" w:firstLine="0" w:firstLineChars="0"/>
        <w:rPr>
          <w:rFonts w:cs="宋体" w:asciiTheme="minorEastAsia" w:hAnsiTheme="minorEastAsia" w:eastAsiaTheme="minorEastAsia"/>
          <w:szCs w:val="21"/>
        </w:rPr>
      </w:pPr>
      <w:r>
        <w:rPr>
          <w:rFonts w:cs="宋体" w:asciiTheme="minorEastAsia" w:hAnsiTheme="minorEastAsia" w:eastAsiaTheme="minorEastAsia"/>
          <w:szCs w:val="21"/>
        </w:rPr>
        <w:t>高压成套配电柜应按本规范第3.1.6条的规定进行交接试验，并应合格，且应符合下列规定</w:t>
      </w:r>
      <w:r>
        <w:rPr>
          <w:rFonts w:hint="eastAsia" w:cs="宋体" w:asciiTheme="minorEastAsia" w:hAnsiTheme="minorEastAsia" w:eastAsiaTheme="minorEastAsia"/>
          <w:szCs w:val="21"/>
        </w:rPr>
        <w:t>：</w:t>
      </w:r>
    </w:p>
    <w:p>
      <w:pPr>
        <w:pStyle w:val="41"/>
        <w:numPr>
          <w:ilvl w:val="1"/>
          <w:numId w:val="37"/>
        </w:numPr>
        <w:spacing w:line="360" w:lineRule="auto"/>
        <w:ind w:firstLine="424" w:firstLineChars="202"/>
        <w:rPr>
          <w:rFonts w:cs="宋体" w:asciiTheme="minorEastAsia" w:hAnsiTheme="minorEastAsia" w:eastAsiaTheme="minorEastAsia"/>
          <w:szCs w:val="21"/>
        </w:rPr>
      </w:pPr>
      <w:r>
        <w:rPr>
          <w:rFonts w:cs="宋体" w:asciiTheme="minorEastAsia" w:hAnsiTheme="minorEastAsia" w:eastAsiaTheme="minorEastAsia"/>
          <w:szCs w:val="21"/>
        </w:rPr>
        <w:t>继电保护元器件、逻辑元件、变送器和控制用计算机等单体校验应合格，整组试验动作应正确，整定参数应符合设计要求；</w:t>
      </w:r>
    </w:p>
    <w:p>
      <w:pPr>
        <w:pStyle w:val="41"/>
        <w:numPr>
          <w:ilvl w:val="1"/>
          <w:numId w:val="37"/>
        </w:numPr>
        <w:spacing w:line="360" w:lineRule="auto"/>
        <w:ind w:firstLine="424" w:firstLineChars="202"/>
        <w:rPr>
          <w:rFonts w:cs="宋体" w:asciiTheme="minorEastAsia" w:hAnsiTheme="minorEastAsia" w:eastAsiaTheme="minorEastAsia"/>
          <w:szCs w:val="21"/>
        </w:rPr>
      </w:pPr>
      <w:r>
        <w:rPr>
          <w:rFonts w:cs="宋体" w:asciiTheme="minorEastAsia" w:hAnsiTheme="minorEastAsia" w:eastAsiaTheme="minorEastAsia"/>
          <w:szCs w:val="21"/>
        </w:rPr>
        <w:t>新型高压电气设备和继电保护装置投入使用前，应按产品技术文件要求进行交接试验。</w:t>
      </w:r>
    </w:p>
    <w:p>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检查数量：全数检查。</w:t>
      </w:r>
    </w:p>
    <w:p>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检查方法：模拟试验检查或查阅交接试验记录。</w:t>
      </w:r>
    </w:p>
    <w:p>
      <w:pPr>
        <w:pStyle w:val="41"/>
        <w:numPr>
          <w:ilvl w:val="0"/>
          <w:numId w:val="36"/>
        </w:numPr>
        <w:spacing w:line="360" w:lineRule="auto"/>
        <w:ind w:left="0"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低压成套配电柜交接试验应符合本规范第</w:t>
      </w:r>
      <w:r>
        <w:rPr>
          <w:rFonts w:cs="宋体" w:asciiTheme="minorEastAsia" w:hAnsiTheme="minorEastAsia" w:eastAsiaTheme="minorEastAsia"/>
          <w:szCs w:val="21"/>
        </w:rPr>
        <w:t>4</w:t>
      </w:r>
      <w:r>
        <w:rPr>
          <w:rFonts w:hint="eastAsia" w:cs="宋体" w:asciiTheme="minorEastAsia" w:hAnsiTheme="minorEastAsia" w:eastAsiaTheme="minorEastAsia"/>
          <w:szCs w:val="21"/>
        </w:rPr>
        <w:t>.</w:t>
      </w:r>
      <w:r>
        <w:rPr>
          <w:rFonts w:cs="宋体" w:asciiTheme="minorEastAsia" w:hAnsiTheme="minorEastAsia" w:eastAsiaTheme="minorEastAsia"/>
          <w:szCs w:val="21"/>
        </w:rPr>
        <w:t>1.7</w:t>
      </w:r>
      <w:r>
        <w:rPr>
          <w:rFonts w:hint="eastAsia" w:cs="宋体" w:asciiTheme="minorEastAsia" w:hAnsiTheme="minorEastAsia" w:eastAsiaTheme="minorEastAsia"/>
          <w:szCs w:val="21"/>
        </w:rPr>
        <w:t>第</w:t>
      </w:r>
      <w:r>
        <w:rPr>
          <w:rFonts w:cs="宋体" w:asciiTheme="minorEastAsia" w:hAnsiTheme="minorEastAsia" w:eastAsiaTheme="minorEastAsia"/>
          <w:szCs w:val="21"/>
        </w:rPr>
        <w:t>4</w:t>
      </w:r>
      <w:r>
        <w:rPr>
          <w:rFonts w:hint="eastAsia" w:cs="宋体" w:asciiTheme="minorEastAsia" w:hAnsiTheme="minorEastAsia" w:eastAsiaTheme="minorEastAsia"/>
          <w:szCs w:val="21"/>
        </w:rPr>
        <w:t>款的规定。</w:t>
      </w:r>
    </w:p>
    <w:p>
      <w:pPr>
        <w:widowControl/>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检查数量：全数检查。</w:t>
      </w:r>
    </w:p>
    <w:p>
      <w:pPr>
        <w:widowControl/>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检查方法：用绝缘电阻测试仪测试、试验时观察检查或查阅交接试验记录。</w:t>
      </w:r>
    </w:p>
    <w:p>
      <w:pPr>
        <w:pStyle w:val="41"/>
        <w:numPr>
          <w:ilvl w:val="0"/>
          <w:numId w:val="36"/>
        </w:numPr>
        <w:spacing w:line="360" w:lineRule="auto"/>
        <w:ind w:left="0" w:firstLine="0" w:firstLineChars="0"/>
        <w:rPr>
          <w:rFonts w:cs="宋体" w:asciiTheme="minorEastAsia" w:hAnsiTheme="minorEastAsia" w:eastAsiaTheme="minorEastAsia"/>
          <w:szCs w:val="21"/>
        </w:rPr>
      </w:pPr>
      <w:r>
        <w:rPr>
          <w:rFonts w:cs="宋体" w:asciiTheme="minorEastAsia" w:hAnsiTheme="minorEastAsia" w:eastAsiaTheme="minorEastAsia"/>
          <w:szCs w:val="21"/>
        </w:rPr>
        <w:t>对于低压成套配电柜、箱及控制柜</w:t>
      </w:r>
      <w:r>
        <w:rPr>
          <w:rFonts w:hint="eastAsia" w:cs="宋体" w:asciiTheme="minorEastAsia" w:hAnsiTheme="minorEastAsia" w:eastAsiaTheme="minorEastAsia"/>
          <w:color w:val="000000"/>
          <w:szCs w:val="21"/>
        </w:rPr>
        <w:t>（</w:t>
      </w:r>
      <w:r>
        <w:rPr>
          <w:rFonts w:cs="宋体" w:asciiTheme="minorEastAsia" w:hAnsiTheme="minorEastAsia" w:eastAsiaTheme="minorEastAsia"/>
          <w:szCs w:val="21"/>
        </w:rPr>
        <w:t>台、箱</w:t>
      </w:r>
      <w:r>
        <w:rPr>
          <w:rFonts w:hint="eastAsia" w:cs="宋体" w:asciiTheme="minorEastAsia" w:hAnsiTheme="minorEastAsia" w:eastAsiaTheme="minorEastAsia"/>
          <w:color w:val="000000"/>
          <w:szCs w:val="21"/>
        </w:rPr>
        <w:t>）</w:t>
      </w:r>
      <w:r>
        <w:rPr>
          <w:rFonts w:cs="宋体" w:asciiTheme="minorEastAsia" w:hAnsiTheme="minorEastAsia" w:eastAsiaTheme="minorEastAsia"/>
          <w:szCs w:val="21"/>
        </w:rPr>
        <w:t>间线路的线间和线对地间绝缘电阻值，馈电线路不应小于</w:t>
      </w:r>
      <w:r>
        <w:rPr>
          <w:rFonts w:cs="宋体" w:asciiTheme="minorEastAsia" w:hAnsiTheme="minorEastAsia" w:eastAsiaTheme="minorEastAsia"/>
          <w:color w:val="000000"/>
          <w:szCs w:val="21"/>
        </w:rPr>
        <w:t>0.</w:t>
      </w:r>
      <w:r>
        <w:rPr>
          <w:rFonts w:hint="eastAsia" w:cs="宋体" w:asciiTheme="minorEastAsia" w:hAnsiTheme="minorEastAsia" w:eastAsiaTheme="minorEastAsia"/>
          <w:color w:val="000000"/>
          <w:szCs w:val="21"/>
        </w:rPr>
        <w:t>5</w:t>
      </w:r>
      <w:r>
        <w:rPr>
          <w:rFonts w:hint="eastAsia" w:cs="仿宋" w:asciiTheme="minorEastAsia" w:hAnsiTheme="minorEastAsia" w:eastAsiaTheme="minorEastAsia"/>
          <w:color w:val="000000"/>
          <w:spacing w:val="0"/>
          <w:w w:val="15"/>
          <w:kern w:val="0"/>
          <w:szCs w:val="21"/>
          <w:fitText w:val="42" w:id="142089493"/>
        </w:rPr>
        <w:t xml:space="preserve">　 </w:t>
      </w:r>
      <w:r>
        <w:rPr>
          <w:rFonts w:hint="eastAsia" w:cs="仿宋" w:asciiTheme="minorEastAsia" w:hAnsiTheme="minorEastAsia" w:eastAsiaTheme="minorEastAsia"/>
          <w:color w:val="000000"/>
          <w:spacing w:val="-17"/>
          <w:w w:val="15"/>
          <w:kern w:val="0"/>
          <w:szCs w:val="21"/>
          <w:fitText w:val="42" w:id="142089493"/>
        </w:rPr>
        <w:t>　</w:t>
      </w:r>
      <w:r>
        <w:rPr>
          <w:rFonts w:hint="eastAsia" w:cs="宋体" w:asciiTheme="minorEastAsia" w:hAnsiTheme="minorEastAsia" w:eastAsiaTheme="minorEastAsia"/>
          <w:color w:val="000000"/>
          <w:szCs w:val="21"/>
        </w:rPr>
        <w:t>M</w:t>
      </w:r>
      <w:r>
        <w:rPr>
          <w:rFonts w:cs="宋体" w:asciiTheme="minorEastAsia" w:hAnsiTheme="minorEastAsia" w:eastAsiaTheme="minorEastAsia"/>
          <w:color w:val="000000"/>
          <w:szCs w:val="21"/>
        </w:rPr>
        <w:t>Ω</w:t>
      </w:r>
      <w:r>
        <w:rPr>
          <w:rFonts w:cs="宋体" w:asciiTheme="minorEastAsia" w:hAnsiTheme="minorEastAsia" w:eastAsiaTheme="minorEastAsia"/>
          <w:szCs w:val="21"/>
        </w:rPr>
        <w:t>，二次回路不应小于</w:t>
      </w:r>
      <w:r>
        <w:rPr>
          <w:rFonts w:hint="eastAsia" w:cs="宋体" w:asciiTheme="minorEastAsia" w:hAnsiTheme="minorEastAsia" w:eastAsiaTheme="minorEastAsia"/>
          <w:color w:val="000000"/>
          <w:szCs w:val="21"/>
        </w:rPr>
        <w:t>1 M</w:t>
      </w:r>
      <w:r>
        <w:rPr>
          <w:rFonts w:cs="宋体" w:asciiTheme="minorEastAsia" w:hAnsiTheme="minorEastAsia" w:eastAsiaTheme="minorEastAsia"/>
          <w:color w:val="000000"/>
          <w:szCs w:val="21"/>
        </w:rPr>
        <w:t>Ω</w:t>
      </w:r>
      <w:r>
        <w:rPr>
          <w:rFonts w:cs="宋体" w:asciiTheme="minorEastAsia" w:hAnsiTheme="minorEastAsia" w:eastAsiaTheme="minorEastAsia"/>
          <w:szCs w:val="21"/>
        </w:rPr>
        <w:t>；二次回路的耐压试验电压应为</w:t>
      </w:r>
      <w:r>
        <w:rPr>
          <w:rFonts w:hint="eastAsia" w:cs="宋体" w:asciiTheme="minorEastAsia" w:hAnsiTheme="minorEastAsia" w:eastAsiaTheme="minorEastAsia"/>
          <w:color w:val="000000"/>
          <w:szCs w:val="21"/>
        </w:rPr>
        <w:t>1000 V</w:t>
      </w:r>
      <w:r>
        <w:rPr>
          <w:rFonts w:cs="宋体" w:asciiTheme="minorEastAsia" w:hAnsiTheme="minorEastAsia" w:eastAsiaTheme="minorEastAsia"/>
          <w:szCs w:val="21"/>
        </w:rPr>
        <w:t>，当回路绝缘电阻值大于</w:t>
      </w:r>
      <w:r>
        <w:rPr>
          <w:rFonts w:hint="eastAsia" w:cs="宋体" w:asciiTheme="minorEastAsia" w:hAnsiTheme="minorEastAsia" w:eastAsiaTheme="minorEastAsia"/>
          <w:color w:val="000000"/>
          <w:szCs w:val="21"/>
        </w:rPr>
        <w:t>10</w:t>
      </w:r>
      <w:r>
        <w:rPr>
          <w:rFonts w:hint="eastAsia" w:cs="仿宋" w:asciiTheme="minorEastAsia" w:hAnsiTheme="minorEastAsia" w:eastAsiaTheme="minorEastAsia"/>
          <w:color w:val="000000"/>
          <w:spacing w:val="0"/>
          <w:w w:val="15"/>
          <w:kern w:val="0"/>
          <w:szCs w:val="21"/>
          <w:fitText w:val="42" w:id="1024132016"/>
        </w:rPr>
        <w:t xml:space="preserve">　 </w:t>
      </w:r>
      <w:r>
        <w:rPr>
          <w:rFonts w:hint="eastAsia" w:cs="仿宋" w:asciiTheme="minorEastAsia" w:hAnsiTheme="minorEastAsia" w:eastAsiaTheme="minorEastAsia"/>
          <w:color w:val="000000"/>
          <w:spacing w:val="-17"/>
          <w:w w:val="15"/>
          <w:kern w:val="0"/>
          <w:szCs w:val="21"/>
          <w:fitText w:val="42" w:id="1024132016"/>
        </w:rPr>
        <w:t>　</w:t>
      </w:r>
      <w:r>
        <w:rPr>
          <w:rFonts w:hint="eastAsia" w:cs="宋体" w:asciiTheme="minorEastAsia" w:hAnsiTheme="minorEastAsia" w:eastAsiaTheme="minorEastAsia"/>
          <w:color w:val="000000"/>
          <w:szCs w:val="21"/>
        </w:rPr>
        <w:t>M</w:t>
      </w:r>
      <w:r>
        <w:rPr>
          <w:rFonts w:cs="宋体" w:asciiTheme="minorEastAsia" w:hAnsiTheme="minorEastAsia" w:eastAsiaTheme="minorEastAsia"/>
          <w:color w:val="000000"/>
          <w:szCs w:val="21"/>
        </w:rPr>
        <w:t>Ω</w:t>
      </w:r>
      <w:r>
        <w:rPr>
          <w:rFonts w:cs="宋体" w:asciiTheme="minorEastAsia" w:hAnsiTheme="minorEastAsia" w:eastAsiaTheme="minorEastAsia"/>
          <w:szCs w:val="21"/>
        </w:rPr>
        <w:t>时，应采用</w:t>
      </w:r>
      <w:r>
        <w:rPr>
          <w:rFonts w:hint="eastAsia" w:cs="宋体" w:asciiTheme="minorEastAsia" w:hAnsiTheme="minorEastAsia" w:eastAsiaTheme="minorEastAsia"/>
          <w:color w:val="000000"/>
          <w:szCs w:val="21"/>
        </w:rPr>
        <w:t>2500 V</w:t>
      </w:r>
      <w:r>
        <w:rPr>
          <w:rFonts w:cs="宋体" w:asciiTheme="minorEastAsia" w:hAnsiTheme="minorEastAsia" w:eastAsiaTheme="minorEastAsia"/>
          <w:szCs w:val="21"/>
        </w:rPr>
        <w:t>兆欧表代替，试验持续时间应为</w:t>
      </w:r>
      <w:r>
        <w:rPr>
          <w:rFonts w:hint="eastAsia" w:cs="宋体" w:asciiTheme="minorEastAsia" w:hAnsiTheme="minorEastAsia" w:eastAsiaTheme="minorEastAsia"/>
          <w:color w:val="000000"/>
          <w:szCs w:val="21"/>
        </w:rPr>
        <w:t>1</w:t>
      </w:r>
      <w:r>
        <w:rPr>
          <w:rFonts w:hint="eastAsia" w:cs="仿宋" w:asciiTheme="minorEastAsia" w:hAnsiTheme="minorEastAsia" w:eastAsiaTheme="minorEastAsia"/>
          <w:color w:val="000000"/>
          <w:spacing w:val="0"/>
          <w:w w:val="15"/>
          <w:kern w:val="0"/>
          <w:szCs w:val="21"/>
          <w:fitText w:val="42" w:id="1811757834"/>
        </w:rPr>
        <w:t xml:space="preserve">　 </w:t>
      </w:r>
      <w:r>
        <w:rPr>
          <w:rFonts w:hint="eastAsia" w:cs="仿宋" w:asciiTheme="minorEastAsia" w:hAnsiTheme="minorEastAsia" w:eastAsiaTheme="minorEastAsia"/>
          <w:color w:val="000000"/>
          <w:spacing w:val="-17"/>
          <w:w w:val="15"/>
          <w:kern w:val="0"/>
          <w:szCs w:val="21"/>
          <w:fitText w:val="42" w:id="1811757834"/>
        </w:rPr>
        <w:t>　</w:t>
      </w:r>
      <w:r>
        <w:rPr>
          <w:rFonts w:hint="eastAsia" w:cs="宋体" w:asciiTheme="minorEastAsia" w:hAnsiTheme="minorEastAsia" w:eastAsiaTheme="minorEastAsia"/>
          <w:color w:val="000000"/>
          <w:szCs w:val="21"/>
        </w:rPr>
        <w:t>m</w:t>
      </w:r>
      <w:r>
        <w:rPr>
          <w:rFonts w:cs="宋体" w:asciiTheme="minorEastAsia" w:hAnsiTheme="minorEastAsia" w:eastAsiaTheme="minorEastAsia"/>
          <w:color w:val="000000"/>
          <w:szCs w:val="21"/>
        </w:rPr>
        <w:t>in</w:t>
      </w:r>
      <w:r>
        <w:rPr>
          <w:rFonts w:cs="宋体" w:asciiTheme="minorEastAsia" w:hAnsiTheme="minorEastAsia" w:eastAsiaTheme="minorEastAsia"/>
          <w:szCs w:val="21"/>
        </w:rPr>
        <w:t>或符合产品技术文件要求。</w:t>
      </w:r>
    </w:p>
    <w:p>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检查数量：按每个检验批的配线回路数量抽查20</w:t>
      </w:r>
      <w:r>
        <w:rPr>
          <w:rFonts w:hint="eastAsia" w:cs="宋体" w:asciiTheme="minorEastAsia" w:hAnsiTheme="minorEastAsia" w:eastAsiaTheme="minorEastAsia"/>
          <w:color w:val="000000"/>
          <w:szCs w:val="21"/>
        </w:rPr>
        <w:t>%</w:t>
      </w:r>
      <w:r>
        <w:rPr>
          <w:rFonts w:cs="宋体" w:asciiTheme="minorEastAsia" w:hAnsiTheme="minorEastAsia" w:eastAsiaTheme="minorEastAsia"/>
          <w:szCs w:val="21"/>
        </w:rPr>
        <w:t>，且不得少于1个回路</w:t>
      </w:r>
      <w:r>
        <w:rPr>
          <w:rFonts w:hint="eastAsia" w:cs="宋体" w:asciiTheme="minorEastAsia" w:hAnsiTheme="minorEastAsia" w:eastAsiaTheme="minorEastAsia"/>
          <w:szCs w:val="21"/>
        </w:rPr>
        <w:t>。</w:t>
      </w:r>
    </w:p>
    <w:p>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检查方法：用绝缘电阻测试仪测试或试验、测试时观察检查或查阅绝缘电阻测试记录。</w:t>
      </w:r>
    </w:p>
    <w:p>
      <w:pPr>
        <w:pStyle w:val="41"/>
        <w:numPr>
          <w:ilvl w:val="0"/>
          <w:numId w:val="36"/>
        </w:numPr>
        <w:spacing w:line="360" w:lineRule="auto"/>
        <w:ind w:left="0" w:firstLine="0" w:firstLineChars="0"/>
        <w:rPr>
          <w:rFonts w:cs="宋体" w:asciiTheme="minorEastAsia" w:hAnsiTheme="minorEastAsia" w:eastAsiaTheme="minorEastAsia"/>
          <w:szCs w:val="21"/>
        </w:rPr>
      </w:pPr>
      <w:r>
        <w:rPr>
          <w:rFonts w:cs="宋体" w:asciiTheme="minorEastAsia" w:hAnsiTheme="minorEastAsia" w:eastAsiaTheme="minorEastAsia"/>
          <w:szCs w:val="21"/>
        </w:rPr>
        <w:t>直流柜试验时，应将屏内电子器件从线路上退出，主回路线间和线对地间绝缘电阻值不应小于</w:t>
      </w:r>
      <w:r>
        <w:rPr>
          <w:rFonts w:cs="宋体" w:asciiTheme="minorEastAsia" w:hAnsiTheme="minorEastAsia" w:eastAsiaTheme="minorEastAsia"/>
          <w:color w:val="000000"/>
          <w:szCs w:val="21"/>
        </w:rPr>
        <w:t>0.</w:t>
      </w:r>
      <w:r>
        <w:rPr>
          <w:rFonts w:hint="eastAsia" w:cs="宋体" w:asciiTheme="minorEastAsia" w:hAnsiTheme="minorEastAsia" w:eastAsiaTheme="minorEastAsia"/>
          <w:color w:val="000000"/>
          <w:szCs w:val="21"/>
        </w:rPr>
        <w:t>5</w:t>
      </w:r>
      <w:r>
        <w:rPr>
          <w:rFonts w:hint="eastAsia" w:cs="仿宋" w:asciiTheme="minorEastAsia" w:hAnsiTheme="minorEastAsia" w:eastAsiaTheme="minorEastAsia"/>
          <w:color w:val="000000"/>
          <w:spacing w:val="0"/>
          <w:w w:val="15"/>
          <w:kern w:val="0"/>
          <w:szCs w:val="21"/>
          <w:fitText w:val="42" w:id="600537425"/>
        </w:rPr>
        <w:t xml:space="preserve">　 </w:t>
      </w:r>
      <w:r>
        <w:rPr>
          <w:rFonts w:hint="eastAsia" w:cs="仿宋" w:asciiTheme="minorEastAsia" w:hAnsiTheme="minorEastAsia" w:eastAsiaTheme="minorEastAsia"/>
          <w:color w:val="000000"/>
          <w:spacing w:val="-17"/>
          <w:w w:val="15"/>
          <w:kern w:val="0"/>
          <w:szCs w:val="21"/>
          <w:fitText w:val="42" w:id="600537425"/>
        </w:rPr>
        <w:t>　</w:t>
      </w:r>
      <w:r>
        <w:rPr>
          <w:rFonts w:hint="eastAsia" w:cs="宋体" w:asciiTheme="minorEastAsia" w:hAnsiTheme="minorEastAsia" w:eastAsiaTheme="minorEastAsia"/>
          <w:color w:val="000000"/>
          <w:szCs w:val="21"/>
        </w:rPr>
        <w:t>M</w:t>
      </w:r>
      <w:r>
        <w:rPr>
          <w:rFonts w:cs="宋体" w:asciiTheme="minorEastAsia" w:hAnsiTheme="minorEastAsia" w:eastAsiaTheme="minorEastAsia"/>
          <w:color w:val="000000"/>
          <w:szCs w:val="21"/>
        </w:rPr>
        <w:t>Ω</w:t>
      </w:r>
      <w:r>
        <w:rPr>
          <w:rFonts w:cs="宋体" w:asciiTheme="minorEastAsia" w:hAnsiTheme="minorEastAsia" w:eastAsiaTheme="minorEastAsia"/>
          <w:szCs w:val="21"/>
        </w:rPr>
        <w:t>，直流屏所附蓄电池组的充、放电应符合产品技术文件要求；整流器的控制调整和输出特性试验应符合产品技术文件要求</w:t>
      </w:r>
      <w:r>
        <w:rPr>
          <w:rFonts w:hint="eastAsia" w:cs="宋体" w:asciiTheme="minorEastAsia" w:hAnsiTheme="minorEastAsia" w:eastAsiaTheme="minorEastAsia"/>
          <w:szCs w:val="21"/>
        </w:rPr>
        <w:t>。</w:t>
      </w:r>
    </w:p>
    <w:p>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检查数量：全数检查</w:t>
      </w:r>
      <w:r>
        <w:rPr>
          <w:rFonts w:hint="eastAsia" w:cs="宋体" w:asciiTheme="minorEastAsia" w:hAnsiTheme="minorEastAsia" w:eastAsiaTheme="minorEastAsia"/>
          <w:szCs w:val="21"/>
        </w:rPr>
        <w:t>。</w:t>
      </w:r>
    </w:p>
    <w:p>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检查方法：用绝缘电阻测试仪测试，调整试验时观察检查或查阅试验记录。</w:t>
      </w:r>
    </w:p>
    <w:p>
      <w:pPr>
        <w:pStyle w:val="41"/>
        <w:numPr>
          <w:ilvl w:val="0"/>
          <w:numId w:val="36"/>
        </w:numPr>
        <w:spacing w:line="360" w:lineRule="auto"/>
        <w:ind w:left="0"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低压成套配电柜和配电箱</w:t>
      </w:r>
      <w:r>
        <w:rPr>
          <w:rFonts w:hint="eastAsia" w:cs="宋体" w:asciiTheme="minorEastAsia" w:hAnsiTheme="minorEastAsia" w:eastAsiaTheme="minorEastAsia"/>
          <w:color w:val="000000"/>
          <w:szCs w:val="21"/>
        </w:rPr>
        <w:t>（</w:t>
      </w:r>
      <w:r>
        <w:rPr>
          <w:rFonts w:cs="宋体" w:asciiTheme="minorEastAsia" w:hAnsiTheme="minorEastAsia" w:eastAsiaTheme="minorEastAsia"/>
          <w:szCs w:val="21"/>
        </w:rPr>
        <w:t>盘</w:t>
      </w:r>
      <w:r>
        <w:rPr>
          <w:rFonts w:hint="eastAsia" w:cs="宋体" w:asciiTheme="minorEastAsia" w:hAnsiTheme="minorEastAsia" w:eastAsiaTheme="minorEastAsia"/>
          <w:color w:val="000000"/>
          <w:szCs w:val="21"/>
        </w:rPr>
        <w:t>）</w:t>
      </w:r>
      <w:r>
        <w:rPr>
          <w:rFonts w:cs="宋体" w:asciiTheme="minorEastAsia" w:hAnsiTheme="minorEastAsia" w:eastAsiaTheme="minorEastAsia"/>
          <w:szCs w:val="21"/>
        </w:rPr>
        <w:t>内末端用电回路中，所设过电流保护电器兼作故障防护时，应在回路末端测量接地故障回路阻抗，且回路阻抗应满足下</w:t>
      </w:r>
      <w:r>
        <w:rPr>
          <w:rFonts w:cs="宋体" w:asciiTheme="minorEastAsia" w:hAnsiTheme="minorEastAsia" w:eastAsiaTheme="minorEastAsia"/>
          <w:color w:val="000000"/>
          <w:szCs w:val="21"/>
        </w:rPr>
        <w:t>式</w:t>
      </w:r>
      <w:r>
        <w:rPr>
          <w:rFonts w:cs="宋体" w:asciiTheme="minorEastAsia" w:hAnsiTheme="minorEastAsia" w:eastAsiaTheme="minorEastAsia"/>
          <w:szCs w:val="21"/>
        </w:rPr>
        <w:t>要求：</w:t>
      </w:r>
    </w:p>
    <w:p>
      <w:pPr>
        <w:widowControl/>
        <w:spacing w:line="360" w:lineRule="auto"/>
        <w:ind w:firstLine="420" w:firstLineChars="200"/>
        <w:jc w:val="right"/>
        <w:rPr>
          <w:rFonts w:cs="宋体" w:asciiTheme="minorEastAsia" w:hAnsiTheme="minorEastAsia" w:eastAsiaTheme="minorEastAsia"/>
          <w:szCs w:val="21"/>
        </w:rPr>
      </w:pPr>
      <w:r>
        <w:rPr>
          <w:rFonts w:cs="宋体" w:asciiTheme="minorEastAsia" w:hAnsiTheme="minorEastAsia" w:eastAsiaTheme="minorEastAsia"/>
          <w:szCs w:val="21"/>
        </w:rPr>
        <w:t xml:space="preserve"> </w:t>
      </w:r>
      <m:oMath>
        <m:sSub>
          <m:sSubPr>
            <m:ctrlPr>
              <w:rPr>
                <w:rFonts w:ascii="Cambria Math" w:cs="宋体" w:hAnsiTheme="minorEastAsia" w:eastAsiaTheme="minorEastAsia"/>
                <w:sz w:val="24"/>
              </w:rPr>
            </m:ctrlPr>
          </m:sSubPr>
          <m:e>
            <m:r>
              <m:rPr>
                <m:sty m:val="p"/>
              </m:rPr>
              <w:rPr>
                <w:rFonts w:ascii="Cambria Math" w:hAnsi="Cambria Math" w:cs="宋体" w:eastAsiaTheme="minorEastAsia"/>
                <w:sz w:val="24"/>
              </w:rPr>
              <m:t>Z</m:t>
            </m:r>
            <m:ctrlPr>
              <w:rPr>
                <w:rFonts w:ascii="Cambria Math" w:cs="宋体" w:hAnsiTheme="minorEastAsia" w:eastAsiaTheme="minorEastAsia"/>
                <w:sz w:val="24"/>
              </w:rPr>
            </m:ctrlPr>
          </m:e>
          <m:sub>
            <m:r>
              <m:rPr>
                <m:sty m:val="p"/>
              </m:rPr>
              <w:rPr>
                <w:rFonts w:ascii="Cambria Math" w:hAnsi="Cambria Math" w:cs="宋体" w:eastAsiaTheme="minorEastAsia"/>
                <w:sz w:val="24"/>
              </w:rPr>
              <m:t>s</m:t>
            </m:r>
            <m:ctrlPr>
              <w:rPr>
                <w:rFonts w:ascii="Cambria Math" w:cs="宋体" w:hAnsiTheme="minorEastAsia" w:eastAsiaTheme="minorEastAsia"/>
                <w:sz w:val="24"/>
              </w:rPr>
            </m:ctrlPr>
          </m:sub>
        </m:sSub>
        <m:r>
          <m:rPr>
            <m:sty m:val="p"/>
          </m:rPr>
          <w:rPr>
            <w:rFonts w:ascii="Cambria Math" w:cs="宋体" w:hAnsiTheme="minorEastAsia" w:eastAsiaTheme="minorEastAsia"/>
            <w:sz w:val="24"/>
          </w:rPr>
          <m:t>(</m:t>
        </m:r>
        <m:r>
          <m:rPr>
            <m:sty m:val="p"/>
          </m:rPr>
          <w:rPr>
            <w:rFonts w:hint="eastAsia" w:ascii="Cambria Math" w:hAnsi="Cambria Math" w:cs="宋体" w:eastAsiaTheme="minorEastAsia"/>
            <w:sz w:val="24"/>
          </w:rPr>
          <m:t>m</m:t>
        </m:r>
        <m:r>
          <m:rPr>
            <m:sty m:val="p"/>
          </m:rPr>
          <w:rPr>
            <w:rFonts w:ascii="Cambria Math" w:cs="宋体" w:hAnsiTheme="minorEastAsia" w:eastAsiaTheme="minorEastAsia"/>
            <w:sz w:val="24"/>
          </w:rPr>
          <m:t>)</m:t>
        </m:r>
        <m:r>
          <m:rPr>
            <m:sty m:val="p"/>
          </m:rPr>
          <w:rPr>
            <w:rFonts w:ascii="Cambria Math" w:hAnsi="Cambria Math" w:cs="宋体" w:eastAsiaTheme="minorEastAsia"/>
            <w:sz w:val="24"/>
          </w:rPr>
          <m:t>≤</m:t>
        </m:r>
        <m:f>
          <m:fPr>
            <m:ctrlPr>
              <w:rPr>
                <w:rFonts w:ascii="Cambria Math" w:cs="宋体" w:hAnsiTheme="minorEastAsia" w:eastAsiaTheme="minorEastAsia"/>
                <w:sz w:val="24"/>
              </w:rPr>
            </m:ctrlPr>
          </m:fPr>
          <m:num>
            <m:r>
              <m:rPr>
                <m:sty m:val="p"/>
              </m:rPr>
              <w:rPr>
                <w:rFonts w:ascii="Cambria Math" w:cs="宋体" w:hAnsiTheme="minorEastAsia" w:eastAsiaTheme="minorEastAsia"/>
                <w:sz w:val="24"/>
              </w:rPr>
              <m:t>2</m:t>
            </m:r>
            <m:ctrlPr>
              <w:rPr>
                <w:rFonts w:ascii="Cambria Math" w:cs="宋体" w:hAnsiTheme="minorEastAsia" w:eastAsiaTheme="minorEastAsia"/>
                <w:sz w:val="24"/>
              </w:rPr>
            </m:ctrlPr>
          </m:num>
          <m:den>
            <m:r>
              <m:rPr>
                <m:sty m:val="p"/>
              </m:rPr>
              <w:rPr>
                <w:rFonts w:ascii="Cambria Math" w:cs="宋体" w:hAnsiTheme="minorEastAsia" w:eastAsiaTheme="minorEastAsia"/>
                <w:sz w:val="24"/>
              </w:rPr>
              <m:t>3</m:t>
            </m:r>
            <m:ctrlPr>
              <w:rPr>
                <w:rFonts w:ascii="Cambria Math" w:cs="宋体" w:hAnsiTheme="minorEastAsia" w:eastAsiaTheme="minorEastAsia"/>
                <w:sz w:val="24"/>
              </w:rPr>
            </m:ctrlPr>
          </m:den>
        </m:f>
        <m:r>
          <m:rPr>
            <m:sty m:val="p"/>
          </m:rPr>
          <w:rPr>
            <w:rFonts w:ascii="Cambria Math" w:hAnsi="Cambria Math" w:cs="宋体" w:eastAsiaTheme="minorEastAsia"/>
            <w:sz w:val="24"/>
          </w:rPr>
          <m:t>×</m:t>
        </m:r>
        <m:f>
          <m:fPr>
            <m:ctrlPr>
              <w:rPr>
                <w:rFonts w:ascii="Cambria Math" w:cs="宋体" w:hAnsiTheme="minorEastAsia" w:eastAsiaTheme="minorEastAsia"/>
                <w:sz w:val="24"/>
              </w:rPr>
            </m:ctrlPr>
          </m:fPr>
          <m:num>
            <m:sSub>
              <m:sSubPr>
                <m:ctrlPr>
                  <w:rPr>
                    <w:rFonts w:ascii="Cambria Math" w:cs="宋体" w:hAnsiTheme="minorEastAsia" w:eastAsiaTheme="minorEastAsia"/>
                    <w:sz w:val="24"/>
                  </w:rPr>
                </m:ctrlPr>
              </m:sSubPr>
              <m:e>
                <m:r>
                  <m:rPr>
                    <m:sty m:val="p"/>
                  </m:rPr>
                  <w:rPr>
                    <w:rFonts w:ascii="Cambria Math" w:hAnsi="Cambria Math" w:cs="宋体" w:eastAsiaTheme="minorEastAsia"/>
                    <w:sz w:val="24"/>
                  </w:rPr>
                  <m:t>U</m:t>
                </m:r>
                <m:ctrlPr>
                  <w:rPr>
                    <w:rFonts w:ascii="Cambria Math" w:cs="宋体" w:hAnsiTheme="minorEastAsia" w:eastAsiaTheme="minorEastAsia"/>
                    <w:sz w:val="24"/>
                  </w:rPr>
                </m:ctrlPr>
              </m:e>
              <m:sub>
                <m:r>
                  <m:rPr>
                    <m:sty m:val="p"/>
                  </m:rPr>
                  <w:rPr>
                    <w:rFonts w:ascii="Cambria Math" w:cs="宋体" w:hAnsiTheme="minorEastAsia" w:eastAsiaTheme="minorEastAsia"/>
                    <w:sz w:val="24"/>
                  </w:rPr>
                  <m:t>0</m:t>
                </m:r>
                <m:ctrlPr>
                  <w:rPr>
                    <w:rFonts w:ascii="Cambria Math" w:cs="宋体" w:hAnsiTheme="minorEastAsia" w:eastAsiaTheme="minorEastAsia"/>
                    <w:sz w:val="24"/>
                  </w:rPr>
                </m:ctrlPr>
              </m:sub>
            </m:sSub>
            <m:ctrlPr>
              <w:rPr>
                <w:rFonts w:ascii="Cambria Math" w:cs="宋体" w:hAnsiTheme="minorEastAsia" w:eastAsiaTheme="minorEastAsia"/>
                <w:sz w:val="24"/>
              </w:rPr>
            </m:ctrlPr>
          </m:num>
          <m:den>
            <m:sSub>
              <m:sSubPr>
                <m:ctrlPr>
                  <w:rPr>
                    <w:rFonts w:ascii="Cambria Math" w:cs="宋体" w:hAnsiTheme="minorEastAsia" w:eastAsiaTheme="minorEastAsia"/>
                    <w:sz w:val="24"/>
                  </w:rPr>
                </m:ctrlPr>
              </m:sSubPr>
              <m:e>
                <m:r>
                  <m:rPr>
                    <m:sty m:val="p"/>
                  </m:rPr>
                  <w:rPr>
                    <w:rFonts w:ascii="Cambria Math" w:hAnsi="Cambria Math" w:cs="宋体" w:eastAsiaTheme="minorEastAsia"/>
                    <w:sz w:val="24"/>
                  </w:rPr>
                  <m:t>I</m:t>
                </m:r>
                <m:ctrlPr>
                  <w:rPr>
                    <w:rFonts w:ascii="Cambria Math" w:cs="宋体" w:hAnsiTheme="minorEastAsia" w:eastAsiaTheme="minorEastAsia"/>
                    <w:sz w:val="24"/>
                  </w:rPr>
                </m:ctrlPr>
              </m:e>
              <m:sub>
                <m:r>
                  <m:rPr>
                    <m:sty m:val="p"/>
                  </m:rPr>
                  <w:rPr>
                    <w:rFonts w:ascii="Cambria Math" w:cs="宋体" w:hAnsiTheme="minorEastAsia" w:eastAsiaTheme="minorEastAsia"/>
                    <w:sz w:val="24"/>
                  </w:rPr>
                  <m:t>a</m:t>
                </m:r>
                <m:ctrlPr>
                  <w:rPr>
                    <w:rFonts w:ascii="Cambria Math" w:cs="宋体" w:hAnsiTheme="minorEastAsia" w:eastAsiaTheme="minorEastAsia"/>
                    <w:sz w:val="24"/>
                  </w:rPr>
                </m:ctrlPr>
              </m:sub>
            </m:sSub>
            <m:ctrlPr>
              <w:rPr>
                <w:rFonts w:ascii="Cambria Math" w:cs="宋体" w:hAnsiTheme="minorEastAsia" w:eastAsiaTheme="minorEastAsia"/>
                <w:sz w:val="24"/>
              </w:rPr>
            </m:ctrlPr>
          </m:den>
        </m:f>
      </m:oMath>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（4</w:t>
      </w:r>
      <w:r>
        <w:rPr>
          <w:rFonts w:cs="宋体" w:asciiTheme="minorEastAsia" w:hAnsiTheme="minorEastAsia" w:eastAsiaTheme="minorEastAsia"/>
          <w:szCs w:val="21"/>
        </w:rPr>
        <w:t>.2.8</w:t>
      </w:r>
      <w:r>
        <w:rPr>
          <w:rFonts w:hint="eastAsia" w:cs="宋体" w:asciiTheme="minorEastAsia" w:hAnsiTheme="minorEastAsia" w:eastAsiaTheme="minorEastAsia"/>
          <w:szCs w:val="21"/>
        </w:rPr>
        <w:t>）</w:t>
      </w:r>
    </w:p>
    <w:p>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式中：Zs</w:t>
      </w:r>
      <w:r>
        <w:rPr>
          <w:rFonts w:hint="eastAsia" w:cs="宋体" w:asciiTheme="minorEastAsia" w:hAnsiTheme="minorEastAsia" w:eastAsiaTheme="minorEastAsia"/>
          <w:szCs w:val="21"/>
        </w:rPr>
        <w:t>（</w:t>
      </w:r>
      <w:r>
        <w:rPr>
          <w:rFonts w:cs="宋体" w:asciiTheme="minorEastAsia" w:hAnsiTheme="minorEastAsia" w:eastAsiaTheme="minorEastAsia"/>
          <w:szCs w:val="21"/>
        </w:rPr>
        <w:t>m</w:t>
      </w:r>
      <w:r>
        <w:rPr>
          <w:rFonts w:hint="eastAsia" w:cs="宋体" w:asciiTheme="minorEastAsia" w:hAnsiTheme="minorEastAsia" w:eastAsiaTheme="minorEastAsia"/>
          <w:szCs w:val="21"/>
        </w:rPr>
        <w:t>）</w:t>
      </w:r>
      <w:r>
        <w:rPr>
          <w:rFonts w:cs="宋体" w:asciiTheme="minorEastAsia" w:hAnsiTheme="minorEastAsia" w:eastAsiaTheme="minorEastAsia"/>
          <w:szCs w:val="21"/>
        </w:rPr>
        <w:t>——实测接地故障回路阻抗</w:t>
      </w:r>
      <w:r>
        <w:rPr>
          <w:rFonts w:hint="eastAsia" w:cs="宋体" w:asciiTheme="minorEastAsia" w:hAnsiTheme="minorEastAsia" w:eastAsiaTheme="minorEastAsia"/>
          <w:szCs w:val="21"/>
        </w:rPr>
        <w:t>（</w:t>
      </w:r>
      <w:r>
        <w:rPr>
          <w:rFonts w:cs="宋体" w:asciiTheme="minorEastAsia" w:hAnsiTheme="minorEastAsia" w:eastAsiaTheme="minorEastAsia"/>
          <w:szCs w:val="21"/>
        </w:rPr>
        <w:t>Ω</w:t>
      </w:r>
      <w:r>
        <w:rPr>
          <w:rFonts w:hint="eastAsia" w:cs="宋体" w:asciiTheme="minorEastAsia" w:hAnsiTheme="minorEastAsia" w:eastAsiaTheme="minorEastAsia"/>
          <w:szCs w:val="21"/>
        </w:rPr>
        <w:t>）；</w:t>
      </w:r>
    </w:p>
    <w:p>
      <w:pPr>
        <w:widowControl/>
        <w:spacing w:line="360" w:lineRule="auto"/>
        <w:ind w:firstLine="630" w:firstLineChars="300"/>
        <w:jc w:val="left"/>
        <w:rPr>
          <w:rFonts w:cs="宋体" w:asciiTheme="minorEastAsia" w:hAnsiTheme="minorEastAsia" w:eastAsiaTheme="minorEastAsia"/>
          <w:szCs w:val="21"/>
        </w:rPr>
      </w:pPr>
      <w:r>
        <w:rPr>
          <w:rFonts w:cs="宋体" w:asciiTheme="minorEastAsia" w:hAnsiTheme="minorEastAsia" w:eastAsiaTheme="minorEastAsia"/>
          <w:szCs w:val="21"/>
        </w:rPr>
        <w:t>U</w:t>
      </w:r>
      <w:r>
        <w:rPr>
          <w:rFonts w:cs="宋体" w:asciiTheme="minorEastAsia" w:hAnsiTheme="minorEastAsia" w:eastAsiaTheme="minorEastAsia"/>
          <w:szCs w:val="21"/>
          <w:vertAlign w:val="subscript"/>
        </w:rPr>
        <w:t>O</w:t>
      </w:r>
      <w:r>
        <w:rPr>
          <w:rFonts w:cs="宋体" w:asciiTheme="minorEastAsia" w:hAnsiTheme="minorEastAsia" w:eastAsiaTheme="minorEastAsia"/>
          <w:szCs w:val="21"/>
        </w:rPr>
        <w:t>——相导体对接地的中性导体的电压</w:t>
      </w:r>
      <w:r>
        <w:rPr>
          <w:rFonts w:hint="eastAsia" w:cs="宋体" w:asciiTheme="minorEastAsia" w:hAnsiTheme="minorEastAsia" w:eastAsiaTheme="minorEastAsia"/>
          <w:color w:val="000000"/>
          <w:szCs w:val="21"/>
        </w:rPr>
        <w:t>（</w:t>
      </w:r>
      <w:r>
        <w:rPr>
          <w:rFonts w:cs="宋体" w:asciiTheme="minorEastAsia" w:hAnsiTheme="minorEastAsia" w:eastAsiaTheme="minorEastAsia"/>
          <w:szCs w:val="21"/>
        </w:rPr>
        <w:t>V</w:t>
      </w:r>
      <w:r>
        <w:rPr>
          <w:rFonts w:hint="eastAsia" w:cs="宋体" w:asciiTheme="minorEastAsia" w:hAnsiTheme="minorEastAsia" w:eastAsiaTheme="minorEastAsia"/>
          <w:color w:val="000000"/>
          <w:szCs w:val="21"/>
        </w:rPr>
        <w:t>）</w:t>
      </w:r>
      <w:r>
        <w:rPr>
          <w:rFonts w:cs="宋体" w:asciiTheme="minorEastAsia" w:hAnsiTheme="minorEastAsia" w:eastAsiaTheme="minorEastAsia"/>
          <w:szCs w:val="21"/>
        </w:rPr>
        <w:t>；</w:t>
      </w:r>
    </w:p>
    <w:p>
      <w:pPr>
        <w:widowControl/>
        <w:spacing w:line="360" w:lineRule="auto"/>
        <w:ind w:firstLine="630" w:firstLineChars="300"/>
        <w:jc w:val="left"/>
        <w:rPr>
          <w:rFonts w:cs="宋体" w:asciiTheme="minorEastAsia" w:hAnsiTheme="minorEastAsia" w:eastAsiaTheme="minorEastAsia"/>
          <w:szCs w:val="21"/>
        </w:rPr>
      </w:pPr>
      <w:r>
        <w:rPr>
          <w:rFonts w:cs="宋体" w:asciiTheme="minorEastAsia" w:hAnsiTheme="minorEastAsia" w:eastAsiaTheme="minorEastAsia"/>
          <w:szCs w:val="21"/>
        </w:rPr>
        <w:t>Ia——保护电器在规定时间内切断故障回路的动作电流</w:t>
      </w:r>
      <w:r>
        <w:rPr>
          <w:rFonts w:hint="eastAsia" w:cs="宋体" w:asciiTheme="minorEastAsia" w:hAnsiTheme="minorEastAsia" w:eastAsiaTheme="minorEastAsia"/>
          <w:color w:val="000000"/>
          <w:szCs w:val="21"/>
        </w:rPr>
        <w:t>（</w:t>
      </w:r>
      <w:r>
        <w:rPr>
          <w:rFonts w:cs="宋体" w:asciiTheme="minorEastAsia" w:hAnsiTheme="minorEastAsia" w:eastAsiaTheme="minorEastAsia"/>
          <w:szCs w:val="21"/>
        </w:rPr>
        <w:t>A</w:t>
      </w:r>
      <w:r>
        <w:rPr>
          <w:rFonts w:hint="eastAsia" w:cs="宋体" w:asciiTheme="minorEastAsia" w:hAnsiTheme="minorEastAsia" w:eastAsiaTheme="minorEastAsia"/>
          <w:szCs w:val="21"/>
        </w:rPr>
        <w:t>）</w:t>
      </w:r>
      <w:r>
        <w:rPr>
          <w:rFonts w:cs="宋体" w:asciiTheme="minorEastAsia" w:hAnsiTheme="minorEastAsia" w:eastAsiaTheme="minorEastAsia"/>
          <w:szCs w:val="21"/>
        </w:rPr>
        <w:t>。</w:t>
      </w:r>
    </w:p>
    <w:p>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检查数量：按末级配电箱</w:t>
      </w:r>
      <w:r>
        <w:rPr>
          <w:rFonts w:hint="eastAsia" w:cs="宋体" w:asciiTheme="minorEastAsia" w:hAnsiTheme="minorEastAsia" w:eastAsiaTheme="minorEastAsia"/>
          <w:color w:val="000000"/>
          <w:szCs w:val="21"/>
        </w:rPr>
        <w:t>（</w:t>
      </w:r>
      <w:r>
        <w:rPr>
          <w:rFonts w:cs="宋体" w:asciiTheme="minorEastAsia" w:hAnsiTheme="minorEastAsia" w:eastAsiaTheme="minorEastAsia"/>
          <w:szCs w:val="21"/>
        </w:rPr>
        <w:t>盘、柜</w:t>
      </w:r>
      <w:r>
        <w:rPr>
          <w:rFonts w:hint="eastAsia" w:cs="宋体" w:asciiTheme="minorEastAsia" w:hAnsiTheme="minorEastAsia" w:eastAsiaTheme="minorEastAsia"/>
          <w:color w:val="000000"/>
          <w:szCs w:val="21"/>
        </w:rPr>
        <w:t>）</w:t>
      </w:r>
      <w:r>
        <w:rPr>
          <w:rFonts w:cs="宋体" w:asciiTheme="minorEastAsia" w:hAnsiTheme="minorEastAsia" w:eastAsiaTheme="minorEastAsia"/>
          <w:szCs w:val="21"/>
        </w:rPr>
        <w:t>总数量抽查20</w:t>
      </w:r>
      <w:r>
        <w:rPr>
          <w:rFonts w:hint="eastAsia" w:cs="宋体" w:asciiTheme="minorEastAsia" w:hAnsiTheme="minorEastAsia" w:eastAsiaTheme="minorEastAsia"/>
          <w:color w:val="000000"/>
          <w:szCs w:val="21"/>
        </w:rPr>
        <w:t>%</w:t>
      </w:r>
      <w:r>
        <w:rPr>
          <w:rFonts w:cs="宋体" w:asciiTheme="minorEastAsia" w:hAnsiTheme="minorEastAsia" w:eastAsiaTheme="minorEastAsia"/>
          <w:szCs w:val="21"/>
        </w:rPr>
        <w:t>，每个被抽查的末级配电箱至少应抽查1个回路，且不应少于1个末级配电箱。</w:t>
      </w:r>
    </w:p>
    <w:p>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检查方法：仪表测试并查阅试验记录。</w:t>
      </w:r>
    </w:p>
    <w:p>
      <w:pPr>
        <w:pStyle w:val="41"/>
        <w:numPr>
          <w:ilvl w:val="0"/>
          <w:numId w:val="36"/>
        </w:numPr>
        <w:spacing w:line="360" w:lineRule="auto"/>
        <w:ind w:left="0" w:firstLine="0" w:firstLineChars="0"/>
        <w:rPr>
          <w:rFonts w:cs="宋体" w:asciiTheme="minorEastAsia" w:hAnsiTheme="minorEastAsia" w:eastAsiaTheme="minorEastAsia"/>
          <w:szCs w:val="21"/>
        </w:rPr>
      </w:pPr>
      <w:r>
        <w:rPr>
          <w:rFonts w:cs="宋体" w:asciiTheme="minorEastAsia" w:hAnsiTheme="minorEastAsia" w:eastAsiaTheme="minorEastAsia"/>
          <w:szCs w:val="21"/>
        </w:rPr>
        <w:t>配电箱</w:t>
      </w:r>
      <w:r>
        <w:rPr>
          <w:rFonts w:hint="eastAsia" w:cs="宋体" w:asciiTheme="minorEastAsia" w:hAnsiTheme="minorEastAsia" w:eastAsiaTheme="minorEastAsia"/>
          <w:color w:val="000000"/>
          <w:szCs w:val="21"/>
        </w:rPr>
        <w:t>（</w:t>
      </w:r>
      <w:r>
        <w:rPr>
          <w:rFonts w:cs="宋体" w:asciiTheme="minorEastAsia" w:hAnsiTheme="minorEastAsia" w:eastAsiaTheme="minorEastAsia"/>
          <w:szCs w:val="21"/>
        </w:rPr>
        <w:t>盘</w:t>
      </w:r>
      <w:r>
        <w:rPr>
          <w:rFonts w:hint="eastAsia" w:cs="宋体" w:asciiTheme="minorEastAsia" w:hAnsiTheme="minorEastAsia" w:eastAsiaTheme="minorEastAsia"/>
          <w:color w:val="000000"/>
          <w:szCs w:val="21"/>
        </w:rPr>
        <w:t>）</w:t>
      </w:r>
      <w:r>
        <w:rPr>
          <w:rFonts w:cs="宋体" w:asciiTheme="minorEastAsia" w:hAnsiTheme="minorEastAsia" w:eastAsiaTheme="minorEastAsia"/>
          <w:szCs w:val="21"/>
        </w:rPr>
        <w:t>内的剩余电流动作保护器</w:t>
      </w:r>
      <w:r>
        <w:rPr>
          <w:rFonts w:hint="eastAsia" w:cs="宋体" w:asciiTheme="minorEastAsia" w:hAnsiTheme="minorEastAsia" w:eastAsiaTheme="minorEastAsia"/>
          <w:color w:val="000000"/>
          <w:szCs w:val="21"/>
        </w:rPr>
        <w:t>（</w:t>
      </w:r>
      <w:r>
        <w:rPr>
          <w:rFonts w:cs="宋体" w:asciiTheme="minorEastAsia" w:hAnsiTheme="minorEastAsia" w:eastAsiaTheme="minorEastAsia"/>
          <w:szCs w:val="21"/>
        </w:rPr>
        <w:t>RCD</w:t>
      </w:r>
      <w:r>
        <w:rPr>
          <w:rFonts w:hint="eastAsia" w:cs="宋体" w:asciiTheme="minorEastAsia" w:hAnsiTheme="minorEastAsia" w:eastAsiaTheme="minorEastAsia"/>
          <w:color w:val="000000"/>
          <w:szCs w:val="21"/>
        </w:rPr>
        <w:t>）</w:t>
      </w:r>
      <w:r>
        <w:rPr>
          <w:rFonts w:cs="宋体" w:asciiTheme="minorEastAsia" w:hAnsiTheme="minorEastAsia" w:eastAsiaTheme="minorEastAsia"/>
          <w:szCs w:val="21"/>
        </w:rPr>
        <w:t>应在施加额定剩余动作电流</w:t>
      </w:r>
      <w:r>
        <w:rPr>
          <w:rFonts w:hint="eastAsia" w:cs="宋体" w:asciiTheme="minorEastAsia" w:hAnsiTheme="minorEastAsia" w:eastAsiaTheme="minorEastAsia"/>
          <w:color w:val="000000"/>
          <w:szCs w:val="21"/>
        </w:rPr>
        <w:t>（</w:t>
      </w:r>
      <w:r>
        <w:rPr>
          <w:rFonts w:cs="宋体" w:asciiTheme="minorEastAsia" w:hAnsiTheme="minorEastAsia" w:eastAsiaTheme="minorEastAsia"/>
          <w:color w:val="000000"/>
          <w:szCs w:val="21"/>
        </w:rPr>
        <w:t>I△n</w:t>
      </w:r>
      <w:r>
        <w:rPr>
          <w:rFonts w:hint="eastAsia" w:cs="宋体" w:asciiTheme="minorEastAsia" w:hAnsiTheme="minorEastAsia" w:eastAsiaTheme="minorEastAsia"/>
          <w:color w:val="000000"/>
          <w:szCs w:val="21"/>
        </w:rPr>
        <w:t>）</w:t>
      </w:r>
      <w:r>
        <w:rPr>
          <w:rFonts w:cs="宋体" w:asciiTheme="minorEastAsia" w:hAnsiTheme="minorEastAsia" w:eastAsiaTheme="minorEastAsia"/>
          <w:szCs w:val="21"/>
        </w:rPr>
        <w:t>的情况下测试动作时间，且测试值应符合设计要求。</w:t>
      </w:r>
    </w:p>
    <w:p>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检查数量：每个配电箱</w:t>
      </w:r>
      <w:r>
        <w:rPr>
          <w:rFonts w:hint="eastAsia" w:cs="宋体" w:asciiTheme="minorEastAsia" w:hAnsiTheme="minorEastAsia" w:eastAsiaTheme="minorEastAsia"/>
          <w:color w:val="000000"/>
          <w:szCs w:val="21"/>
        </w:rPr>
        <w:t>（</w:t>
      </w:r>
      <w:r>
        <w:rPr>
          <w:rFonts w:cs="宋体" w:asciiTheme="minorEastAsia" w:hAnsiTheme="minorEastAsia" w:eastAsiaTheme="minorEastAsia"/>
          <w:szCs w:val="21"/>
        </w:rPr>
        <w:t>盘</w:t>
      </w:r>
      <w:r>
        <w:rPr>
          <w:rFonts w:hint="eastAsia" w:cs="宋体" w:asciiTheme="minorEastAsia" w:hAnsiTheme="minorEastAsia" w:eastAsiaTheme="minorEastAsia"/>
          <w:color w:val="000000"/>
          <w:szCs w:val="21"/>
        </w:rPr>
        <w:t>）</w:t>
      </w:r>
      <w:r>
        <w:rPr>
          <w:rFonts w:cs="宋体" w:asciiTheme="minorEastAsia" w:hAnsiTheme="minorEastAsia" w:eastAsiaTheme="minorEastAsia"/>
          <w:szCs w:val="21"/>
        </w:rPr>
        <w:t>不少于1个。</w:t>
      </w:r>
    </w:p>
    <w:p>
      <w:pPr>
        <w:widowControl/>
        <w:spacing w:line="360" w:lineRule="auto"/>
        <w:ind w:firstLine="420" w:firstLineChars="200"/>
        <w:jc w:val="left"/>
        <w:rPr>
          <w:rFonts w:asciiTheme="minorEastAsia" w:hAnsiTheme="minorEastAsia" w:eastAsiaTheme="minorEastAsia"/>
          <w:szCs w:val="21"/>
        </w:rPr>
      </w:pPr>
      <w:r>
        <w:rPr>
          <w:rFonts w:cs="宋体" w:asciiTheme="minorEastAsia" w:hAnsiTheme="minorEastAsia" w:eastAsiaTheme="minorEastAsia"/>
          <w:szCs w:val="21"/>
        </w:rPr>
        <w:t>检查方法：仪表测试并查阅试验记录。</w:t>
      </w:r>
    </w:p>
    <w:p>
      <w:pPr>
        <w:pStyle w:val="41"/>
        <w:numPr>
          <w:ilvl w:val="0"/>
          <w:numId w:val="36"/>
        </w:numPr>
        <w:spacing w:line="360" w:lineRule="auto"/>
        <w:ind w:left="0" w:firstLine="0" w:firstLineChars="0"/>
        <w:rPr>
          <w:rFonts w:cs="宋体" w:asciiTheme="minorEastAsia" w:hAnsiTheme="minorEastAsia" w:eastAsiaTheme="minorEastAsia"/>
          <w:szCs w:val="21"/>
        </w:rPr>
      </w:pPr>
      <w:r>
        <w:rPr>
          <w:rFonts w:cs="宋体" w:asciiTheme="minorEastAsia" w:hAnsiTheme="minorEastAsia" w:eastAsiaTheme="minorEastAsia"/>
          <w:szCs w:val="21"/>
        </w:rPr>
        <w:t>柜、箱、盘内电涌保护器</w:t>
      </w:r>
      <w:r>
        <w:rPr>
          <w:rFonts w:hint="eastAsia" w:cs="宋体" w:asciiTheme="minorEastAsia" w:hAnsiTheme="minorEastAsia" w:eastAsiaTheme="minorEastAsia"/>
          <w:color w:val="000000"/>
          <w:szCs w:val="21"/>
        </w:rPr>
        <w:t>（</w:t>
      </w:r>
      <w:r>
        <w:rPr>
          <w:rFonts w:cs="宋体" w:asciiTheme="minorEastAsia" w:hAnsiTheme="minorEastAsia" w:eastAsiaTheme="minorEastAsia"/>
          <w:szCs w:val="21"/>
        </w:rPr>
        <w:t>SPD</w:t>
      </w:r>
      <w:r>
        <w:rPr>
          <w:rFonts w:hint="eastAsia" w:cs="宋体" w:asciiTheme="minorEastAsia" w:hAnsiTheme="minorEastAsia" w:eastAsiaTheme="minorEastAsia"/>
          <w:color w:val="000000"/>
          <w:szCs w:val="21"/>
        </w:rPr>
        <w:t>）</w:t>
      </w:r>
      <w:r>
        <w:rPr>
          <w:rFonts w:cs="宋体" w:asciiTheme="minorEastAsia" w:hAnsiTheme="minorEastAsia" w:eastAsiaTheme="minorEastAsia"/>
          <w:szCs w:val="21"/>
        </w:rPr>
        <w:t>安装应符合下列规定：</w:t>
      </w:r>
    </w:p>
    <w:p>
      <w:pPr>
        <w:pStyle w:val="41"/>
        <w:numPr>
          <w:ilvl w:val="1"/>
          <w:numId w:val="38"/>
        </w:numPr>
        <w:spacing w:line="360" w:lineRule="auto"/>
        <w:ind w:firstLine="424" w:firstLineChars="202"/>
        <w:rPr>
          <w:rFonts w:cs="宋体" w:asciiTheme="minorEastAsia" w:hAnsiTheme="minorEastAsia" w:eastAsiaTheme="minorEastAsia"/>
          <w:szCs w:val="21"/>
        </w:rPr>
      </w:pPr>
      <w:r>
        <w:rPr>
          <w:rFonts w:cs="宋体" w:asciiTheme="minorEastAsia" w:hAnsiTheme="minorEastAsia" w:eastAsiaTheme="minorEastAsia"/>
          <w:szCs w:val="21"/>
        </w:rPr>
        <w:t>SPD的型号规格及安装布置应符合设计要求</w:t>
      </w:r>
      <w:r>
        <w:rPr>
          <w:rFonts w:hint="eastAsia" w:cs="宋体" w:asciiTheme="minorEastAsia" w:hAnsiTheme="minorEastAsia" w:eastAsiaTheme="minorEastAsia"/>
          <w:szCs w:val="21"/>
        </w:rPr>
        <w:t>；</w:t>
      </w:r>
    </w:p>
    <w:p>
      <w:pPr>
        <w:pStyle w:val="41"/>
        <w:numPr>
          <w:ilvl w:val="1"/>
          <w:numId w:val="38"/>
        </w:numPr>
        <w:spacing w:line="360" w:lineRule="auto"/>
        <w:ind w:firstLine="424" w:firstLineChars="202"/>
        <w:rPr>
          <w:rFonts w:cs="宋体" w:asciiTheme="minorEastAsia" w:hAnsiTheme="minorEastAsia" w:eastAsiaTheme="minorEastAsia"/>
          <w:szCs w:val="21"/>
        </w:rPr>
      </w:pPr>
      <w:r>
        <w:rPr>
          <w:rFonts w:cs="宋体" w:asciiTheme="minorEastAsia" w:hAnsiTheme="minorEastAsia" w:eastAsiaTheme="minorEastAsia"/>
          <w:szCs w:val="21"/>
        </w:rPr>
        <w:t>SPD的接线形式应符合设计要求，接地导线的位置不宜靠近出线位置；</w:t>
      </w:r>
    </w:p>
    <w:p>
      <w:pPr>
        <w:pStyle w:val="41"/>
        <w:numPr>
          <w:ilvl w:val="1"/>
          <w:numId w:val="38"/>
        </w:numPr>
        <w:spacing w:line="360" w:lineRule="auto"/>
        <w:ind w:firstLine="424" w:firstLineChars="202"/>
        <w:rPr>
          <w:rFonts w:cs="宋体" w:asciiTheme="minorEastAsia" w:hAnsiTheme="minorEastAsia" w:eastAsiaTheme="minorEastAsia"/>
          <w:szCs w:val="21"/>
        </w:rPr>
      </w:pPr>
      <w:r>
        <w:rPr>
          <w:rFonts w:cs="宋体" w:asciiTheme="minorEastAsia" w:hAnsiTheme="minorEastAsia" w:eastAsiaTheme="minorEastAsia"/>
          <w:szCs w:val="21"/>
        </w:rPr>
        <w:t>SPD的连接导线应平直、足够短，且不宜大于</w:t>
      </w:r>
      <w:r>
        <w:rPr>
          <w:rFonts w:cs="宋体" w:asciiTheme="minorEastAsia" w:hAnsiTheme="minorEastAsia" w:eastAsiaTheme="minorEastAsia"/>
          <w:color w:val="000000"/>
          <w:szCs w:val="21"/>
        </w:rPr>
        <w:t>0.</w:t>
      </w:r>
      <w:r>
        <w:rPr>
          <w:rFonts w:hint="eastAsia" w:cs="宋体" w:asciiTheme="minorEastAsia" w:hAnsiTheme="minorEastAsia" w:eastAsiaTheme="minorEastAsia"/>
          <w:color w:val="000000"/>
          <w:szCs w:val="21"/>
        </w:rPr>
        <w:t>5</w:t>
      </w:r>
      <w:r>
        <w:rPr>
          <w:rFonts w:hint="eastAsia" w:cs="仿宋" w:asciiTheme="minorEastAsia" w:hAnsiTheme="minorEastAsia" w:eastAsiaTheme="minorEastAsia"/>
          <w:color w:val="000000"/>
          <w:spacing w:val="0"/>
          <w:w w:val="15"/>
          <w:kern w:val="0"/>
          <w:szCs w:val="21"/>
          <w:fitText w:val="42" w:id="1773077850"/>
        </w:rPr>
        <w:t xml:space="preserve">　 </w:t>
      </w:r>
      <w:r>
        <w:rPr>
          <w:rFonts w:hint="eastAsia" w:cs="仿宋" w:asciiTheme="minorEastAsia" w:hAnsiTheme="minorEastAsia" w:eastAsiaTheme="minorEastAsia"/>
          <w:color w:val="000000"/>
          <w:spacing w:val="-17"/>
          <w:w w:val="15"/>
          <w:kern w:val="0"/>
          <w:szCs w:val="21"/>
          <w:fitText w:val="42" w:id="1773077850"/>
        </w:rPr>
        <w:t>　</w:t>
      </w:r>
      <w:r>
        <w:rPr>
          <w:rFonts w:hint="eastAsia" w:cs="宋体" w:asciiTheme="minorEastAsia" w:hAnsiTheme="minorEastAsia" w:eastAsiaTheme="minorEastAsia"/>
          <w:color w:val="000000"/>
          <w:szCs w:val="21"/>
        </w:rPr>
        <w:t>m</w:t>
      </w:r>
      <w:r>
        <w:rPr>
          <w:rFonts w:cs="宋体" w:asciiTheme="minorEastAsia" w:hAnsiTheme="minorEastAsia" w:eastAsiaTheme="minorEastAsia"/>
          <w:szCs w:val="21"/>
        </w:rPr>
        <w:t>。</w:t>
      </w:r>
    </w:p>
    <w:p>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检查数量：按每个检验批电涌保护器</w:t>
      </w:r>
      <w:r>
        <w:rPr>
          <w:rFonts w:hint="eastAsia" w:cs="宋体" w:asciiTheme="minorEastAsia" w:hAnsiTheme="minorEastAsia" w:eastAsiaTheme="minorEastAsia"/>
          <w:color w:val="000000"/>
          <w:szCs w:val="21"/>
        </w:rPr>
        <w:t>（</w:t>
      </w:r>
      <w:r>
        <w:rPr>
          <w:rFonts w:cs="宋体" w:asciiTheme="minorEastAsia" w:hAnsiTheme="minorEastAsia" w:eastAsiaTheme="minorEastAsia"/>
          <w:szCs w:val="21"/>
        </w:rPr>
        <w:t>SPD</w:t>
      </w:r>
      <w:r>
        <w:rPr>
          <w:rFonts w:hint="eastAsia" w:cs="宋体" w:asciiTheme="minorEastAsia" w:hAnsiTheme="minorEastAsia" w:eastAsiaTheme="minorEastAsia"/>
          <w:color w:val="000000"/>
          <w:szCs w:val="21"/>
        </w:rPr>
        <w:t>）</w:t>
      </w:r>
      <w:r>
        <w:rPr>
          <w:rFonts w:cs="宋体" w:asciiTheme="minorEastAsia" w:hAnsiTheme="minorEastAsia" w:eastAsiaTheme="minorEastAsia"/>
          <w:szCs w:val="21"/>
        </w:rPr>
        <w:t>的数量抽查20</w:t>
      </w:r>
      <w:r>
        <w:rPr>
          <w:rFonts w:hint="eastAsia" w:cs="宋体" w:asciiTheme="minorEastAsia" w:hAnsiTheme="minorEastAsia" w:eastAsiaTheme="minorEastAsia"/>
          <w:color w:val="000000"/>
          <w:szCs w:val="21"/>
        </w:rPr>
        <w:t>%</w:t>
      </w:r>
      <w:r>
        <w:rPr>
          <w:rFonts w:cs="宋体" w:asciiTheme="minorEastAsia" w:hAnsiTheme="minorEastAsia" w:eastAsiaTheme="minorEastAsia"/>
          <w:szCs w:val="21"/>
        </w:rPr>
        <w:t>，且不得少于1个。</w:t>
      </w:r>
    </w:p>
    <w:p>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检查方法：观察检查。</w:t>
      </w:r>
    </w:p>
    <w:p>
      <w:pPr>
        <w:pStyle w:val="41"/>
        <w:numPr>
          <w:ilvl w:val="0"/>
          <w:numId w:val="36"/>
        </w:numPr>
        <w:spacing w:line="360" w:lineRule="auto"/>
        <w:ind w:left="0" w:firstLine="0" w:firstLineChars="0"/>
        <w:rPr>
          <w:rFonts w:cs="宋体" w:asciiTheme="minorEastAsia" w:hAnsiTheme="minorEastAsia" w:eastAsiaTheme="minorEastAsia"/>
          <w:szCs w:val="21"/>
        </w:rPr>
      </w:pPr>
      <w:r>
        <w:rPr>
          <w:rFonts w:cs="宋体" w:asciiTheme="minorEastAsia" w:hAnsiTheme="minorEastAsia" w:eastAsiaTheme="minorEastAsia"/>
          <w:szCs w:val="21"/>
        </w:rPr>
        <w:t>IT系统绝缘监测器</w:t>
      </w:r>
      <w:r>
        <w:rPr>
          <w:rFonts w:hint="eastAsia" w:cs="宋体" w:asciiTheme="minorEastAsia" w:hAnsiTheme="minorEastAsia" w:eastAsiaTheme="minorEastAsia"/>
          <w:color w:val="000000"/>
          <w:szCs w:val="21"/>
        </w:rPr>
        <w:t>（</w:t>
      </w:r>
      <w:r>
        <w:rPr>
          <w:rFonts w:cs="宋体" w:asciiTheme="minorEastAsia" w:hAnsiTheme="minorEastAsia" w:eastAsiaTheme="minorEastAsia"/>
          <w:szCs w:val="21"/>
        </w:rPr>
        <w:t>IMD</w:t>
      </w:r>
      <w:r>
        <w:rPr>
          <w:rFonts w:hint="eastAsia" w:cs="宋体" w:asciiTheme="minorEastAsia" w:hAnsiTheme="minorEastAsia" w:eastAsiaTheme="minorEastAsia"/>
          <w:color w:val="000000"/>
          <w:szCs w:val="21"/>
        </w:rPr>
        <w:t>）</w:t>
      </w:r>
      <w:r>
        <w:rPr>
          <w:rFonts w:cs="宋体" w:asciiTheme="minorEastAsia" w:hAnsiTheme="minorEastAsia" w:eastAsiaTheme="minorEastAsia"/>
          <w:szCs w:val="21"/>
        </w:rPr>
        <w:t>的报警功能应符合设计要求。</w:t>
      </w:r>
    </w:p>
    <w:p>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检查数量：全数检查。</w:t>
      </w:r>
    </w:p>
    <w:p>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检查方法：仪表测试。</w:t>
      </w:r>
    </w:p>
    <w:p>
      <w:pPr>
        <w:pStyle w:val="41"/>
        <w:numPr>
          <w:ilvl w:val="0"/>
          <w:numId w:val="36"/>
        </w:numPr>
        <w:spacing w:line="360" w:lineRule="auto"/>
        <w:ind w:left="0" w:firstLine="0" w:firstLineChars="0"/>
        <w:rPr>
          <w:rFonts w:cs="宋体" w:asciiTheme="minorEastAsia" w:hAnsiTheme="minorEastAsia" w:eastAsiaTheme="minorEastAsia"/>
          <w:szCs w:val="21"/>
        </w:rPr>
      </w:pPr>
      <w:r>
        <w:rPr>
          <w:rFonts w:cs="宋体" w:asciiTheme="minorEastAsia" w:hAnsiTheme="minorEastAsia" w:eastAsiaTheme="minorEastAsia"/>
          <w:szCs w:val="21"/>
        </w:rPr>
        <w:t>照明配电箱</w:t>
      </w:r>
      <w:r>
        <w:rPr>
          <w:rFonts w:hint="eastAsia" w:cs="宋体" w:asciiTheme="minorEastAsia" w:hAnsiTheme="minorEastAsia" w:eastAsiaTheme="minorEastAsia"/>
          <w:color w:val="000000"/>
          <w:szCs w:val="21"/>
        </w:rPr>
        <w:t>（</w:t>
      </w:r>
      <w:r>
        <w:rPr>
          <w:rFonts w:cs="宋体" w:asciiTheme="minorEastAsia" w:hAnsiTheme="minorEastAsia" w:eastAsiaTheme="minorEastAsia"/>
          <w:szCs w:val="21"/>
        </w:rPr>
        <w:t>盘</w:t>
      </w:r>
      <w:r>
        <w:rPr>
          <w:rFonts w:hint="eastAsia" w:cs="宋体" w:asciiTheme="minorEastAsia" w:hAnsiTheme="minorEastAsia" w:eastAsiaTheme="minorEastAsia"/>
          <w:color w:val="000000"/>
          <w:szCs w:val="21"/>
        </w:rPr>
        <w:t>）</w:t>
      </w:r>
      <w:r>
        <w:rPr>
          <w:rFonts w:cs="宋体" w:asciiTheme="minorEastAsia" w:hAnsiTheme="minorEastAsia" w:eastAsiaTheme="minorEastAsia"/>
          <w:szCs w:val="21"/>
        </w:rPr>
        <w:t>安装应符合下列规定：</w:t>
      </w:r>
    </w:p>
    <w:p>
      <w:pPr>
        <w:pStyle w:val="41"/>
        <w:numPr>
          <w:ilvl w:val="1"/>
          <w:numId w:val="39"/>
        </w:numPr>
        <w:spacing w:line="360" w:lineRule="auto"/>
        <w:ind w:firstLine="424" w:firstLineChars="202"/>
        <w:rPr>
          <w:rFonts w:cs="宋体" w:asciiTheme="minorEastAsia" w:hAnsiTheme="minorEastAsia" w:eastAsiaTheme="minorEastAsia"/>
          <w:szCs w:val="21"/>
        </w:rPr>
      </w:pPr>
      <w:r>
        <w:rPr>
          <w:rFonts w:cs="宋体" w:asciiTheme="minorEastAsia" w:hAnsiTheme="minorEastAsia" w:eastAsiaTheme="minorEastAsia"/>
          <w:szCs w:val="21"/>
        </w:rPr>
        <w:t>箱</w:t>
      </w:r>
      <w:r>
        <w:rPr>
          <w:rFonts w:hint="eastAsia" w:cs="宋体" w:asciiTheme="minorEastAsia" w:hAnsiTheme="minorEastAsia" w:eastAsiaTheme="minorEastAsia"/>
          <w:color w:val="000000"/>
          <w:szCs w:val="21"/>
        </w:rPr>
        <w:t>（</w:t>
      </w:r>
      <w:r>
        <w:rPr>
          <w:rFonts w:cs="宋体" w:asciiTheme="minorEastAsia" w:hAnsiTheme="minorEastAsia" w:eastAsiaTheme="minorEastAsia"/>
          <w:szCs w:val="21"/>
        </w:rPr>
        <w:t>盘</w:t>
      </w:r>
      <w:r>
        <w:rPr>
          <w:rFonts w:hint="eastAsia" w:cs="宋体" w:asciiTheme="minorEastAsia" w:hAnsiTheme="minorEastAsia" w:eastAsiaTheme="minorEastAsia"/>
          <w:color w:val="000000"/>
          <w:szCs w:val="21"/>
        </w:rPr>
        <w:t>）</w:t>
      </w:r>
      <w:r>
        <w:rPr>
          <w:rFonts w:cs="宋体" w:asciiTheme="minorEastAsia" w:hAnsiTheme="minorEastAsia" w:eastAsiaTheme="minorEastAsia"/>
          <w:szCs w:val="21"/>
        </w:rPr>
        <w:t>内配线应整齐、无绞接现象；导线连接应紧密、不伤线芯、不断股；垫圈下螺丝两侧压的导线截面积应相同，同一电器器件端子上的导线连接不应多于2根，防松垫圈等零件应齐全；</w:t>
      </w:r>
    </w:p>
    <w:p>
      <w:pPr>
        <w:pStyle w:val="41"/>
        <w:numPr>
          <w:ilvl w:val="1"/>
          <w:numId w:val="39"/>
        </w:numPr>
        <w:spacing w:line="360" w:lineRule="auto"/>
        <w:ind w:firstLine="424" w:firstLineChars="202"/>
        <w:rPr>
          <w:rFonts w:cs="宋体" w:asciiTheme="minorEastAsia" w:hAnsiTheme="minorEastAsia" w:eastAsiaTheme="minorEastAsia"/>
          <w:szCs w:val="21"/>
        </w:rPr>
      </w:pPr>
      <w:r>
        <w:rPr>
          <w:rFonts w:cs="宋体" w:asciiTheme="minorEastAsia" w:hAnsiTheme="minorEastAsia" w:eastAsiaTheme="minorEastAsia"/>
          <w:szCs w:val="21"/>
        </w:rPr>
        <w:t>箱</w:t>
      </w:r>
      <w:r>
        <w:rPr>
          <w:rFonts w:hint="eastAsia" w:cs="宋体" w:asciiTheme="minorEastAsia" w:hAnsiTheme="minorEastAsia" w:eastAsiaTheme="minorEastAsia"/>
          <w:color w:val="000000"/>
          <w:szCs w:val="21"/>
        </w:rPr>
        <w:t>（</w:t>
      </w:r>
      <w:r>
        <w:rPr>
          <w:rFonts w:cs="宋体" w:asciiTheme="minorEastAsia" w:hAnsiTheme="minorEastAsia" w:eastAsiaTheme="minorEastAsia"/>
          <w:szCs w:val="21"/>
        </w:rPr>
        <w:t>盘</w:t>
      </w:r>
      <w:r>
        <w:rPr>
          <w:rFonts w:hint="eastAsia" w:cs="宋体" w:asciiTheme="minorEastAsia" w:hAnsiTheme="minorEastAsia" w:eastAsiaTheme="minorEastAsia"/>
          <w:color w:val="000000"/>
          <w:szCs w:val="21"/>
        </w:rPr>
        <w:t>）</w:t>
      </w:r>
      <w:r>
        <w:rPr>
          <w:rFonts w:cs="宋体" w:asciiTheme="minorEastAsia" w:hAnsiTheme="minorEastAsia" w:eastAsiaTheme="minorEastAsia"/>
          <w:szCs w:val="21"/>
        </w:rPr>
        <w:t>内开关动作应灵活可靠；</w:t>
      </w:r>
    </w:p>
    <w:p>
      <w:pPr>
        <w:pStyle w:val="41"/>
        <w:numPr>
          <w:ilvl w:val="1"/>
          <w:numId w:val="39"/>
        </w:numPr>
        <w:spacing w:line="360" w:lineRule="auto"/>
        <w:ind w:firstLine="424" w:firstLineChars="202"/>
        <w:rPr>
          <w:rFonts w:cs="宋体" w:asciiTheme="minorEastAsia" w:hAnsiTheme="minorEastAsia" w:eastAsiaTheme="minorEastAsia"/>
          <w:szCs w:val="21"/>
        </w:rPr>
      </w:pPr>
      <w:r>
        <w:rPr>
          <w:rFonts w:cs="宋体" w:asciiTheme="minorEastAsia" w:hAnsiTheme="minorEastAsia" w:eastAsiaTheme="minorEastAsia"/>
          <w:szCs w:val="21"/>
        </w:rPr>
        <w:t>箱</w:t>
      </w:r>
      <w:r>
        <w:rPr>
          <w:rFonts w:hint="eastAsia" w:cs="宋体" w:asciiTheme="minorEastAsia" w:hAnsiTheme="minorEastAsia" w:eastAsiaTheme="minorEastAsia"/>
          <w:color w:val="000000"/>
          <w:szCs w:val="21"/>
        </w:rPr>
        <w:t>（</w:t>
      </w:r>
      <w:r>
        <w:rPr>
          <w:rFonts w:cs="宋体" w:asciiTheme="minorEastAsia" w:hAnsiTheme="minorEastAsia" w:eastAsiaTheme="minorEastAsia"/>
          <w:szCs w:val="21"/>
        </w:rPr>
        <w:t>盘</w:t>
      </w:r>
      <w:r>
        <w:rPr>
          <w:rFonts w:hint="eastAsia" w:cs="宋体" w:asciiTheme="minorEastAsia" w:hAnsiTheme="minorEastAsia" w:eastAsiaTheme="minorEastAsia"/>
          <w:color w:val="000000"/>
          <w:szCs w:val="21"/>
        </w:rPr>
        <w:t>）</w:t>
      </w:r>
      <w:r>
        <w:rPr>
          <w:rFonts w:cs="宋体" w:asciiTheme="minorEastAsia" w:hAnsiTheme="minorEastAsia" w:eastAsiaTheme="minorEastAsia"/>
          <w:szCs w:val="21"/>
        </w:rPr>
        <w:t>内宜分别设置中性导体</w:t>
      </w:r>
      <w:r>
        <w:rPr>
          <w:rFonts w:hint="eastAsia" w:cs="宋体" w:asciiTheme="minorEastAsia" w:hAnsiTheme="minorEastAsia" w:eastAsiaTheme="minorEastAsia"/>
          <w:color w:val="000000"/>
          <w:szCs w:val="21"/>
        </w:rPr>
        <w:t>（</w:t>
      </w:r>
      <w:r>
        <w:rPr>
          <w:rFonts w:cs="宋体" w:asciiTheme="minorEastAsia" w:hAnsiTheme="minorEastAsia" w:eastAsiaTheme="minorEastAsia"/>
          <w:szCs w:val="21"/>
        </w:rPr>
        <w:t>N</w:t>
      </w:r>
      <w:r>
        <w:rPr>
          <w:rFonts w:hint="eastAsia" w:cs="宋体" w:asciiTheme="minorEastAsia" w:hAnsiTheme="minorEastAsia" w:eastAsiaTheme="minorEastAsia"/>
          <w:color w:val="000000"/>
          <w:szCs w:val="21"/>
        </w:rPr>
        <w:t>）</w:t>
      </w:r>
      <w:r>
        <w:rPr>
          <w:rFonts w:cs="宋体" w:asciiTheme="minorEastAsia" w:hAnsiTheme="minorEastAsia" w:eastAsiaTheme="minorEastAsia"/>
          <w:szCs w:val="21"/>
        </w:rPr>
        <w:t>和保护接地导体</w:t>
      </w:r>
      <w:r>
        <w:rPr>
          <w:rFonts w:hint="eastAsia" w:cs="宋体" w:asciiTheme="minorEastAsia" w:hAnsiTheme="minorEastAsia" w:eastAsiaTheme="minorEastAsia"/>
          <w:color w:val="000000"/>
          <w:szCs w:val="21"/>
        </w:rPr>
        <w:t>（</w:t>
      </w:r>
      <w:r>
        <w:rPr>
          <w:rFonts w:cs="宋体" w:asciiTheme="minorEastAsia" w:hAnsiTheme="minorEastAsia" w:eastAsiaTheme="minorEastAsia"/>
          <w:szCs w:val="21"/>
        </w:rPr>
        <w:t>PE</w:t>
      </w:r>
      <w:r>
        <w:rPr>
          <w:rFonts w:hint="eastAsia" w:cs="宋体" w:asciiTheme="minorEastAsia" w:hAnsiTheme="minorEastAsia" w:eastAsiaTheme="minorEastAsia"/>
          <w:color w:val="000000"/>
          <w:szCs w:val="21"/>
        </w:rPr>
        <w:t>）</w:t>
      </w:r>
      <w:r>
        <w:rPr>
          <w:rFonts w:cs="宋体" w:asciiTheme="minorEastAsia" w:hAnsiTheme="minorEastAsia" w:eastAsiaTheme="minorEastAsia"/>
          <w:szCs w:val="21"/>
        </w:rPr>
        <w:t>汇流排，汇流排上同一端子不应连接不同回路的N或PE</w:t>
      </w:r>
      <w:r>
        <w:rPr>
          <w:rFonts w:hint="eastAsia" w:cs="宋体" w:asciiTheme="minorEastAsia" w:hAnsiTheme="minorEastAsia" w:eastAsiaTheme="minorEastAsia"/>
          <w:szCs w:val="21"/>
        </w:rPr>
        <w:t>，</w:t>
      </w:r>
      <w:r>
        <w:rPr>
          <w:rFonts w:hint="eastAsia" w:asciiTheme="minorEastAsia" w:hAnsiTheme="minorEastAsia" w:eastAsiaTheme="minorEastAsia"/>
          <w:bCs/>
          <w:szCs w:val="21"/>
        </w:rPr>
        <w:t>汇流排端子孔径大小、端子数量应与电线线径、电线根数适配</w:t>
      </w:r>
      <w:r>
        <w:rPr>
          <w:rFonts w:asciiTheme="minorEastAsia" w:hAnsiTheme="minorEastAsia" w:eastAsiaTheme="minorEastAsia"/>
          <w:bCs/>
          <w:szCs w:val="21"/>
        </w:rPr>
        <w:t>。</w:t>
      </w:r>
    </w:p>
    <w:p>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检查数量：按照明配电箱</w:t>
      </w:r>
      <w:r>
        <w:rPr>
          <w:rFonts w:hint="eastAsia" w:cs="宋体" w:asciiTheme="minorEastAsia" w:hAnsiTheme="minorEastAsia" w:eastAsiaTheme="minorEastAsia"/>
          <w:color w:val="000000"/>
          <w:szCs w:val="21"/>
        </w:rPr>
        <w:t>（</w:t>
      </w:r>
      <w:r>
        <w:rPr>
          <w:rFonts w:cs="宋体" w:asciiTheme="minorEastAsia" w:hAnsiTheme="minorEastAsia" w:eastAsiaTheme="minorEastAsia"/>
          <w:szCs w:val="21"/>
        </w:rPr>
        <w:t>盘</w:t>
      </w:r>
      <w:r>
        <w:rPr>
          <w:rFonts w:hint="eastAsia" w:cs="宋体" w:asciiTheme="minorEastAsia" w:hAnsiTheme="minorEastAsia" w:eastAsiaTheme="minorEastAsia"/>
          <w:color w:val="000000"/>
          <w:szCs w:val="21"/>
        </w:rPr>
        <w:t>）</w:t>
      </w:r>
      <w:r>
        <w:rPr>
          <w:rFonts w:cs="宋体" w:asciiTheme="minorEastAsia" w:hAnsiTheme="minorEastAsia" w:eastAsiaTheme="minorEastAsia"/>
          <w:szCs w:val="21"/>
        </w:rPr>
        <w:t>数量抽查10</w:t>
      </w:r>
      <w:r>
        <w:rPr>
          <w:rFonts w:hint="eastAsia" w:cs="宋体" w:asciiTheme="minorEastAsia" w:hAnsiTheme="minorEastAsia" w:eastAsiaTheme="minorEastAsia"/>
          <w:color w:val="000000"/>
          <w:szCs w:val="21"/>
        </w:rPr>
        <w:t>%</w:t>
      </w:r>
      <w:r>
        <w:rPr>
          <w:rFonts w:cs="宋体" w:asciiTheme="minorEastAsia" w:hAnsiTheme="minorEastAsia" w:eastAsiaTheme="minorEastAsia"/>
          <w:szCs w:val="21"/>
        </w:rPr>
        <w:t>，且不得少于1台。</w:t>
      </w:r>
    </w:p>
    <w:p>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检查方法：观察检查及操作检查，螺丝刀拧紧检查。</w:t>
      </w:r>
    </w:p>
    <w:p>
      <w:pPr>
        <w:pStyle w:val="41"/>
        <w:numPr>
          <w:ilvl w:val="0"/>
          <w:numId w:val="36"/>
        </w:numPr>
        <w:spacing w:line="360" w:lineRule="auto"/>
        <w:ind w:left="0" w:firstLine="0" w:firstLineChars="0"/>
        <w:rPr>
          <w:rFonts w:cs="宋体" w:asciiTheme="minorEastAsia" w:hAnsiTheme="minorEastAsia" w:eastAsiaTheme="minorEastAsia"/>
          <w:szCs w:val="21"/>
        </w:rPr>
      </w:pPr>
      <w:r>
        <w:rPr>
          <w:rFonts w:cs="宋体" w:asciiTheme="minorEastAsia" w:hAnsiTheme="minorEastAsia" w:eastAsiaTheme="minorEastAsia"/>
          <w:szCs w:val="21"/>
        </w:rPr>
        <w:t>送至建筑智能化工程变送器的电量信号精度等级应符合设计要求，状态信号应正确；接收建筑智能化工程的指令应使建筑电气工程的断路器动作符合指令要求，且手动、自动切换功能均应正常。</w:t>
      </w:r>
    </w:p>
    <w:p>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检查数量：全数检查。</w:t>
      </w:r>
    </w:p>
    <w:p>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检查方法：模拟试验时观察检查或查阅检查记录。</w:t>
      </w:r>
    </w:p>
    <w:p>
      <w:pPr>
        <w:pStyle w:val="41"/>
        <w:numPr>
          <w:ilvl w:val="0"/>
          <w:numId w:val="36"/>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bCs/>
          <w:szCs w:val="21"/>
        </w:rPr>
        <w:t>配电箱（柜）的机械闭锁、电气闭锁应动作准确、可靠。</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检查数量：按柜、台、箱、盘总数抽查10</w:t>
      </w:r>
      <w:r>
        <w:rPr>
          <w:rFonts w:hint="eastAsia" w:asciiTheme="minorEastAsia" w:hAnsiTheme="minorEastAsia" w:eastAsiaTheme="minorEastAsia"/>
          <w:color w:val="000000"/>
          <w:szCs w:val="21"/>
        </w:rPr>
        <w:t>%</w:t>
      </w:r>
      <w:r>
        <w:rPr>
          <w:rFonts w:asciiTheme="minorEastAsia" w:hAnsiTheme="minorEastAsia" w:eastAsiaTheme="minorEastAsia"/>
          <w:szCs w:val="21"/>
        </w:rPr>
        <w:t>，且不得少于1台。</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检查方法：观察检查并按设计图核对规格型号。</w:t>
      </w:r>
    </w:p>
    <w:p>
      <w:pPr>
        <w:pStyle w:val="4"/>
        <w:numPr>
          <w:ilvl w:val="0"/>
          <w:numId w:val="35"/>
        </w:numPr>
        <w:spacing w:before="120" w:beforeLines="50" w:after="120" w:afterLines="50"/>
      </w:pPr>
      <w:bookmarkStart w:id="83" w:name="_Toc129181615"/>
      <w:r>
        <w:rPr>
          <w:rFonts w:hint="eastAsia"/>
        </w:rPr>
        <w:t xml:space="preserve"> </w:t>
      </w:r>
      <w:r>
        <w:t xml:space="preserve"> </w:t>
      </w:r>
      <w:r>
        <w:rPr>
          <w:rFonts w:hint="eastAsia"/>
        </w:rPr>
        <w:t>一般项目</w:t>
      </w:r>
      <w:bookmarkEnd w:id="83"/>
    </w:p>
    <w:p>
      <w:pPr>
        <w:pStyle w:val="41"/>
        <w:numPr>
          <w:ilvl w:val="0"/>
          <w:numId w:val="36"/>
        </w:numPr>
        <w:spacing w:line="360" w:lineRule="auto"/>
        <w:ind w:left="0" w:firstLine="0" w:firstLineChars="0"/>
        <w:rPr>
          <w:rFonts w:cs="宋体" w:asciiTheme="minorEastAsia" w:hAnsiTheme="minorEastAsia" w:eastAsiaTheme="minorEastAsia"/>
          <w:szCs w:val="21"/>
        </w:rPr>
      </w:pPr>
      <w:r>
        <w:rPr>
          <w:rFonts w:cs="宋体" w:asciiTheme="minorEastAsia" w:hAnsiTheme="minorEastAsia" w:eastAsiaTheme="minorEastAsia"/>
          <w:szCs w:val="21"/>
        </w:rPr>
        <w:t>基础型钢安装允许偏差应符合表4.2.15的规定。</w:t>
      </w:r>
    </w:p>
    <w:p>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检查数量：按总数抽查20</w:t>
      </w:r>
      <w:r>
        <w:rPr>
          <w:rFonts w:hint="eastAsia" w:cs="宋体" w:asciiTheme="minorEastAsia" w:hAnsiTheme="minorEastAsia" w:eastAsiaTheme="minorEastAsia"/>
          <w:color w:val="000000"/>
          <w:szCs w:val="21"/>
        </w:rPr>
        <w:t>%</w:t>
      </w:r>
      <w:r>
        <w:rPr>
          <w:rFonts w:cs="宋体" w:asciiTheme="minorEastAsia" w:hAnsiTheme="minorEastAsia" w:eastAsiaTheme="minorEastAsia"/>
          <w:szCs w:val="21"/>
        </w:rPr>
        <w:t>，且不得少于1台。</w:t>
      </w:r>
    </w:p>
    <w:p>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检查方法：水平仪或拉线尺量检查。</w:t>
      </w:r>
    </w:p>
    <w:p>
      <w:pPr>
        <w:spacing w:line="360" w:lineRule="auto"/>
        <w:ind w:firstLine="420" w:firstLineChars="200"/>
        <w:jc w:val="center"/>
        <w:rPr>
          <w:rFonts w:ascii="黑体" w:hAnsi="黑体" w:eastAsia="黑体"/>
          <w:bCs/>
          <w:szCs w:val="21"/>
        </w:rPr>
      </w:pPr>
      <w:r>
        <w:rPr>
          <w:rFonts w:hint="eastAsia" w:ascii="黑体" w:hAnsi="黑体" w:eastAsia="黑体"/>
          <w:bCs/>
          <w:szCs w:val="21"/>
        </w:rPr>
        <w:t>表4</w:t>
      </w:r>
      <w:r>
        <w:rPr>
          <w:rFonts w:ascii="黑体" w:hAnsi="黑体" w:eastAsia="黑体"/>
          <w:bCs/>
          <w:szCs w:val="21"/>
        </w:rPr>
        <w:t>.2.15</w:t>
      </w:r>
      <w:r>
        <w:rPr>
          <w:rFonts w:hint="eastAsia" w:ascii="黑体" w:hAnsi="黑体" w:eastAsia="黑体"/>
          <w:bCs/>
          <w:szCs w:val="21"/>
        </w:rPr>
        <w:t>基础型钢安装允许偏差</w:t>
      </w:r>
    </w:p>
    <w:tbl>
      <w:tblPr>
        <w:tblStyle w:val="27"/>
        <w:tblW w:w="5000" w:type="pct"/>
        <w:jc w:val="center"/>
        <w:tblLayout w:type="autofit"/>
        <w:tblCellMar>
          <w:top w:w="15" w:type="dxa"/>
          <w:left w:w="15" w:type="dxa"/>
          <w:bottom w:w="15" w:type="dxa"/>
          <w:right w:w="15" w:type="dxa"/>
        </w:tblCellMar>
      </w:tblPr>
      <w:tblGrid>
        <w:gridCol w:w="2990"/>
        <w:gridCol w:w="2820"/>
        <w:gridCol w:w="2719"/>
      </w:tblGrid>
      <w:tr>
        <w:tblPrEx>
          <w:tblCellMar>
            <w:top w:w="15" w:type="dxa"/>
            <w:left w:w="15" w:type="dxa"/>
            <w:bottom w:w="15" w:type="dxa"/>
            <w:right w:w="15" w:type="dxa"/>
          </w:tblCellMar>
        </w:tblPrEx>
        <w:trPr>
          <w:trHeight w:val="400" w:hRule="atLeast"/>
          <w:jc w:val="center"/>
        </w:trPr>
        <w:tc>
          <w:tcPr>
            <w:tcW w:w="1753" w:type="pct"/>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3"/>
              <w:spacing w:before="0" w:beforeAutospacing="0" w:after="0" w:afterAutospacing="0" w:line="360" w:lineRule="auto"/>
              <w:ind w:firstLine="360" w:firstLineChars="20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项目</w:t>
            </w:r>
          </w:p>
        </w:tc>
        <w:tc>
          <w:tcPr>
            <w:tcW w:w="3247" w:type="pct"/>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3"/>
              <w:spacing w:before="0" w:beforeAutospacing="0" w:after="0" w:afterAutospacing="0" w:line="360" w:lineRule="auto"/>
              <w:ind w:firstLine="360" w:firstLineChars="20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允许偏差</w:t>
            </w:r>
            <w:r>
              <w:rPr>
                <w:rFonts w:hint="eastAsia" w:asciiTheme="minorEastAsia" w:hAnsiTheme="minorEastAsia" w:eastAsiaTheme="minorEastAsia"/>
                <w:color w:val="000000"/>
                <w:sz w:val="18"/>
                <w:szCs w:val="18"/>
              </w:rPr>
              <w:t>（mm）</w:t>
            </w:r>
          </w:p>
        </w:tc>
      </w:tr>
      <w:tr>
        <w:tblPrEx>
          <w:tblCellMar>
            <w:top w:w="15" w:type="dxa"/>
            <w:left w:w="15" w:type="dxa"/>
            <w:bottom w:w="15" w:type="dxa"/>
            <w:right w:w="15" w:type="dxa"/>
          </w:tblCellMar>
        </w:tblPrEx>
        <w:trPr>
          <w:trHeight w:val="380" w:hRule="atLeast"/>
          <w:jc w:val="center"/>
        </w:trPr>
        <w:tc>
          <w:tcPr>
            <w:tcW w:w="1753"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360" w:firstLineChars="200"/>
              <w:rPr>
                <w:rFonts w:asciiTheme="minorEastAsia" w:hAnsiTheme="minorEastAsia" w:eastAsiaTheme="minorEastAsia"/>
                <w:kern w:val="0"/>
                <w:sz w:val="18"/>
                <w:szCs w:val="18"/>
              </w:rPr>
            </w:pPr>
          </w:p>
        </w:tc>
        <w:tc>
          <w:tcPr>
            <w:tcW w:w="165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3"/>
              <w:spacing w:before="0" w:beforeAutospacing="0" w:after="0" w:afterAutospacing="0" w:line="360" w:lineRule="auto"/>
              <w:ind w:firstLine="360" w:firstLineChars="20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每米</w:t>
            </w:r>
          </w:p>
        </w:tc>
        <w:tc>
          <w:tcPr>
            <w:tcW w:w="159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3"/>
              <w:spacing w:before="0" w:beforeAutospacing="0" w:after="0" w:afterAutospacing="0" w:line="360" w:lineRule="auto"/>
              <w:ind w:firstLine="360" w:firstLineChars="20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全长</w:t>
            </w:r>
          </w:p>
        </w:tc>
      </w:tr>
      <w:tr>
        <w:tblPrEx>
          <w:tblCellMar>
            <w:top w:w="15" w:type="dxa"/>
            <w:left w:w="15" w:type="dxa"/>
            <w:bottom w:w="15" w:type="dxa"/>
            <w:right w:w="15" w:type="dxa"/>
          </w:tblCellMar>
        </w:tblPrEx>
        <w:trPr>
          <w:trHeight w:val="420" w:hRule="atLeast"/>
          <w:jc w:val="center"/>
        </w:trPr>
        <w:tc>
          <w:tcPr>
            <w:tcW w:w="175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3"/>
              <w:spacing w:before="0" w:beforeAutospacing="0" w:after="0" w:afterAutospacing="0" w:line="360" w:lineRule="auto"/>
              <w:ind w:firstLine="360" w:firstLineChars="20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不直度</w:t>
            </w:r>
          </w:p>
        </w:tc>
        <w:tc>
          <w:tcPr>
            <w:tcW w:w="165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3"/>
              <w:spacing w:before="0" w:beforeAutospacing="0" w:after="0" w:afterAutospacing="0" w:line="360" w:lineRule="auto"/>
              <w:ind w:firstLine="360" w:firstLineChars="20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59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3"/>
              <w:spacing w:before="0" w:beforeAutospacing="0" w:after="0" w:afterAutospacing="0" w:line="360" w:lineRule="auto"/>
              <w:ind w:firstLine="360" w:firstLineChars="20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5.0</w:t>
            </w:r>
          </w:p>
        </w:tc>
      </w:tr>
      <w:tr>
        <w:tblPrEx>
          <w:tblCellMar>
            <w:top w:w="15" w:type="dxa"/>
            <w:left w:w="15" w:type="dxa"/>
            <w:bottom w:w="15" w:type="dxa"/>
            <w:right w:w="15" w:type="dxa"/>
          </w:tblCellMar>
        </w:tblPrEx>
        <w:trPr>
          <w:trHeight w:val="400" w:hRule="atLeast"/>
          <w:jc w:val="center"/>
        </w:trPr>
        <w:tc>
          <w:tcPr>
            <w:tcW w:w="175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3"/>
              <w:spacing w:before="0" w:beforeAutospacing="0" w:after="0" w:afterAutospacing="0" w:line="360" w:lineRule="auto"/>
              <w:ind w:firstLine="360" w:firstLineChars="20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水平度</w:t>
            </w:r>
          </w:p>
        </w:tc>
        <w:tc>
          <w:tcPr>
            <w:tcW w:w="165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3"/>
              <w:spacing w:before="0" w:beforeAutospacing="0" w:after="0" w:afterAutospacing="0" w:line="360" w:lineRule="auto"/>
              <w:ind w:firstLine="360" w:firstLineChars="20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59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3"/>
              <w:spacing w:before="0" w:beforeAutospacing="0" w:after="0" w:afterAutospacing="0" w:line="360" w:lineRule="auto"/>
              <w:ind w:firstLine="360" w:firstLineChars="20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5.0</w:t>
            </w:r>
          </w:p>
        </w:tc>
      </w:tr>
      <w:tr>
        <w:tblPrEx>
          <w:tblCellMar>
            <w:top w:w="15" w:type="dxa"/>
            <w:left w:w="15" w:type="dxa"/>
            <w:bottom w:w="15" w:type="dxa"/>
            <w:right w:w="15" w:type="dxa"/>
          </w:tblCellMar>
        </w:tblPrEx>
        <w:trPr>
          <w:trHeight w:val="380" w:hRule="atLeast"/>
          <w:jc w:val="center"/>
        </w:trPr>
        <w:tc>
          <w:tcPr>
            <w:tcW w:w="175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3"/>
              <w:spacing w:before="0" w:beforeAutospacing="0" w:after="0" w:afterAutospacing="0" w:line="360" w:lineRule="auto"/>
              <w:ind w:firstLine="360" w:firstLineChars="20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不平行度</w:t>
            </w:r>
          </w:p>
        </w:tc>
        <w:tc>
          <w:tcPr>
            <w:tcW w:w="165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ind w:firstLine="360" w:firstLineChars="200"/>
              <w:jc w:val="center"/>
              <w:rPr>
                <w:rFonts w:asciiTheme="minorEastAsia" w:hAnsiTheme="minorEastAsia" w:eastAsiaTheme="minorEastAsia"/>
                <w:sz w:val="18"/>
                <w:szCs w:val="18"/>
              </w:rPr>
            </w:pPr>
            <w:r>
              <w:rPr>
                <w:rFonts w:hint="eastAsia" w:asciiTheme="minorEastAsia" w:hAnsiTheme="minorEastAsia" w:eastAsiaTheme="minorEastAsia"/>
                <w:color w:val="000000"/>
                <w:sz w:val="18"/>
                <w:szCs w:val="18"/>
              </w:rPr>
              <w:t>-</w:t>
            </w:r>
          </w:p>
        </w:tc>
        <w:tc>
          <w:tcPr>
            <w:tcW w:w="159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3"/>
              <w:spacing w:before="0" w:beforeAutospacing="0" w:after="0" w:afterAutospacing="0" w:line="360" w:lineRule="auto"/>
              <w:ind w:firstLine="360" w:firstLineChars="20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5.0</w:t>
            </w:r>
          </w:p>
        </w:tc>
      </w:tr>
    </w:tbl>
    <w:p>
      <w:pPr>
        <w:pStyle w:val="41"/>
        <w:numPr>
          <w:ilvl w:val="0"/>
          <w:numId w:val="36"/>
        </w:numPr>
        <w:spacing w:line="360" w:lineRule="auto"/>
        <w:ind w:left="0" w:firstLine="0" w:firstLineChars="0"/>
        <w:rPr>
          <w:rFonts w:cs="宋体" w:asciiTheme="minorEastAsia" w:hAnsiTheme="minorEastAsia" w:eastAsiaTheme="minorEastAsia"/>
          <w:szCs w:val="21"/>
        </w:rPr>
      </w:pPr>
      <w:r>
        <w:rPr>
          <w:rFonts w:cs="宋体" w:asciiTheme="minorEastAsia" w:hAnsiTheme="minorEastAsia" w:eastAsiaTheme="minorEastAsia"/>
          <w:szCs w:val="21"/>
        </w:rPr>
        <w:t>柜、台、箱、盘的布置及安全间距应符合设计要求。</w:t>
      </w:r>
    </w:p>
    <w:p>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检查数量：全数检查。</w:t>
      </w:r>
    </w:p>
    <w:p>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检查方法：</w:t>
      </w:r>
      <w:r>
        <w:rPr>
          <w:rFonts w:cs="宋体" w:asciiTheme="minorEastAsia" w:hAnsiTheme="minorEastAsia" w:eastAsiaTheme="minorEastAsia"/>
          <w:color w:val="000000"/>
          <w:szCs w:val="21"/>
        </w:rPr>
        <w:t>尺量</w:t>
      </w:r>
      <w:r>
        <w:rPr>
          <w:rFonts w:cs="宋体" w:asciiTheme="minorEastAsia" w:hAnsiTheme="minorEastAsia" w:eastAsiaTheme="minorEastAsia"/>
          <w:szCs w:val="21"/>
        </w:rPr>
        <w:t>检查。</w:t>
      </w:r>
    </w:p>
    <w:p>
      <w:pPr>
        <w:pStyle w:val="41"/>
        <w:numPr>
          <w:ilvl w:val="0"/>
          <w:numId w:val="36"/>
        </w:numPr>
        <w:spacing w:line="360" w:lineRule="auto"/>
        <w:ind w:left="0" w:firstLine="0" w:firstLineChars="0"/>
        <w:rPr>
          <w:rFonts w:cs="宋体" w:asciiTheme="minorEastAsia" w:hAnsiTheme="minorEastAsia" w:eastAsiaTheme="minorEastAsia"/>
          <w:szCs w:val="21"/>
        </w:rPr>
      </w:pPr>
      <w:r>
        <w:rPr>
          <w:rFonts w:cs="宋体" w:asciiTheme="minorEastAsia" w:hAnsiTheme="minorEastAsia" w:eastAsiaTheme="minorEastAsia"/>
          <w:szCs w:val="21"/>
        </w:rPr>
        <w:t>柜、台、箱相互间或与基础型钢间应用镀锌螺栓连接，且防松零件应齐全；当设计有防火要求时，柜、台、箱的进出口应做防火封堵，并应封堵严密。</w:t>
      </w:r>
    </w:p>
    <w:p>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检查数量：按柜、台、箱总数抽查10</w:t>
      </w:r>
      <w:r>
        <w:rPr>
          <w:rFonts w:hint="eastAsia" w:cs="宋体" w:asciiTheme="minorEastAsia" w:hAnsiTheme="minorEastAsia" w:eastAsiaTheme="minorEastAsia"/>
          <w:color w:val="000000"/>
          <w:szCs w:val="21"/>
        </w:rPr>
        <w:t>%</w:t>
      </w:r>
      <w:r>
        <w:rPr>
          <w:rFonts w:cs="宋体" w:asciiTheme="minorEastAsia" w:hAnsiTheme="minorEastAsia" w:eastAsiaTheme="minorEastAsia"/>
          <w:szCs w:val="21"/>
        </w:rPr>
        <w:t>，且各不得少于1台。</w:t>
      </w:r>
    </w:p>
    <w:p>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检查方法：观察检查。</w:t>
      </w:r>
    </w:p>
    <w:p>
      <w:pPr>
        <w:pStyle w:val="41"/>
        <w:numPr>
          <w:ilvl w:val="0"/>
          <w:numId w:val="36"/>
        </w:numPr>
        <w:spacing w:line="360" w:lineRule="auto"/>
        <w:ind w:left="0" w:firstLine="0" w:firstLineChars="0"/>
        <w:rPr>
          <w:rFonts w:cs="宋体" w:asciiTheme="minorEastAsia" w:hAnsiTheme="minorEastAsia" w:eastAsiaTheme="minorEastAsia"/>
          <w:szCs w:val="21"/>
        </w:rPr>
      </w:pPr>
      <w:r>
        <w:rPr>
          <w:rFonts w:cs="宋体" w:asciiTheme="minorEastAsia" w:hAnsiTheme="minorEastAsia" w:eastAsiaTheme="minorEastAsia"/>
          <w:szCs w:val="21"/>
        </w:rPr>
        <w:t>室外安装的落地式配电</w:t>
      </w:r>
      <w:r>
        <w:rPr>
          <w:rFonts w:hint="eastAsia" w:cs="宋体" w:asciiTheme="minorEastAsia" w:hAnsiTheme="minorEastAsia" w:eastAsiaTheme="minorEastAsia"/>
          <w:color w:val="000000"/>
          <w:szCs w:val="21"/>
        </w:rPr>
        <w:t>（</w:t>
      </w:r>
      <w:r>
        <w:rPr>
          <w:rFonts w:cs="宋体" w:asciiTheme="minorEastAsia" w:hAnsiTheme="minorEastAsia" w:eastAsiaTheme="minorEastAsia"/>
          <w:szCs w:val="21"/>
        </w:rPr>
        <w:t>控制</w:t>
      </w:r>
      <w:r>
        <w:rPr>
          <w:rFonts w:hint="eastAsia" w:cs="宋体" w:asciiTheme="minorEastAsia" w:hAnsiTheme="minorEastAsia" w:eastAsiaTheme="minorEastAsia"/>
          <w:color w:val="000000"/>
          <w:szCs w:val="21"/>
        </w:rPr>
        <w:t>）</w:t>
      </w:r>
      <w:r>
        <w:rPr>
          <w:rFonts w:cs="宋体" w:asciiTheme="minorEastAsia" w:hAnsiTheme="minorEastAsia" w:eastAsiaTheme="minorEastAsia"/>
          <w:szCs w:val="21"/>
        </w:rPr>
        <w:t>柜、箱的基础应高于地坪，周围排水应通畅，其底座周围应采取封闭措施。</w:t>
      </w:r>
    </w:p>
    <w:p>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检查数量：全数检查。</w:t>
      </w:r>
    </w:p>
    <w:p>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检查方法：观察检查。</w:t>
      </w:r>
    </w:p>
    <w:p>
      <w:pPr>
        <w:pStyle w:val="41"/>
        <w:numPr>
          <w:ilvl w:val="0"/>
          <w:numId w:val="36"/>
        </w:numPr>
        <w:spacing w:line="360" w:lineRule="auto"/>
        <w:ind w:left="0" w:firstLine="0" w:firstLineChars="0"/>
        <w:rPr>
          <w:rFonts w:cs="宋体" w:asciiTheme="minorEastAsia" w:hAnsiTheme="minorEastAsia" w:eastAsiaTheme="minorEastAsia"/>
          <w:szCs w:val="21"/>
        </w:rPr>
      </w:pPr>
      <w:r>
        <w:rPr>
          <w:rFonts w:cs="宋体" w:asciiTheme="minorEastAsia" w:hAnsiTheme="minorEastAsia" w:eastAsiaTheme="minorEastAsia"/>
          <w:szCs w:val="21"/>
        </w:rPr>
        <w:t>柜、台、箱、盘应安装牢固，且不应设置在水管的正下方。柜、台、箱、盘安装垂直度允许偏差不应大于1.5‰，相互间接缝不应大于</w:t>
      </w:r>
      <w:r>
        <w:rPr>
          <w:rFonts w:hint="eastAsia" w:cs="宋体" w:asciiTheme="minorEastAsia" w:hAnsiTheme="minorEastAsia" w:eastAsiaTheme="minorEastAsia"/>
          <w:color w:val="000000"/>
          <w:szCs w:val="21"/>
        </w:rPr>
        <w:t>2</w:t>
      </w:r>
      <w:r>
        <w:rPr>
          <w:rFonts w:hint="eastAsia" w:cs="仿宋" w:asciiTheme="minorEastAsia" w:hAnsiTheme="minorEastAsia" w:eastAsiaTheme="minorEastAsia"/>
          <w:color w:val="000000"/>
          <w:spacing w:val="0"/>
          <w:w w:val="15"/>
          <w:kern w:val="0"/>
          <w:szCs w:val="21"/>
          <w:fitText w:val="42" w:id="1229933903"/>
        </w:rPr>
        <w:t xml:space="preserve">　 </w:t>
      </w:r>
      <w:r>
        <w:rPr>
          <w:rFonts w:hint="eastAsia" w:cs="仿宋" w:asciiTheme="minorEastAsia" w:hAnsiTheme="minorEastAsia" w:eastAsiaTheme="minorEastAsia"/>
          <w:color w:val="000000"/>
          <w:spacing w:val="-17"/>
          <w:w w:val="15"/>
          <w:kern w:val="0"/>
          <w:szCs w:val="21"/>
          <w:fitText w:val="42" w:id="1229933903"/>
        </w:rPr>
        <w:t>　</w:t>
      </w:r>
      <w:r>
        <w:rPr>
          <w:rFonts w:hint="eastAsia" w:cs="宋体" w:asciiTheme="minorEastAsia" w:hAnsiTheme="minorEastAsia" w:eastAsiaTheme="minorEastAsia"/>
          <w:color w:val="000000"/>
          <w:szCs w:val="21"/>
        </w:rPr>
        <w:t>m</w:t>
      </w:r>
      <w:r>
        <w:rPr>
          <w:rFonts w:cs="宋体" w:asciiTheme="minorEastAsia" w:hAnsiTheme="minorEastAsia" w:eastAsiaTheme="minorEastAsia"/>
          <w:color w:val="000000"/>
          <w:szCs w:val="21"/>
        </w:rPr>
        <w:t>m</w:t>
      </w:r>
      <w:r>
        <w:rPr>
          <w:rFonts w:cs="宋体" w:asciiTheme="minorEastAsia" w:hAnsiTheme="minorEastAsia" w:eastAsiaTheme="minorEastAsia"/>
          <w:szCs w:val="21"/>
        </w:rPr>
        <w:t>，成列盘面偏差不应大于</w:t>
      </w:r>
      <w:r>
        <w:rPr>
          <w:rFonts w:hint="eastAsia" w:cs="宋体" w:asciiTheme="minorEastAsia" w:hAnsiTheme="minorEastAsia" w:eastAsiaTheme="minorEastAsia"/>
          <w:color w:val="000000"/>
          <w:szCs w:val="21"/>
        </w:rPr>
        <w:t>5</w:t>
      </w:r>
      <w:r>
        <w:rPr>
          <w:rFonts w:hint="eastAsia" w:cs="仿宋" w:asciiTheme="minorEastAsia" w:hAnsiTheme="minorEastAsia" w:eastAsiaTheme="minorEastAsia"/>
          <w:color w:val="000000"/>
          <w:spacing w:val="0"/>
          <w:w w:val="15"/>
          <w:kern w:val="0"/>
          <w:szCs w:val="21"/>
          <w:fitText w:val="42" w:id="221135555"/>
        </w:rPr>
        <w:t xml:space="preserve">　 </w:t>
      </w:r>
      <w:r>
        <w:rPr>
          <w:rFonts w:hint="eastAsia" w:cs="仿宋" w:asciiTheme="minorEastAsia" w:hAnsiTheme="minorEastAsia" w:eastAsiaTheme="minorEastAsia"/>
          <w:color w:val="000000"/>
          <w:spacing w:val="-17"/>
          <w:w w:val="15"/>
          <w:kern w:val="0"/>
          <w:szCs w:val="21"/>
          <w:fitText w:val="42" w:id="221135555"/>
        </w:rPr>
        <w:t>　</w:t>
      </w:r>
      <w:r>
        <w:rPr>
          <w:rFonts w:hint="eastAsia" w:cs="宋体" w:asciiTheme="minorEastAsia" w:hAnsiTheme="minorEastAsia" w:eastAsiaTheme="minorEastAsia"/>
          <w:color w:val="000000"/>
          <w:szCs w:val="21"/>
        </w:rPr>
        <w:t>m</w:t>
      </w:r>
      <w:r>
        <w:rPr>
          <w:rFonts w:cs="宋体" w:asciiTheme="minorEastAsia" w:hAnsiTheme="minorEastAsia" w:eastAsiaTheme="minorEastAsia"/>
          <w:color w:val="000000"/>
          <w:szCs w:val="21"/>
        </w:rPr>
        <w:t>m</w:t>
      </w:r>
      <w:r>
        <w:rPr>
          <w:rFonts w:cs="宋体" w:asciiTheme="minorEastAsia" w:hAnsiTheme="minorEastAsia" w:eastAsiaTheme="minorEastAsia"/>
          <w:szCs w:val="21"/>
        </w:rPr>
        <w:t>。</w:t>
      </w:r>
    </w:p>
    <w:p>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检查数量：按总数抽查10</w:t>
      </w:r>
      <w:r>
        <w:rPr>
          <w:rFonts w:hint="eastAsia" w:cs="宋体" w:asciiTheme="minorEastAsia" w:hAnsiTheme="minorEastAsia" w:eastAsiaTheme="minorEastAsia"/>
          <w:color w:val="000000"/>
          <w:szCs w:val="21"/>
        </w:rPr>
        <w:t>%</w:t>
      </w:r>
      <w:r>
        <w:rPr>
          <w:rFonts w:cs="宋体" w:asciiTheme="minorEastAsia" w:hAnsiTheme="minorEastAsia" w:eastAsiaTheme="minorEastAsia"/>
          <w:szCs w:val="21"/>
        </w:rPr>
        <w:t>，且不得少于1台。</w:t>
      </w:r>
    </w:p>
    <w:p>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检查方法：线坠尺量检查、塞尺检查、拉线尺量检查。</w:t>
      </w:r>
    </w:p>
    <w:p>
      <w:pPr>
        <w:pStyle w:val="41"/>
        <w:numPr>
          <w:ilvl w:val="0"/>
          <w:numId w:val="36"/>
        </w:numPr>
        <w:spacing w:line="360" w:lineRule="auto"/>
        <w:ind w:left="0" w:firstLine="0" w:firstLineChars="0"/>
        <w:rPr>
          <w:rFonts w:cs="宋体" w:asciiTheme="minorEastAsia" w:hAnsiTheme="minorEastAsia" w:eastAsiaTheme="minorEastAsia"/>
          <w:szCs w:val="21"/>
        </w:rPr>
      </w:pPr>
      <w:r>
        <w:rPr>
          <w:rFonts w:cs="宋体" w:asciiTheme="minorEastAsia" w:hAnsiTheme="minorEastAsia" w:eastAsiaTheme="minorEastAsia"/>
          <w:szCs w:val="21"/>
        </w:rPr>
        <w:t>柜、台、箱、盘内检查试验应符合下列规定：</w:t>
      </w:r>
    </w:p>
    <w:p>
      <w:pPr>
        <w:pStyle w:val="41"/>
        <w:numPr>
          <w:ilvl w:val="1"/>
          <w:numId w:val="40"/>
        </w:numPr>
        <w:spacing w:line="360" w:lineRule="auto"/>
        <w:ind w:firstLine="424" w:firstLineChars="202"/>
        <w:rPr>
          <w:rFonts w:cs="宋体" w:asciiTheme="minorEastAsia" w:hAnsiTheme="minorEastAsia" w:eastAsiaTheme="minorEastAsia"/>
          <w:szCs w:val="21"/>
        </w:rPr>
      </w:pPr>
      <w:r>
        <w:rPr>
          <w:rFonts w:cs="宋体" w:asciiTheme="minorEastAsia" w:hAnsiTheme="minorEastAsia" w:eastAsiaTheme="minorEastAsia"/>
          <w:szCs w:val="21"/>
        </w:rPr>
        <w:t>控制开关及保护装置的规格、型号应符合设计要求；</w:t>
      </w:r>
    </w:p>
    <w:p>
      <w:pPr>
        <w:pStyle w:val="41"/>
        <w:numPr>
          <w:ilvl w:val="1"/>
          <w:numId w:val="40"/>
        </w:numPr>
        <w:spacing w:line="360" w:lineRule="auto"/>
        <w:ind w:firstLine="424" w:firstLineChars="202"/>
        <w:rPr>
          <w:rFonts w:cs="宋体" w:asciiTheme="minorEastAsia" w:hAnsiTheme="minorEastAsia" w:eastAsiaTheme="minorEastAsia"/>
          <w:szCs w:val="21"/>
        </w:rPr>
      </w:pPr>
      <w:r>
        <w:rPr>
          <w:rFonts w:cs="宋体" w:asciiTheme="minorEastAsia" w:hAnsiTheme="minorEastAsia" w:eastAsiaTheme="minorEastAsia"/>
          <w:szCs w:val="21"/>
        </w:rPr>
        <w:t>闭锁装置动作应准确、可靠；</w:t>
      </w:r>
    </w:p>
    <w:p>
      <w:pPr>
        <w:pStyle w:val="41"/>
        <w:numPr>
          <w:ilvl w:val="1"/>
          <w:numId w:val="40"/>
        </w:numPr>
        <w:spacing w:line="360" w:lineRule="auto"/>
        <w:ind w:firstLine="424" w:firstLineChars="202"/>
        <w:rPr>
          <w:rFonts w:cs="宋体" w:asciiTheme="minorEastAsia" w:hAnsiTheme="minorEastAsia" w:eastAsiaTheme="minorEastAsia"/>
          <w:szCs w:val="21"/>
        </w:rPr>
      </w:pPr>
      <w:r>
        <w:rPr>
          <w:rFonts w:cs="宋体" w:asciiTheme="minorEastAsia" w:hAnsiTheme="minorEastAsia" w:eastAsiaTheme="minorEastAsia"/>
          <w:szCs w:val="21"/>
        </w:rPr>
        <w:t>主开关的辅助开关切换动作应与主开关动作一致；</w:t>
      </w:r>
    </w:p>
    <w:p>
      <w:pPr>
        <w:pStyle w:val="41"/>
        <w:numPr>
          <w:ilvl w:val="1"/>
          <w:numId w:val="40"/>
        </w:numPr>
        <w:spacing w:line="360" w:lineRule="auto"/>
        <w:ind w:firstLine="424" w:firstLineChars="202"/>
        <w:rPr>
          <w:rFonts w:cs="宋体" w:asciiTheme="minorEastAsia" w:hAnsiTheme="minorEastAsia" w:eastAsiaTheme="minorEastAsia"/>
          <w:szCs w:val="21"/>
        </w:rPr>
      </w:pPr>
      <w:r>
        <w:rPr>
          <w:rFonts w:cs="宋体" w:asciiTheme="minorEastAsia" w:hAnsiTheme="minorEastAsia" w:eastAsiaTheme="minorEastAsia"/>
          <w:szCs w:val="21"/>
        </w:rPr>
        <w:t>柜、台、箱、盘上的标识器件应标明被控设备编号及名称或操作位置，接线端子应有编号，且清晰、工整、不易脱色；</w:t>
      </w:r>
    </w:p>
    <w:p>
      <w:pPr>
        <w:pStyle w:val="41"/>
        <w:numPr>
          <w:ilvl w:val="1"/>
          <w:numId w:val="40"/>
        </w:numPr>
        <w:spacing w:line="360" w:lineRule="auto"/>
        <w:ind w:firstLine="424" w:firstLineChars="202"/>
        <w:rPr>
          <w:rFonts w:cs="宋体" w:asciiTheme="minorEastAsia" w:hAnsiTheme="minorEastAsia" w:eastAsiaTheme="minorEastAsia"/>
          <w:szCs w:val="21"/>
        </w:rPr>
      </w:pPr>
      <w:r>
        <w:rPr>
          <w:rFonts w:cs="宋体" w:asciiTheme="minorEastAsia" w:hAnsiTheme="minorEastAsia" w:eastAsiaTheme="minorEastAsia"/>
          <w:szCs w:val="21"/>
        </w:rPr>
        <w:t>回路中的电子元件不应参加交流工频耐压试验，</w:t>
      </w:r>
      <w:r>
        <w:rPr>
          <w:rFonts w:hint="eastAsia" w:cs="宋体" w:asciiTheme="minorEastAsia" w:hAnsiTheme="minorEastAsia" w:eastAsiaTheme="minorEastAsia"/>
          <w:color w:val="000000"/>
          <w:szCs w:val="21"/>
        </w:rPr>
        <w:t>50</w:t>
      </w:r>
      <w:r>
        <w:rPr>
          <w:rFonts w:hint="eastAsia" w:cs="仿宋" w:asciiTheme="minorEastAsia" w:hAnsiTheme="minorEastAsia" w:eastAsiaTheme="minorEastAsia"/>
          <w:color w:val="000000"/>
          <w:spacing w:val="0"/>
          <w:w w:val="15"/>
          <w:kern w:val="0"/>
          <w:szCs w:val="21"/>
          <w:fitText w:val="42" w:id="39781238"/>
        </w:rPr>
        <w:t xml:space="preserve">　 </w:t>
      </w:r>
      <w:r>
        <w:rPr>
          <w:rFonts w:hint="eastAsia" w:cs="仿宋" w:asciiTheme="minorEastAsia" w:hAnsiTheme="minorEastAsia" w:eastAsiaTheme="minorEastAsia"/>
          <w:color w:val="000000"/>
          <w:spacing w:val="-17"/>
          <w:w w:val="15"/>
          <w:kern w:val="0"/>
          <w:szCs w:val="21"/>
          <w:fitText w:val="42" w:id="39781238"/>
        </w:rPr>
        <w:t>　</w:t>
      </w:r>
      <w:r>
        <w:rPr>
          <w:rFonts w:hint="eastAsia" w:cs="宋体" w:asciiTheme="minorEastAsia" w:hAnsiTheme="minorEastAsia" w:eastAsiaTheme="minorEastAsia"/>
          <w:color w:val="000000"/>
          <w:szCs w:val="21"/>
        </w:rPr>
        <w:t>V</w:t>
      </w:r>
      <w:r>
        <w:rPr>
          <w:rFonts w:cs="宋体" w:asciiTheme="minorEastAsia" w:hAnsiTheme="minorEastAsia" w:eastAsiaTheme="minorEastAsia"/>
          <w:szCs w:val="21"/>
        </w:rPr>
        <w:t>及以下回路可不做交流工频耐压试验。</w:t>
      </w:r>
    </w:p>
    <w:p>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检查数量：按柜、台、箱、盘总数抽查10</w:t>
      </w:r>
      <w:r>
        <w:rPr>
          <w:rFonts w:hint="eastAsia" w:cs="宋体" w:asciiTheme="minorEastAsia" w:hAnsiTheme="minorEastAsia" w:eastAsiaTheme="minorEastAsia"/>
          <w:color w:val="000000"/>
          <w:szCs w:val="21"/>
        </w:rPr>
        <w:t>%</w:t>
      </w:r>
      <w:r>
        <w:rPr>
          <w:rFonts w:cs="宋体" w:asciiTheme="minorEastAsia" w:hAnsiTheme="minorEastAsia" w:eastAsiaTheme="minorEastAsia"/>
          <w:szCs w:val="21"/>
        </w:rPr>
        <w:t>，且不得少于1台。</w:t>
      </w:r>
    </w:p>
    <w:p>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检查方法：观察检查并按设计图核对规格型号。</w:t>
      </w:r>
    </w:p>
    <w:p>
      <w:pPr>
        <w:pStyle w:val="41"/>
        <w:numPr>
          <w:ilvl w:val="0"/>
          <w:numId w:val="36"/>
        </w:numPr>
        <w:spacing w:line="360" w:lineRule="auto"/>
        <w:ind w:left="0" w:firstLine="0" w:firstLineChars="0"/>
        <w:rPr>
          <w:rFonts w:cs="宋体" w:asciiTheme="minorEastAsia" w:hAnsiTheme="minorEastAsia" w:eastAsiaTheme="minorEastAsia"/>
          <w:szCs w:val="21"/>
        </w:rPr>
      </w:pPr>
      <w:r>
        <w:rPr>
          <w:rFonts w:cs="宋体" w:asciiTheme="minorEastAsia" w:hAnsiTheme="minorEastAsia" w:eastAsiaTheme="minorEastAsia"/>
          <w:szCs w:val="21"/>
        </w:rPr>
        <w:t>低压电器组合应符合下列规定：</w:t>
      </w:r>
    </w:p>
    <w:p>
      <w:pPr>
        <w:pStyle w:val="41"/>
        <w:numPr>
          <w:ilvl w:val="1"/>
          <w:numId w:val="41"/>
        </w:numPr>
        <w:spacing w:line="360" w:lineRule="auto"/>
        <w:ind w:firstLine="424" w:firstLineChars="202"/>
        <w:rPr>
          <w:rFonts w:cs="宋体" w:asciiTheme="minorEastAsia" w:hAnsiTheme="minorEastAsia" w:eastAsiaTheme="minorEastAsia"/>
          <w:szCs w:val="21"/>
        </w:rPr>
      </w:pPr>
      <w:r>
        <w:rPr>
          <w:rFonts w:cs="宋体" w:asciiTheme="minorEastAsia" w:hAnsiTheme="minorEastAsia" w:eastAsiaTheme="minorEastAsia"/>
          <w:szCs w:val="21"/>
        </w:rPr>
        <w:t>发热元件应安装在散热良好的位置；</w:t>
      </w:r>
    </w:p>
    <w:p>
      <w:pPr>
        <w:pStyle w:val="41"/>
        <w:numPr>
          <w:ilvl w:val="1"/>
          <w:numId w:val="41"/>
        </w:numPr>
        <w:spacing w:line="360" w:lineRule="auto"/>
        <w:ind w:firstLine="424" w:firstLineChars="202"/>
        <w:rPr>
          <w:rFonts w:cs="宋体" w:asciiTheme="minorEastAsia" w:hAnsiTheme="minorEastAsia" w:eastAsiaTheme="minorEastAsia"/>
          <w:szCs w:val="21"/>
        </w:rPr>
      </w:pPr>
      <w:r>
        <w:rPr>
          <w:rFonts w:cs="宋体" w:asciiTheme="minorEastAsia" w:hAnsiTheme="minorEastAsia" w:eastAsiaTheme="minorEastAsia"/>
          <w:szCs w:val="21"/>
        </w:rPr>
        <w:t>熔断器的熔体规格、断路器的整定值应符合设计要求；</w:t>
      </w:r>
    </w:p>
    <w:p>
      <w:pPr>
        <w:pStyle w:val="41"/>
        <w:numPr>
          <w:ilvl w:val="1"/>
          <w:numId w:val="41"/>
        </w:numPr>
        <w:spacing w:line="360" w:lineRule="auto"/>
        <w:ind w:firstLine="424" w:firstLineChars="202"/>
        <w:rPr>
          <w:rFonts w:cs="宋体" w:asciiTheme="minorEastAsia" w:hAnsiTheme="minorEastAsia" w:eastAsiaTheme="minorEastAsia"/>
          <w:szCs w:val="21"/>
        </w:rPr>
      </w:pPr>
      <w:r>
        <w:rPr>
          <w:rFonts w:cs="宋体" w:asciiTheme="minorEastAsia" w:hAnsiTheme="minorEastAsia" w:eastAsiaTheme="minorEastAsia"/>
          <w:szCs w:val="21"/>
        </w:rPr>
        <w:t>切换压板应接触良好，相邻压板间应有安全距离，切换时不应触及相邻的压板；</w:t>
      </w:r>
    </w:p>
    <w:p>
      <w:pPr>
        <w:pStyle w:val="41"/>
        <w:numPr>
          <w:ilvl w:val="1"/>
          <w:numId w:val="41"/>
        </w:numPr>
        <w:spacing w:line="360" w:lineRule="auto"/>
        <w:ind w:firstLine="424" w:firstLineChars="202"/>
        <w:rPr>
          <w:rFonts w:cs="宋体" w:asciiTheme="minorEastAsia" w:hAnsiTheme="minorEastAsia" w:eastAsiaTheme="minorEastAsia"/>
          <w:szCs w:val="21"/>
        </w:rPr>
      </w:pPr>
      <w:r>
        <w:rPr>
          <w:rFonts w:cs="宋体" w:asciiTheme="minorEastAsia" w:hAnsiTheme="minorEastAsia" w:eastAsiaTheme="minorEastAsia"/>
          <w:szCs w:val="21"/>
        </w:rPr>
        <w:t>信号回路的信号灯、按钮、光字牌、电铃、电笛、事故电钟等动作和信号显示应准确；</w:t>
      </w:r>
    </w:p>
    <w:p>
      <w:pPr>
        <w:pStyle w:val="41"/>
        <w:numPr>
          <w:ilvl w:val="1"/>
          <w:numId w:val="41"/>
        </w:numPr>
        <w:spacing w:line="360" w:lineRule="auto"/>
        <w:ind w:firstLine="424" w:firstLineChars="202"/>
        <w:rPr>
          <w:rFonts w:cs="宋体" w:asciiTheme="minorEastAsia" w:hAnsiTheme="minorEastAsia" w:eastAsiaTheme="minorEastAsia"/>
          <w:szCs w:val="21"/>
        </w:rPr>
      </w:pPr>
      <w:r>
        <w:rPr>
          <w:rFonts w:cs="宋体" w:asciiTheme="minorEastAsia" w:hAnsiTheme="minorEastAsia" w:eastAsiaTheme="minorEastAsia"/>
          <w:szCs w:val="21"/>
        </w:rPr>
        <w:t>金属外壳需做电击防护时，应与保护导体可靠连接；</w:t>
      </w:r>
    </w:p>
    <w:p>
      <w:pPr>
        <w:pStyle w:val="41"/>
        <w:numPr>
          <w:ilvl w:val="1"/>
          <w:numId w:val="41"/>
        </w:numPr>
        <w:spacing w:line="360" w:lineRule="auto"/>
        <w:ind w:firstLine="424" w:firstLineChars="202"/>
        <w:rPr>
          <w:rFonts w:cs="宋体" w:asciiTheme="minorEastAsia" w:hAnsiTheme="minorEastAsia" w:eastAsiaTheme="minorEastAsia"/>
          <w:szCs w:val="21"/>
        </w:rPr>
      </w:pPr>
      <w:r>
        <w:rPr>
          <w:rFonts w:cs="宋体" w:asciiTheme="minorEastAsia" w:hAnsiTheme="minorEastAsia" w:eastAsiaTheme="minorEastAsia"/>
          <w:szCs w:val="21"/>
        </w:rPr>
        <w:t>端子排应安装牢固，端子应有序号，强电、弱电端子应隔离布置，端子规格应与导线截面积大小适配。</w:t>
      </w:r>
    </w:p>
    <w:p>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检查数量：按低压电器组合完成后的总数抽查10</w:t>
      </w:r>
      <w:r>
        <w:rPr>
          <w:rFonts w:hint="eastAsia" w:cs="宋体" w:asciiTheme="minorEastAsia" w:hAnsiTheme="minorEastAsia" w:eastAsiaTheme="minorEastAsia"/>
          <w:color w:val="000000"/>
          <w:szCs w:val="21"/>
        </w:rPr>
        <w:t>%</w:t>
      </w:r>
      <w:r>
        <w:rPr>
          <w:rFonts w:cs="宋体" w:asciiTheme="minorEastAsia" w:hAnsiTheme="minorEastAsia" w:eastAsiaTheme="minorEastAsia"/>
          <w:szCs w:val="21"/>
        </w:rPr>
        <w:t>，且不得少于1台。</w:t>
      </w:r>
      <w:r>
        <w:rPr>
          <w:rFonts w:hint="eastAsia" w:ascii="MS Mincho" w:hAnsi="MS Mincho" w:eastAsia="MS Mincho" w:cs="MS Mincho"/>
          <w:szCs w:val="21"/>
        </w:rPr>
        <w:t> </w:t>
      </w:r>
    </w:p>
    <w:p>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检查方法：观察检查并按设计图核对电器技术参数</w:t>
      </w:r>
      <w:r>
        <w:rPr>
          <w:rFonts w:hint="eastAsia" w:cs="宋体" w:asciiTheme="minorEastAsia" w:hAnsiTheme="minorEastAsia" w:eastAsiaTheme="minorEastAsia"/>
          <w:szCs w:val="21"/>
        </w:rPr>
        <w:t>。</w:t>
      </w:r>
    </w:p>
    <w:p>
      <w:pPr>
        <w:pStyle w:val="41"/>
        <w:numPr>
          <w:ilvl w:val="0"/>
          <w:numId w:val="36"/>
        </w:numPr>
        <w:spacing w:line="360" w:lineRule="auto"/>
        <w:ind w:left="0" w:firstLine="0" w:firstLineChars="0"/>
        <w:rPr>
          <w:rFonts w:cs="宋体" w:asciiTheme="minorEastAsia" w:hAnsiTheme="minorEastAsia" w:eastAsiaTheme="minorEastAsia"/>
          <w:szCs w:val="21"/>
        </w:rPr>
      </w:pPr>
      <w:r>
        <w:rPr>
          <w:rFonts w:cs="宋体" w:asciiTheme="minorEastAsia" w:hAnsiTheme="minorEastAsia" w:eastAsiaTheme="minorEastAsia"/>
          <w:szCs w:val="21"/>
        </w:rPr>
        <w:t>柜、台、箱、盘间配线应符合下列规定：</w:t>
      </w:r>
    </w:p>
    <w:p>
      <w:pPr>
        <w:pStyle w:val="41"/>
        <w:numPr>
          <w:ilvl w:val="1"/>
          <w:numId w:val="42"/>
        </w:numPr>
        <w:spacing w:line="360" w:lineRule="auto"/>
        <w:ind w:firstLine="424" w:firstLineChars="202"/>
        <w:rPr>
          <w:rFonts w:cs="宋体" w:asciiTheme="minorEastAsia" w:hAnsiTheme="minorEastAsia" w:eastAsiaTheme="minorEastAsia"/>
          <w:szCs w:val="21"/>
        </w:rPr>
      </w:pPr>
      <w:r>
        <w:rPr>
          <w:rFonts w:cs="宋体" w:asciiTheme="minorEastAsia" w:hAnsiTheme="minorEastAsia" w:eastAsiaTheme="minorEastAsia"/>
          <w:szCs w:val="21"/>
        </w:rPr>
        <w:t>二次回路接线应符合设计要求，除电子元件回路或类似回路外，回路的绝缘导线额定电压不应低于450</w:t>
      </w:r>
      <w:r>
        <w:rPr>
          <w:rFonts w:hint="eastAsia" w:cs="宋体" w:asciiTheme="minorEastAsia" w:hAnsiTheme="minorEastAsia" w:eastAsiaTheme="minorEastAsia"/>
          <w:szCs w:val="21"/>
        </w:rPr>
        <w:t>/</w:t>
      </w:r>
      <w:r>
        <w:rPr>
          <w:rFonts w:hint="eastAsia" w:cs="宋体" w:asciiTheme="minorEastAsia" w:hAnsiTheme="minorEastAsia" w:eastAsiaTheme="minorEastAsia"/>
          <w:color w:val="000000"/>
          <w:szCs w:val="21"/>
        </w:rPr>
        <w:t>750 V</w:t>
      </w:r>
      <w:r>
        <w:rPr>
          <w:rFonts w:cs="宋体" w:asciiTheme="minorEastAsia" w:hAnsiTheme="minorEastAsia" w:eastAsiaTheme="minorEastAsia"/>
          <w:szCs w:val="21"/>
        </w:rPr>
        <w:t>；对于铜芯绝缘导线或电缆的导体截面积，电流回路不应小于</w:t>
      </w:r>
      <w:r>
        <w:rPr>
          <w:rFonts w:cs="宋体" w:asciiTheme="minorEastAsia" w:hAnsiTheme="minorEastAsia" w:eastAsiaTheme="minorEastAsia"/>
          <w:color w:val="000000"/>
          <w:szCs w:val="21"/>
        </w:rPr>
        <w:t>2.</w:t>
      </w:r>
      <w:r>
        <w:rPr>
          <w:rFonts w:hint="eastAsia" w:cs="宋体" w:asciiTheme="minorEastAsia" w:hAnsiTheme="minorEastAsia" w:eastAsiaTheme="minorEastAsia"/>
          <w:color w:val="000000"/>
          <w:szCs w:val="21"/>
        </w:rPr>
        <w:t>5</w:t>
      </w:r>
      <w:r>
        <w:rPr>
          <w:rFonts w:hint="eastAsia" w:cs="仿宋" w:asciiTheme="minorEastAsia" w:hAnsiTheme="minorEastAsia" w:eastAsiaTheme="minorEastAsia"/>
          <w:color w:val="000000"/>
          <w:spacing w:val="0"/>
          <w:w w:val="15"/>
          <w:kern w:val="0"/>
          <w:szCs w:val="21"/>
          <w:fitText w:val="42" w:id="322384631"/>
        </w:rPr>
        <w:t xml:space="preserve">　 </w:t>
      </w:r>
      <w:r>
        <w:rPr>
          <w:rFonts w:hint="eastAsia" w:cs="仿宋" w:asciiTheme="minorEastAsia" w:hAnsiTheme="minorEastAsia" w:eastAsiaTheme="minorEastAsia"/>
          <w:color w:val="000000"/>
          <w:spacing w:val="-17"/>
          <w:w w:val="15"/>
          <w:kern w:val="0"/>
          <w:szCs w:val="21"/>
          <w:fitText w:val="42" w:id="322384631"/>
        </w:rPr>
        <w:t>　</w:t>
      </w:r>
      <w:r>
        <w:rPr>
          <w:rFonts w:hint="eastAsia" w:cs="宋体" w:asciiTheme="minorEastAsia" w:hAnsiTheme="minorEastAsia" w:eastAsiaTheme="minorEastAsia"/>
          <w:color w:val="000000"/>
          <w:szCs w:val="21"/>
        </w:rPr>
        <w:t>m</w:t>
      </w:r>
      <w:r>
        <w:rPr>
          <w:rFonts w:cs="宋体" w:asciiTheme="minorEastAsia" w:hAnsiTheme="minorEastAsia" w:eastAsiaTheme="minorEastAsia"/>
          <w:color w:val="000000"/>
          <w:szCs w:val="21"/>
        </w:rPr>
        <w:t>m</w:t>
      </w:r>
      <w:r>
        <w:rPr>
          <w:rFonts w:cs="宋体" w:asciiTheme="minorEastAsia" w:hAnsiTheme="minorEastAsia" w:eastAsiaTheme="minorEastAsia"/>
          <w:color w:val="000000"/>
          <w:szCs w:val="21"/>
          <w:vertAlign w:val="superscript"/>
        </w:rPr>
        <w:t>2</w:t>
      </w:r>
      <w:r>
        <w:rPr>
          <w:rFonts w:cs="宋体" w:asciiTheme="minorEastAsia" w:hAnsiTheme="minorEastAsia" w:eastAsiaTheme="minorEastAsia"/>
          <w:szCs w:val="21"/>
        </w:rPr>
        <w:t>，其他回路不应小于</w:t>
      </w:r>
      <w:r>
        <w:rPr>
          <w:rFonts w:cs="宋体" w:asciiTheme="minorEastAsia" w:hAnsiTheme="minorEastAsia" w:eastAsiaTheme="minorEastAsia"/>
          <w:color w:val="000000"/>
          <w:szCs w:val="21"/>
        </w:rPr>
        <w:t>1.</w:t>
      </w:r>
      <w:r>
        <w:rPr>
          <w:rFonts w:hint="eastAsia" w:cs="宋体" w:asciiTheme="minorEastAsia" w:hAnsiTheme="minorEastAsia" w:eastAsiaTheme="minorEastAsia"/>
          <w:color w:val="000000"/>
          <w:szCs w:val="21"/>
        </w:rPr>
        <w:t>5</w:t>
      </w:r>
      <w:r>
        <w:rPr>
          <w:rFonts w:hint="eastAsia" w:cs="仿宋" w:asciiTheme="minorEastAsia" w:hAnsiTheme="minorEastAsia" w:eastAsiaTheme="minorEastAsia"/>
          <w:color w:val="000000"/>
          <w:spacing w:val="0"/>
          <w:w w:val="15"/>
          <w:kern w:val="0"/>
          <w:szCs w:val="21"/>
          <w:fitText w:val="42" w:id="1406889613"/>
        </w:rPr>
        <w:t xml:space="preserve">　 </w:t>
      </w:r>
      <w:r>
        <w:rPr>
          <w:rFonts w:hint="eastAsia" w:cs="仿宋" w:asciiTheme="minorEastAsia" w:hAnsiTheme="minorEastAsia" w:eastAsiaTheme="minorEastAsia"/>
          <w:color w:val="000000"/>
          <w:spacing w:val="-17"/>
          <w:w w:val="15"/>
          <w:kern w:val="0"/>
          <w:szCs w:val="21"/>
          <w:fitText w:val="42" w:id="1406889613"/>
        </w:rPr>
        <w:t>　</w:t>
      </w:r>
      <w:r>
        <w:rPr>
          <w:rFonts w:hint="eastAsia" w:cs="宋体" w:asciiTheme="minorEastAsia" w:hAnsiTheme="minorEastAsia" w:eastAsiaTheme="minorEastAsia"/>
          <w:color w:val="000000"/>
          <w:szCs w:val="21"/>
        </w:rPr>
        <w:t>m</w:t>
      </w:r>
      <w:r>
        <w:rPr>
          <w:rFonts w:cs="宋体" w:asciiTheme="minorEastAsia" w:hAnsiTheme="minorEastAsia" w:eastAsiaTheme="minorEastAsia"/>
          <w:color w:val="000000"/>
          <w:szCs w:val="21"/>
        </w:rPr>
        <w:t>m</w:t>
      </w:r>
      <w:r>
        <w:rPr>
          <w:rFonts w:cs="宋体" w:asciiTheme="minorEastAsia" w:hAnsiTheme="minorEastAsia" w:eastAsiaTheme="minorEastAsia"/>
          <w:color w:val="000000"/>
          <w:szCs w:val="21"/>
          <w:vertAlign w:val="superscript"/>
        </w:rPr>
        <w:t>2</w:t>
      </w:r>
      <w:r>
        <w:rPr>
          <w:rFonts w:cs="宋体" w:asciiTheme="minorEastAsia" w:hAnsiTheme="minorEastAsia" w:eastAsiaTheme="minorEastAsia"/>
          <w:szCs w:val="21"/>
        </w:rPr>
        <w:t>。</w:t>
      </w:r>
    </w:p>
    <w:p>
      <w:pPr>
        <w:pStyle w:val="41"/>
        <w:numPr>
          <w:ilvl w:val="1"/>
          <w:numId w:val="42"/>
        </w:numPr>
        <w:spacing w:line="360" w:lineRule="auto"/>
        <w:ind w:firstLine="424" w:firstLineChars="202"/>
        <w:rPr>
          <w:rFonts w:cs="宋体" w:asciiTheme="minorEastAsia" w:hAnsiTheme="minorEastAsia" w:eastAsiaTheme="minorEastAsia"/>
          <w:szCs w:val="21"/>
        </w:rPr>
      </w:pPr>
      <w:r>
        <w:rPr>
          <w:rFonts w:cs="宋体" w:asciiTheme="minorEastAsia" w:hAnsiTheme="minorEastAsia" w:eastAsiaTheme="minorEastAsia"/>
          <w:szCs w:val="21"/>
        </w:rPr>
        <w:t>二次回路连线应成束绑扎，不同电压等级、交流、直流线路及计算机控制线路应分别绑扎，且应有标识；固定后不应妨碍手车开关或抽出式部件的拉出或推入。</w:t>
      </w:r>
    </w:p>
    <w:p>
      <w:pPr>
        <w:pStyle w:val="41"/>
        <w:numPr>
          <w:ilvl w:val="1"/>
          <w:numId w:val="42"/>
        </w:numPr>
        <w:spacing w:line="360" w:lineRule="auto"/>
        <w:ind w:firstLine="424" w:firstLineChars="202"/>
        <w:rPr>
          <w:rFonts w:cs="宋体" w:asciiTheme="minorEastAsia" w:hAnsiTheme="minorEastAsia" w:eastAsiaTheme="minorEastAsia"/>
          <w:szCs w:val="21"/>
        </w:rPr>
      </w:pPr>
      <w:r>
        <w:rPr>
          <w:rFonts w:cs="宋体" w:asciiTheme="minorEastAsia" w:hAnsiTheme="minorEastAsia" w:eastAsiaTheme="minorEastAsia"/>
          <w:szCs w:val="21"/>
        </w:rPr>
        <w:t>线缆的弯曲半径不应小于线缆允许弯曲半径。</w:t>
      </w:r>
    </w:p>
    <w:p>
      <w:pPr>
        <w:pStyle w:val="41"/>
        <w:numPr>
          <w:ilvl w:val="1"/>
          <w:numId w:val="42"/>
        </w:numPr>
        <w:spacing w:line="360" w:lineRule="auto"/>
        <w:ind w:firstLine="424" w:firstLineChars="202"/>
        <w:rPr>
          <w:rFonts w:cs="宋体" w:asciiTheme="minorEastAsia" w:hAnsiTheme="minorEastAsia" w:eastAsiaTheme="minorEastAsia"/>
          <w:szCs w:val="21"/>
        </w:rPr>
      </w:pPr>
      <w:r>
        <w:rPr>
          <w:rFonts w:cs="宋体" w:asciiTheme="minorEastAsia" w:hAnsiTheme="minorEastAsia" w:eastAsiaTheme="minorEastAsia"/>
          <w:szCs w:val="21"/>
        </w:rPr>
        <w:t>导线连接不应损伤线芯。</w:t>
      </w:r>
    </w:p>
    <w:p>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检查数量：按柜、台、箱、盘总数抽查10</w:t>
      </w:r>
      <w:r>
        <w:rPr>
          <w:rFonts w:hint="eastAsia" w:cs="宋体" w:asciiTheme="minorEastAsia" w:hAnsiTheme="minorEastAsia" w:eastAsiaTheme="minorEastAsia"/>
          <w:color w:val="000000"/>
          <w:szCs w:val="21"/>
        </w:rPr>
        <w:t>%</w:t>
      </w:r>
      <w:r>
        <w:rPr>
          <w:rFonts w:cs="宋体" w:asciiTheme="minorEastAsia" w:hAnsiTheme="minorEastAsia" w:eastAsiaTheme="minorEastAsia"/>
          <w:szCs w:val="21"/>
        </w:rPr>
        <w:t>，且不得少于1台。</w:t>
      </w:r>
    </w:p>
    <w:p>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检查方法：观察检查。</w:t>
      </w:r>
    </w:p>
    <w:p>
      <w:pPr>
        <w:pStyle w:val="41"/>
        <w:numPr>
          <w:ilvl w:val="0"/>
          <w:numId w:val="36"/>
        </w:numPr>
        <w:spacing w:line="360" w:lineRule="auto"/>
        <w:ind w:left="0" w:firstLine="0" w:firstLineChars="0"/>
        <w:rPr>
          <w:rFonts w:cs="宋体" w:asciiTheme="minorEastAsia" w:hAnsiTheme="minorEastAsia" w:eastAsiaTheme="minorEastAsia"/>
          <w:szCs w:val="21"/>
        </w:rPr>
      </w:pPr>
      <w:r>
        <w:rPr>
          <w:rFonts w:cs="宋体" w:asciiTheme="minorEastAsia" w:hAnsiTheme="minorEastAsia" w:eastAsiaTheme="minorEastAsia"/>
          <w:szCs w:val="21"/>
        </w:rPr>
        <w:t>柜、台、箱、盘面板上的电器连接导线应符合下列规定：</w:t>
      </w:r>
    </w:p>
    <w:p>
      <w:pPr>
        <w:pStyle w:val="41"/>
        <w:numPr>
          <w:ilvl w:val="1"/>
          <w:numId w:val="43"/>
        </w:numPr>
        <w:spacing w:line="360" w:lineRule="auto"/>
        <w:ind w:firstLine="424" w:firstLineChars="202"/>
        <w:rPr>
          <w:rFonts w:cs="宋体" w:asciiTheme="minorEastAsia" w:hAnsiTheme="minorEastAsia" w:eastAsiaTheme="minorEastAsia"/>
          <w:szCs w:val="21"/>
        </w:rPr>
      </w:pPr>
      <w:r>
        <w:rPr>
          <w:rFonts w:cs="宋体" w:asciiTheme="minorEastAsia" w:hAnsiTheme="minorEastAsia" w:eastAsiaTheme="minorEastAsia"/>
          <w:szCs w:val="21"/>
        </w:rPr>
        <w:t>连接导线应采用多芯铜芯绝缘软导线，敷设长度应留有适当裕量；</w:t>
      </w:r>
    </w:p>
    <w:p>
      <w:pPr>
        <w:pStyle w:val="41"/>
        <w:numPr>
          <w:ilvl w:val="1"/>
          <w:numId w:val="43"/>
        </w:numPr>
        <w:spacing w:line="360" w:lineRule="auto"/>
        <w:ind w:firstLine="424" w:firstLineChars="202"/>
        <w:rPr>
          <w:rFonts w:cs="宋体" w:asciiTheme="minorEastAsia" w:hAnsiTheme="minorEastAsia" w:eastAsiaTheme="minorEastAsia"/>
          <w:szCs w:val="21"/>
        </w:rPr>
      </w:pPr>
      <w:r>
        <w:rPr>
          <w:rFonts w:cs="宋体" w:asciiTheme="minorEastAsia" w:hAnsiTheme="minorEastAsia" w:eastAsiaTheme="minorEastAsia"/>
          <w:szCs w:val="21"/>
        </w:rPr>
        <w:t>线束宜</w:t>
      </w:r>
      <w:r>
        <w:rPr>
          <w:rFonts w:hint="eastAsia"/>
        </w:rPr>
        <w:t>用</w:t>
      </w:r>
      <w:r>
        <w:rPr>
          <w:rFonts w:cs="宋体" w:asciiTheme="minorEastAsia" w:hAnsiTheme="minorEastAsia" w:eastAsiaTheme="minorEastAsia"/>
          <w:szCs w:val="21"/>
        </w:rPr>
        <w:t>外套塑料管等加强绝缘保护层；</w:t>
      </w:r>
    </w:p>
    <w:p>
      <w:pPr>
        <w:pStyle w:val="41"/>
        <w:numPr>
          <w:ilvl w:val="1"/>
          <w:numId w:val="43"/>
        </w:numPr>
        <w:spacing w:line="360" w:lineRule="auto"/>
        <w:ind w:firstLine="424" w:firstLineChars="202"/>
        <w:rPr>
          <w:rFonts w:cs="宋体" w:asciiTheme="minorEastAsia" w:hAnsiTheme="minorEastAsia" w:eastAsiaTheme="minorEastAsia"/>
          <w:szCs w:val="21"/>
        </w:rPr>
      </w:pPr>
      <w:r>
        <w:rPr>
          <w:rFonts w:cs="宋体" w:asciiTheme="minorEastAsia" w:hAnsiTheme="minorEastAsia" w:eastAsiaTheme="minorEastAsia"/>
          <w:szCs w:val="21"/>
        </w:rPr>
        <w:t>与电器连接时，端部应绞紧、不松散、不断股，其端部可采用不开口的终端端子或搪锡；</w:t>
      </w:r>
    </w:p>
    <w:p>
      <w:pPr>
        <w:pStyle w:val="41"/>
        <w:numPr>
          <w:ilvl w:val="1"/>
          <w:numId w:val="43"/>
        </w:numPr>
        <w:spacing w:line="360" w:lineRule="auto"/>
        <w:ind w:firstLine="424" w:firstLineChars="202"/>
        <w:rPr>
          <w:rFonts w:cs="宋体" w:asciiTheme="minorEastAsia" w:hAnsiTheme="minorEastAsia" w:eastAsiaTheme="minorEastAsia"/>
          <w:szCs w:val="21"/>
        </w:rPr>
      </w:pPr>
      <w:r>
        <w:rPr>
          <w:rFonts w:cs="宋体" w:asciiTheme="minorEastAsia" w:hAnsiTheme="minorEastAsia" w:eastAsiaTheme="minorEastAsia"/>
          <w:szCs w:val="21"/>
        </w:rPr>
        <w:t>可转动部位的两端应采用卡子固定。</w:t>
      </w:r>
    </w:p>
    <w:p>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检查数量：按柜、台、箱、盘总数抽查10</w:t>
      </w:r>
      <w:r>
        <w:rPr>
          <w:rFonts w:hint="eastAsia" w:cs="宋体" w:asciiTheme="minorEastAsia" w:hAnsiTheme="minorEastAsia" w:eastAsiaTheme="minorEastAsia"/>
          <w:color w:val="000000"/>
          <w:szCs w:val="21"/>
        </w:rPr>
        <w:t>%</w:t>
      </w:r>
      <w:r>
        <w:rPr>
          <w:rFonts w:cs="宋体" w:asciiTheme="minorEastAsia" w:hAnsiTheme="minorEastAsia" w:eastAsiaTheme="minorEastAsia"/>
          <w:szCs w:val="21"/>
        </w:rPr>
        <w:t>，且不得少于1台。</w:t>
      </w:r>
    </w:p>
    <w:p>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检查方法：观察检查。</w:t>
      </w:r>
    </w:p>
    <w:p>
      <w:pPr>
        <w:pStyle w:val="41"/>
        <w:numPr>
          <w:ilvl w:val="0"/>
          <w:numId w:val="36"/>
        </w:numPr>
        <w:spacing w:line="360" w:lineRule="auto"/>
        <w:ind w:left="0" w:firstLine="0" w:firstLineChars="0"/>
        <w:rPr>
          <w:rFonts w:cs="宋体" w:asciiTheme="minorEastAsia" w:hAnsiTheme="minorEastAsia" w:eastAsiaTheme="minorEastAsia"/>
          <w:szCs w:val="21"/>
        </w:rPr>
      </w:pPr>
      <w:r>
        <w:rPr>
          <w:rFonts w:cs="宋体" w:asciiTheme="minorEastAsia" w:hAnsiTheme="minorEastAsia" w:eastAsiaTheme="minorEastAsia"/>
          <w:szCs w:val="21"/>
        </w:rPr>
        <w:t>照明配电箱</w:t>
      </w:r>
      <w:r>
        <w:rPr>
          <w:rFonts w:hint="eastAsia" w:cs="宋体" w:asciiTheme="minorEastAsia" w:hAnsiTheme="minorEastAsia" w:eastAsiaTheme="minorEastAsia"/>
          <w:color w:val="000000"/>
          <w:szCs w:val="21"/>
        </w:rPr>
        <w:t>（</w:t>
      </w:r>
      <w:r>
        <w:rPr>
          <w:rFonts w:cs="宋体" w:asciiTheme="minorEastAsia" w:hAnsiTheme="minorEastAsia" w:eastAsiaTheme="minorEastAsia"/>
          <w:szCs w:val="21"/>
        </w:rPr>
        <w:t>盘</w:t>
      </w:r>
      <w:r>
        <w:rPr>
          <w:rFonts w:hint="eastAsia" w:cs="宋体" w:asciiTheme="minorEastAsia" w:hAnsiTheme="minorEastAsia" w:eastAsiaTheme="minorEastAsia"/>
          <w:color w:val="000000"/>
          <w:szCs w:val="21"/>
        </w:rPr>
        <w:t>）</w:t>
      </w:r>
      <w:r>
        <w:rPr>
          <w:rFonts w:cs="宋体" w:asciiTheme="minorEastAsia" w:hAnsiTheme="minorEastAsia" w:eastAsiaTheme="minorEastAsia"/>
          <w:szCs w:val="21"/>
        </w:rPr>
        <w:t>安装应符合下列规定：</w:t>
      </w:r>
    </w:p>
    <w:p>
      <w:pPr>
        <w:pStyle w:val="41"/>
        <w:numPr>
          <w:ilvl w:val="1"/>
          <w:numId w:val="44"/>
        </w:numPr>
        <w:spacing w:line="360" w:lineRule="auto"/>
        <w:ind w:firstLine="424" w:firstLineChars="202"/>
        <w:rPr>
          <w:rFonts w:asciiTheme="minorEastAsia" w:hAnsiTheme="minorEastAsia" w:eastAsiaTheme="minorEastAsia"/>
          <w:bCs/>
          <w:szCs w:val="21"/>
        </w:rPr>
      </w:pPr>
      <w:r>
        <w:rPr>
          <w:rFonts w:hint="eastAsia" w:asciiTheme="minorEastAsia" w:hAnsiTheme="minorEastAsia" w:eastAsiaTheme="minorEastAsia"/>
          <w:bCs/>
          <w:szCs w:val="21"/>
        </w:rPr>
        <w:t>箱体开孔与导管管径适配，应一管一孔，不得用电、气焊割孔；暗装配电箱箱盖应紧贴墙面，箱（板）涂层应完整。</w:t>
      </w:r>
    </w:p>
    <w:p>
      <w:pPr>
        <w:pStyle w:val="41"/>
        <w:numPr>
          <w:ilvl w:val="1"/>
          <w:numId w:val="44"/>
        </w:numPr>
        <w:spacing w:line="360" w:lineRule="auto"/>
        <w:ind w:firstLine="424" w:firstLineChars="202"/>
        <w:rPr>
          <w:rFonts w:cs="宋体" w:asciiTheme="minorEastAsia" w:hAnsiTheme="minorEastAsia" w:eastAsiaTheme="minorEastAsia"/>
          <w:szCs w:val="21"/>
        </w:rPr>
      </w:pPr>
      <w:r>
        <w:rPr>
          <w:rFonts w:cs="宋体" w:asciiTheme="minorEastAsia" w:hAnsiTheme="minorEastAsia" w:eastAsiaTheme="minorEastAsia"/>
          <w:szCs w:val="21"/>
        </w:rPr>
        <w:t>箱</w:t>
      </w:r>
      <w:r>
        <w:rPr>
          <w:rFonts w:hint="eastAsia" w:cs="宋体" w:asciiTheme="minorEastAsia" w:hAnsiTheme="minorEastAsia" w:eastAsiaTheme="minorEastAsia"/>
          <w:color w:val="000000"/>
          <w:szCs w:val="21"/>
        </w:rPr>
        <w:t>（</w:t>
      </w:r>
      <w:r>
        <w:rPr>
          <w:rFonts w:cs="宋体" w:asciiTheme="minorEastAsia" w:hAnsiTheme="minorEastAsia" w:eastAsiaTheme="minorEastAsia"/>
          <w:szCs w:val="21"/>
        </w:rPr>
        <w:t>盘</w:t>
      </w:r>
      <w:r>
        <w:rPr>
          <w:rFonts w:hint="eastAsia" w:cs="宋体" w:asciiTheme="minorEastAsia" w:hAnsiTheme="minorEastAsia" w:eastAsiaTheme="minorEastAsia"/>
          <w:color w:val="000000"/>
          <w:szCs w:val="21"/>
        </w:rPr>
        <w:t>）</w:t>
      </w:r>
      <w:r>
        <w:rPr>
          <w:rFonts w:cs="宋体" w:asciiTheme="minorEastAsia" w:hAnsiTheme="minorEastAsia" w:eastAsiaTheme="minorEastAsia"/>
          <w:szCs w:val="21"/>
        </w:rPr>
        <w:t>内回路编号应齐全，标识应正确；</w:t>
      </w:r>
    </w:p>
    <w:p>
      <w:pPr>
        <w:pStyle w:val="41"/>
        <w:numPr>
          <w:ilvl w:val="1"/>
          <w:numId w:val="44"/>
        </w:numPr>
        <w:spacing w:line="360" w:lineRule="auto"/>
        <w:ind w:firstLine="424" w:firstLineChars="202"/>
        <w:rPr>
          <w:rFonts w:cs="宋体" w:asciiTheme="minorEastAsia" w:hAnsiTheme="minorEastAsia" w:eastAsiaTheme="minorEastAsia"/>
          <w:szCs w:val="21"/>
        </w:rPr>
      </w:pPr>
      <w:r>
        <w:rPr>
          <w:rFonts w:cs="宋体" w:asciiTheme="minorEastAsia" w:hAnsiTheme="minorEastAsia" w:eastAsiaTheme="minorEastAsia"/>
          <w:szCs w:val="21"/>
        </w:rPr>
        <w:t>箱</w:t>
      </w:r>
      <w:r>
        <w:rPr>
          <w:rFonts w:hint="eastAsia" w:cs="宋体" w:asciiTheme="minorEastAsia" w:hAnsiTheme="minorEastAsia" w:eastAsiaTheme="minorEastAsia"/>
          <w:color w:val="000000"/>
          <w:szCs w:val="21"/>
        </w:rPr>
        <w:t>（</w:t>
      </w:r>
      <w:r>
        <w:rPr>
          <w:rFonts w:cs="宋体" w:asciiTheme="minorEastAsia" w:hAnsiTheme="minorEastAsia" w:eastAsiaTheme="minorEastAsia"/>
          <w:szCs w:val="21"/>
        </w:rPr>
        <w:t>盘</w:t>
      </w:r>
      <w:r>
        <w:rPr>
          <w:rFonts w:hint="eastAsia" w:cs="宋体" w:asciiTheme="minorEastAsia" w:hAnsiTheme="minorEastAsia" w:eastAsiaTheme="minorEastAsia"/>
          <w:color w:val="000000"/>
          <w:szCs w:val="21"/>
        </w:rPr>
        <w:t>）</w:t>
      </w:r>
      <w:r>
        <w:rPr>
          <w:rFonts w:cs="宋体" w:asciiTheme="minorEastAsia" w:hAnsiTheme="minorEastAsia" w:eastAsiaTheme="minorEastAsia"/>
          <w:szCs w:val="21"/>
        </w:rPr>
        <w:t>应采用不燃材料制作；</w:t>
      </w:r>
    </w:p>
    <w:p>
      <w:pPr>
        <w:pStyle w:val="41"/>
        <w:numPr>
          <w:ilvl w:val="1"/>
          <w:numId w:val="44"/>
        </w:numPr>
        <w:spacing w:line="360" w:lineRule="auto"/>
        <w:ind w:firstLine="424" w:firstLineChars="202"/>
        <w:rPr>
          <w:rFonts w:cs="宋体" w:asciiTheme="minorEastAsia" w:hAnsiTheme="minorEastAsia" w:eastAsiaTheme="minorEastAsia"/>
          <w:szCs w:val="21"/>
        </w:rPr>
      </w:pPr>
      <w:r>
        <w:rPr>
          <w:rFonts w:cs="宋体" w:asciiTheme="minorEastAsia" w:hAnsiTheme="minorEastAsia" w:eastAsiaTheme="minorEastAsia"/>
          <w:szCs w:val="21"/>
        </w:rPr>
        <w:t>箱</w:t>
      </w:r>
      <w:r>
        <w:rPr>
          <w:rFonts w:hint="eastAsia" w:cs="宋体" w:asciiTheme="minorEastAsia" w:hAnsiTheme="minorEastAsia" w:eastAsiaTheme="minorEastAsia"/>
          <w:color w:val="000000"/>
          <w:szCs w:val="21"/>
        </w:rPr>
        <w:t>（</w:t>
      </w:r>
      <w:r>
        <w:rPr>
          <w:rFonts w:cs="宋体" w:asciiTheme="minorEastAsia" w:hAnsiTheme="minorEastAsia" w:eastAsiaTheme="minorEastAsia"/>
          <w:szCs w:val="21"/>
        </w:rPr>
        <w:t>盘</w:t>
      </w:r>
      <w:r>
        <w:rPr>
          <w:rFonts w:hint="eastAsia" w:cs="宋体" w:asciiTheme="minorEastAsia" w:hAnsiTheme="minorEastAsia" w:eastAsiaTheme="minorEastAsia"/>
          <w:color w:val="000000"/>
          <w:szCs w:val="21"/>
        </w:rPr>
        <w:t>）</w:t>
      </w:r>
      <w:r>
        <w:rPr>
          <w:rFonts w:cs="宋体" w:asciiTheme="minorEastAsia" w:hAnsiTheme="minorEastAsia" w:eastAsiaTheme="minorEastAsia"/>
          <w:szCs w:val="21"/>
        </w:rPr>
        <w:t>应安装牢固、位置正确、部件齐全，安装高度应符合设计要求，垂直度允许偏差不应大于1.5‰。</w:t>
      </w:r>
    </w:p>
    <w:p>
      <w:pPr>
        <w:pStyle w:val="41"/>
        <w:numPr>
          <w:ilvl w:val="1"/>
          <w:numId w:val="44"/>
        </w:numPr>
        <w:spacing w:line="360" w:lineRule="auto"/>
        <w:ind w:firstLine="424" w:firstLineChars="202"/>
        <w:rPr>
          <w:rFonts w:asciiTheme="minorEastAsia" w:hAnsiTheme="minorEastAsia" w:eastAsiaTheme="minorEastAsia"/>
          <w:bCs/>
          <w:szCs w:val="21"/>
        </w:rPr>
      </w:pPr>
      <w:r>
        <w:rPr>
          <w:rFonts w:hint="eastAsia" w:asciiTheme="minorEastAsia" w:hAnsiTheme="minorEastAsia" w:eastAsiaTheme="minorEastAsia"/>
          <w:bCs/>
          <w:szCs w:val="21"/>
        </w:rPr>
        <w:t>应急照明箱应有明显标识。</w:t>
      </w:r>
    </w:p>
    <w:p>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检查数量：按照明配电箱</w:t>
      </w:r>
      <w:r>
        <w:rPr>
          <w:rFonts w:hint="eastAsia" w:cs="宋体" w:asciiTheme="minorEastAsia" w:hAnsiTheme="minorEastAsia" w:eastAsiaTheme="minorEastAsia"/>
          <w:color w:val="000000"/>
          <w:szCs w:val="21"/>
        </w:rPr>
        <w:t>（</w:t>
      </w:r>
      <w:r>
        <w:rPr>
          <w:rFonts w:cs="宋体" w:asciiTheme="minorEastAsia" w:hAnsiTheme="minorEastAsia" w:eastAsiaTheme="minorEastAsia"/>
          <w:szCs w:val="21"/>
        </w:rPr>
        <w:t>盘</w:t>
      </w:r>
      <w:r>
        <w:rPr>
          <w:rFonts w:hint="eastAsia" w:cs="宋体" w:asciiTheme="minorEastAsia" w:hAnsiTheme="minorEastAsia" w:eastAsiaTheme="minorEastAsia"/>
          <w:color w:val="000000"/>
          <w:szCs w:val="21"/>
        </w:rPr>
        <w:t>）</w:t>
      </w:r>
      <w:r>
        <w:rPr>
          <w:rFonts w:cs="宋体" w:asciiTheme="minorEastAsia" w:hAnsiTheme="minorEastAsia" w:eastAsiaTheme="minorEastAsia"/>
          <w:szCs w:val="21"/>
        </w:rPr>
        <w:t>总数抽查10</w:t>
      </w:r>
      <w:r>
        <w:rPr>
          <w:rFonts w:hint="eastAsia" w:cs="宋体" w:asciiTheme="minorEastAsia" w:hAnsiTheme="minorEastAsia" w:eastAsiaTheme="minorEastAsia"/>
          <w:color w:val="000000"/>
          <w:szCs w:val="21"/>
        </w:rPr>
        <w:t>%</w:t>
      </w:r>
      <w:r>
        <w:rPr>
          <w:rFonts w:cs="宋体" w:asciiTheme="minorEastAsia" w:hAnsiTheme="minorEastAsia" w:eastAsiaTheme="minorEastAsia"/>
          <w:szCs w:val="21"/>
        </w:rPr>
        <w:t>，且不得少于1台。</w:t>
      </w:r>
    </w:p>
    <w:p>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检查方法：观察检查并用线坠尺量检查。</w:t>
      </w:r>
    </w:p>
    <w:p>
      <w:pPr>
        <w:pStyle w:val="41"/>
        <w:numPr>
          <w:ilvl w:val="0"/>
          <w:numId w:val="36"/>
        </w:numPr>
        <w:spacing w:line="360" w:lineRule="auto"/>
        <w:ind w:left="0" w:firstLine="0" w:firstLineChars="0"/>
        <w:rPr>
          <w:rFonts w:asciiTheme="minorEastAsia" w:hAnsiTheme="minorEastAsia" w:eastAsiaTheme="minorEastAsia"/>
          <w:bCs/>
          <w:szCs w:val="21"/>
        </w:rPr>
      </w:pPr>
      <w:r>
        <w:rPr>
          <w:rFonts w:hint="eastAsia" w:asciiTheme="minorEastAsia" w:hAnsiTheme="minorEastAsia" w:eastAsiaTheme="minorEastAsia"/>
          <w:bCs/>
          <w:szCs w:val="21"/>
        </w:rPr>
        <w:t>建筑智能化控制或信号线路引入照明配电箱时应减少与交流供电线路和其他系统的线路交叉，且不得并排敷设或共用同一管槽。</w:t>
      </w:r>
    </w:p>
    <w:p>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检查数量：全数检查。</w:t>
      </w:r>
    </w:p>
    <w:p>
      <w:pPr>
        <w:widowControl/>
        <w:spacing w:line="360" w:lineRule="auto"/>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检查方法：模拟试验时观察检查或查阅检查记录。</w:t>
      </w:r>
    </w:p>
    <w:p>
      <w:pPr>
        <w:pStyle w:val="41"/>
        <w:numPr>
          <w:ilvl w:val="0"/>
          <w:numId w:val="36"/>
        </w:numPr>
        <w:spacing w:line="360" w:lineRule="auto"/>
        <w:ind w:left="0" w:firstLine="0" w:firstLineChars="0"/>
        <w:rPr>
          <w:rFonts w:asciiTheme="minorEastAsia" w:hAnsiTheme="minorEastAsia" w:eastAsiaTheme="minorEastAsia"/>
          <w:bCs/>
          <w:szCs w:val="21"/>
        </w:rPr>
      </w:pPr>
      <w:r>
        <w:rPr>
          <w:rFonts w:hint="eastAsia" w:asciiTheme="minorEastAsia" w:hAnsiTheme="minorEastAsia" w:eastAsiaTheme="minorEastAsia"/>
          <w:bCs/>
          <w:szCs w:val="21"/>
        </w:rPr>
        <w:t>配电箱</w:t>
      </w:r>
      <w:r>
        <w:rPr>
          <w:rFonts w:hint="eastAsia" w:cs="宋体" w:asciiTheme="minorEastAsia" w:hAnsiTheme="minorEastAsia" w:eastAsiaTheme="minorEastAsia"/>
          <w:color w:val="000000"/>
          <w:szCs w:val="21"/>
        </w:rPr>
        <w:t>（</w:t>
      </w:r>
      <w:r>
        <w:rPr>
          <w:rFonts w:hint="eastAsia" w:asciiTheme="minorEastAsia" w:hAnsiTheme="minorEastAsia" w:eastAsiaTheme="minorEastAsia"/>
          <w:bCs/>
          <w:szCs w:val="21"/>
        </w:rPr>
        <w:t>柜</w:t>
      </w:r>
      <w:r>
        <w:rPr>
          <w:rFonts w:hint="eastAsia" w:cs="宋体" w:asciiTheme="minorEastAsia" w:hAnsiTheme="minorEastAsia" w:eastAsiaTheme="minorEastAsia"/>
          <w:color w:val="000000"/>
          <w:szCs w:val="21"/>
        </w:rPr>
        <w:t>）</w:t>
      </w:r>
      <w:r>
        <w:rPr>
          <w:rFonts w:hint="eastAsia" w:asciiTheme="minorEastAsia" w:hAnsiTheme="minorEastAsia" w:eastAsiaTheme="minorEastAsia"/>
          <w:bCs/>
          <w:szCs w:val="21"/>
        </w:rPr>
        <w:t>的安装应符合下列规定：</w:t>
      </w:r>
    </w:p>
    <w:p>
      <w:pPr>
        <w:pStyle w:val="41"/>
        <w:numPr>
          <w:ilvl w:val="1"/>
          <w:numId w:val="45"/>
        </w:numPr>
        <w:spacing w:line="360" w:lineRule="auto"/>
        <w:ind w:firstLine="424" w:firstLineChars="202"/>
        <w:rPr>
          <w:rFonts w:asciiTheme="minorEastAsia" w:hAnsiTheme="minorEastAsia" w:eastAsiaTheme="minorEastAsia"/>
          <w:bCs/>
          <w:szCs w:val="21"/>
        </w:rPr>
      </w:pPr>
      <w:r>
        <w:rPr>
          <w:rFonts w:hint="eastAsia" w:asciiTheme="minorEastAsia" w:hAnsiTheme="minorEastAsia" w:eastAsiaTheme="minorEastAsia"/>
          <w:bCs/>
          <w:szCs w:val="21"/>
        </w:rPr>
        <w:t>配电箱</w:t>
      </w:r>
      <w:r>
        <w:rPr>
          <w:rFonts w:hint="eastAsia" w:cs="宋体" w:asciiTheme="minorEastAsia" w:hAnsiTheme="minorEastAsia" w:eastAsiaTheme="minorEastAsia"/>
          <w:color w:val="000000"/>
          <w:szCs w:val="21"/>
        </w:rPr>
        <w:t>（</w:t>
      </w:r>
      <w:r>
        <w:rPr>
          <w:rFonts w:hint="eastAsia" w:asciiTheme="minorEastAsia" w:hAnsiTheme="minorEastAsia" w:eastAsiaTheme="minorEastAsia"/>
          <w:bCs/>
          <w:szCs w:val="21"/>
        </w:rPr>
        <w:t>柜</w:t>
      </w:r>
      <w:r>
        <w:rPr>
          <w:rFonts w:hint="eastAsia" w:cs="宋体" w:asciiTheme="minorEastAsia" w:hAnsiTheme="minorEastAsia" w:eastAsiaTheme="minorEastAsia"/>
          <w:color w:val="000000"/>
          <w:szCs w:val="21"/>
        </w:rPr>
        <w:t>）</w:t>
      </w:r>
      <w:r>
        <w:rPr>
          <w:rFonts w:hint="eastAsia" w:asciiTheme="minorEastAsia" w:hAnsiTheme="minorEastAsia" w:eastAsiaTheme="minorEastAsia"/>
          <w:bCs/>
          <w:szCs w:val="21"/>
        </w:rPr>
        <w:t>的安装螺栓或焊接强度应满足抗震要求；</w:t>
      </w:r>
    </w:p>
    <w:p>
      <w:pPr>
        <w:pStyle w:val="41"/>
        <w:numPr>
          <w:ilvl w:val="1"/>
          <w:numId w:val="45"/>
        </w:numPr>
        <w:spacing w:line="360" w:lineRule="auto"/>
        <w:ind w:firstLine="424" w:firstLineChars="202"/>
        <w:rPr>
          <w:rFonts w:asciiTheme="minorEastAsia" w:hAnsiTheme="minorEastAsia" w:eastAsiaTheme="minorEastAsia"/>
          <w:bCs/>
          <w:szCs w:val="21"/>
        </w:rPr>
      </w:pPr>
      <w:r>
        <w:rPr>
          <w:rFonts w:hint="eastAsia" w:asciiTheme="minorEastAsia" w:hAnsiTheme="minorEastAsia" w:eastAsiaTheme="minorEastAsia"/>
          <w:bCs/>
          <w:szCs w:val="21"/>
        </w:rPr>
        <w:t>靠墙安装的配电柜底部安装应牢固。当底部安装螺栓或焊接强度不够时，应将顶部与墙壁进行连接；</w:t>
      </w:r>
    </w:p>
    <w:p>
      <w:pPr>
        <w:pStyle w:val="41"/>
        <w:numPr>
          <w:ilvl w:val="1"/>
          <w:numId w:val="45"/>
        </w:numPr>
        <w:spacing w:line="360" w:lineRule="auto"/>
        <w:ind w:firstLine="424" w:firstLineChars="202"/>
        <w:rPr>
          <w:rFonts w:asciiTheme="minorEastAsia" w:hAnsiTheme="minorEastAsia" w:eastAsiaTheme="minorEastAsia"/>
          <w:bCs/>
          <w:szCs w:val="21"/>
        </w:rPr>
      </w:pPr>
      <w:r>
        <w:rPr>
          <w:rFonts w:hint="eastAsia" w:asciiTheme="minorEastAsia" w:hAnsiTheme="minorEastAsia" w:eastAsiaTheme="minorEastAsia"/>
          <w:bCs/>
          <w:szCs w:val="21"/>
        </w:rPr>
        <w:t>当配电柜非靠墙落地安装时，根部应采用金属膨胀螺栓或焊接的固定方式。当</w:t>
      </w:r>
      <w:r>
        <w:rPr>
          <w:rFonts w:asciiTheme="minorEastAsia" w:hAnsiTheme="minorEastAsia" w:eastAsiaTheme="minorEastAsia"/>
          <w:bCs/>
          <w:szCs w:val="21"/>
        </w:rPr>
        <w:t>8</w:t>
      </w:r>
      <w:r>
        <w:rPr>
          <w:rFonts w:hint="eastAsia" w:asciiTheme="minorEastAsia" w:hAnsiTheme="minorEastAsia" w:eastAsiaTheme="minorEastAsia"/>
          <w:bCs/>
          <w:szCs w:val="21"/>
        </w:rPr>
        <w:t>度或</w:t>
      </w:r>
      <w:r>
        <w:rPr>
          <w:rFonts w:asciiTheme="minorEastAsia" w:hAnsiTheme="minorEastAsia" w:eastAsiaTheme="minorEastAsia"/>
          <w:bCs/>
          <w:szCs w:val="21"/>
        </w:rPr>
        <w:t>9</w:t>
      </w:r>
      <w:r>
        <w:rPr>
          <w:rFonts w:hint="eastAsia" w:asciiTheme="minorEastAsia" w:hAnsiTheme="minorEastAsia" w:eastAsiaTheme="minorEastAsia"/>
          <w:bCs/>
          <w:szCs w:val="21"/>
        </w:rPr>
        <w:t>度时，可将几个柜在重心位置以上连成整体；</w:t>
      </w:r>
    </w:p>
    <w:p>
      <w:pPr>
        <w:pStyle w:val="41"/>
        <w:numPr>
          <w:ilvl w:val="1"/>
          <w:numId w:val="45"/>
        </w:numPr>
        <w:spacing w:line="360" w:lineRule="auto"/>
        <w:ind w:firstLine="424" w:firstLineChars="202"/>
        <w:rPr>
          <w:rFonts w:asciiTheme="minorEastAsia" w:hAnsiTheme="minorEastAsia" w:eastAsiaTheme="minorEastAsia"/>
          <w:bCs/>
          <w:szCs w:val="21"/>
        </w:rPr>
      </w:pPr>
      <w:r>
        <w:rPr>
          <w:rFonts w:hint="eastAsia" w:asciiTheme="minorEastAsia" w:hAnsiTheme="minorEastAsia" w:eastAsiaTheme="minorEastAsia"/>
          <w:bCs/>
          <w:szCs w:val="21"/>
        </w:rPr>
        <w:t>壁式安装的配电箱与墙壁之间应采用金属膨胀螺栓连接；</w:t>
      </w:r>
    </w:p>
    <w:p>
      <w:pPr>
        <w:pStyle w:val="41"/>
        <w:numPr>
          <w:ilvl w:val="1"/>
          <w:numId w:val="45"/>
        </w:numPr>
        <w:spacing w:line="360" w:lineRule="auto"/>
        <w:ind w:firstLine="424" w:firstLineChars="202"/>
        <w:rPr>
          <w:rFonts w:asciiTheme="minorEastAsia" w:hAnsiTheme="minorEastAsia" w:eastAsiaTheme="minorEastAsia"/>
          <w:bCs/>
          <w:szCs w:val="21"/>
        </w:rPr>
      </w:pPr>
      <w:r>
        <w:rPr>
          <w:rFonts w:hint="eastAsia" w:asciiTheme="minorEastAsia" w:hAnsiTheme="minorEastAsia" w:eastAsiaTheme="minorEastAsia"/>
          <w:bCs/>
          <w:szCs w:val="21"/>
        </w:rPr>
        <w:t>配电箱</w:t>
      </w:r>
      <w:r>
        <w:rPr>
          <w:rFonts w:hint="eastAsia" w:asciiTheme="minorEastAsia" w:hAnsiTheme="minorEastAsia" w:eastAsiaTheme="minorEastAsia"/>
          <w:bCs/>
          <w:color w:val="000000"/>
          <w:szCs w:val="21"/>
        </w:rPr>
        <w:t>（</w:t>
      </w:r>
      <w:r>
        <w:rPr>
          <w:rFonts w:hint="eastAsia" w:asciiTheme="minorEastAsia" w:hAnsiTheme="minorEastAsia" w:eastAsiaTheme="minorEastAsia"/>
          <w:bCs/>
          <w:szCs w:val="21"/>
        </w:rPr>
        <w:t>柜</w:t>
      </w:r>
      <w:r>
        <w:rPr>
          <w:rFonts w:hint="eastAsia" w:asciiTheme="minorEastAsia" w:hAnsiTheme="minorEastAsia" w:eastAsiaTheme="minorEastAsia"/>
          <w:bCs/>
          <w:color w:val="000000"/>
          <w:szCs w:val="21"/>
        </w:rPr>
        <w:t>）</w:t>
      </w:r>
      <w:r>
        <w:rPr>
          <w:rFonts w:hint="eastAsia" w:asciiTheme="minorEastAsia" w:hAnsiTheme="minorEastAsia" w:eastAsiaTheme="minorEastAsia"/>
          <w:bCs/>
          <w:szCs w:val="21"/>
        </w:rPr>
        <w:t>内的元器件应考虑与支承结构间的相互作用，元器件之间采用软连接，接线处应做防震处理；</w:t>
      </w:r>
    </w:p>
    <w:p>
      <w:pPr>
        <w:pStyle w:val="41"/>
        <w:numPr>
          <w:ilvl w:val="1"/>
          <w:numId w:val="45"/>
        </w:numPr>
        <w:spacing w:line="360" w:lineRule="auto"/>
        <w:ind w:firstLine="424" w:firstLineChars="202"/>
        <w:rPr>
          <w:rFonts w:asciiTheme="minorEastAsia" w:hAnsiTheme="minorEastAsia" w:eastAsiaTheme="minorEastAsia"/>
          <w:bCs/>
          <w:szCs w:val="21"/>
        </w:rPr>
      </w:pPr>
      <w:r>
        <w:rPr>
          <w:rFonts w:hint="eastAsia" w:asciiTheme="minorEastAsia" w:hAnsiTheme="minorEastAsia" w:eastAsiaTheme="minorEastAsia"/>
          <w:bCs/>
          <w:szCs w:val="21"/>
        </w:rPr>
        <w:t>配电箱</w:t>
      </w:r>
      <w:r>
        <w:rPr>
          <w:rFonts w:hint="eastAsia" w:asciiTheme="minorEastAsia" w:hAnsiTheme="minorEastAsia" w:eastAsiaTheme="minorEastAsia"/>
          <w:bCs/>
          <w:color w:val="000000"/>
          <w:szCs w:val="21"/>
        </w:rPr>
        <w:t>（</w:t>
      </w:r>
      <w:r>
        <w:rPr>
          <w:rFonts w:hint="eastAsia" w:asciiTheme="minorEastAsia" w:hAnsiTheme="minorEastAsia" w:eastAsiaTheme="minorEastAsia"/>
          <w:bCs/>
          <w:szCs w:val="21"/>
        </w:rPr>
        <w:t>柜</w:t>
      </w:r>
      <w:r>
        <w:rPr>
          <w:rFonts w:hint="eastAsia" w:asciiTheme="minorEastAsia" w:hAnsiTheme="minorEastAsia" w:eastAsiaTheme="minorEastAsia"/>
          <w:bCs/>
          <w:color w:val="000000"/>
          <w:szCs w:val="21"/>
        </w:rPr>
        <w:t>）</w:t>
      </w:r>
      <w:r>
        <w:rPr>
          <w:rFonts w:hint="eastAsia" w:asciiTheme="minorEastAsia" w:hAnsiTheme="minorEastAsia" w:eastAsiaTheme="minorEastAsia"/>
          <w:bCs/>
          <w:szCs w:val="21"/>
        </w:rPr>
        <w:t>面上的仪表应与柜体组装牢固。</w:t>
      </w:r>
    </w:p>
    <w:p>
      <w:pPr>
        <w:pStyle w:val="3"/>
        <w:numPr>
          <w:ilvl w:val="0"/>
          <w:numId w:val="0"/>
        </w:numPr>
        <w:spacing w:before="120" w:beforeLines="50" w:after="120" w:afterLines="50" w:line="360" w:lineRule="auto"/>
        <w:jc w:val="center"/>
        <w:rPr>
          <w:rFonts w:ascii="宋体" w:hAnsi="宋体" w:eastAsia="宋体" w:cs="宋体"/>
          <w:sz w:val="24"/>
          <w:szCs w:val="24"/>
        </w:rPr>
      </w:pPr>
      <w:bookmarkStart w:id="84" w:name="_Toc136869071"/>
      <w:bookmarkStart w:id="85" w:name="_Toc136868036"/>
      <w:bookmarkStart w:id="86" w:name="_Toc137216230"/>
      <w:r>
        <w:rPr>
          <w:rFonts w:ascii="宋体" w:hAnsi="宋体" w:eastAsia="宋体" w:cs="宋体"/>
          <w:sz w:val="24"/>
          <w:szCs w:val="24"/>
        </w:rPr>
        <w:t xml:space="preserve">4.3 </w:t>
      </w:r>
      <w:r>
        <w:rPr>
          <w:rFonts w:hint="eastAsia" w:ascii="宋体" w:hAnsi="宋体" w:eastAsia="宋体" w:cs="宋体"/>
          <w:sz w:val="24"/>
          <w:szCs w:val="24"/>
        </w:rPr>
        <w:t>备用电源</w:t>
      </w:r>
      <w:bookmarkEnd w:id="84"/>
      <w:bookmarkEnd w:id="85"/>
      <w:bookmarkEnd w:id="86"/>
    </w:p>
    <w:p>
      <w:pPr>
        <w:pStyle w:val="4"/>
        <w:numPr>
          <w:ilvl w:val="0"/>
          <w:numId w:val="46"/>
        </w:numPr>
        <w:spacing w:before="120" w:beforeLines="50" w:after="120" w:afterLines="50"/>
      </w:pPr>
      <w:bookmarkStart w:id="87" w:name="_Toc124168132"/>
      <w:r>
        <w:rPr>
          <w:rFonts w:hint="eastAsia"/>
        </w:rPr>
        <w:t xml:space="preserve"> </w:t>
      </w:r>
      <w:r>
        <w:t xml:space="preserve"> </w:t>
      </w:r>
      <w:r>
        <w:rPr>
          <w:rFonts w:hint="eastAsia"/>
        </w:rPr>
        <w:t>主控项目</w:t>
      </w:r>
      <w:bookmarkEnd w:id="87"/>
    </w:p>
    <w:p>
      <w:pPr>
        <w:pStyle w:val="41"/>
        <w:numPr>
          <w:ilvl w:val="0"/>
          <w:numId w:val="47"/>
        </w:numPr>
        <w:spacing w:line="360" w:lineRule="auto"/>
        <w:ind w:left="0" w:firstLine="0" w:firstLineChars="0"/>
        <w:rPr>
          <w:rFonts w:ascii="宋体" w:hAnsi="宋体"/>
          <w:szCs w:val="21"/>
        </w:rPr>
      </w:pPr>
      <w:r>
        <w:rPr>
          <w:rFonts w:hint="eastAsia" w:ascii="宋体" w:hAnsi="宋体"/>
          <w:szCs w:val="21"/>
        </w:rPr>
        <w:t>发电机的试验应符合附录</w:t>
      </w:r>
      <w:r>
        <w:rPr>
          <w:rFonts w:ascii="宋体" w:hAnsi="宋体"/>
          <w:szCs w:val="21"/>
        </w:rPr>
        <w:t>B</w:t>
      </w:r>
      <w:r>
        <w:rPr>
          <w:rFonts w:hint="eastAsia" w:ascii="宋体" w:hAnsi="宋体"/>
          <w:szCs w:val="21"/>
        </w:rPr>
        <w:t xml:space="preserve">的规定。 </w:t>
      </w:r>
    </w:p>
    <w:p>
      <w:pPr>
        <w:widowControl/>
        <w:spacing w:line="360" w:lineRule="auto"/>
        <w:ind w:firstLine="420" w:firstLineChars="200"/>
        <w:jc w:val="left"/>
        <w:rPr>
          <w:rFonts w:ascii="宋体" w:hAnsi="宋体"/>
          <w:szCs w:val="21"/>
        </w:rPr>
      </w:pPr>
      <w:r>
        <w:rPr>
          <w:rFonts w:hint="eastAsia" w:ascii="宋体" w:hAnsi="宋体"/>
          <w:szCs w:val="21"/>
        </w:rPr>
        <w:t>检查数量：全数检查。</w:t>
      </w:r>
    </w:p>
    <w:p>
      <w:pPr>
        <w:pStyle w:val="41"/>
        <w:snapToGrid w:val="0"/>
        <w:spacing w:line="360" w:lineRule="auto"/>
        <w:rPr>
          <w:rFonts w:ascii="宋体" w:hAnsi="宋体"/>
          <w:szCs w:val="21"/>
        </w:rPr>
      </w:pPr>
      <w:r>
        <w:rPr>
          <w:rFonts w:hint="eastAsia" w:ascii="宋体" w:hAnsi="宋体"/>
          <w:szCs w:val="21"/>
        </w:rPr>
        <w:t>检查方法：试验时观察检查并查阅发电机交接试验记录。</w:t>
      </w:r>
    </w:p>
    <w:p>
      <w:pPr>
        <w:pStyle w:val="41"/>
        <w:numPr>
          <w:ilvl w:val="0"/>
          <w:numId w:val="47"/>
        </w:numPr>
        <w:spacing w:line="360" w:lineRule="auto"/>
        <w:ind w:left="0" w:firstLine="0" w:firstLineChars="0"/>
        <w:rPr>
          <w:rFonts w:ascii="宋体" w:hAnsi="宋体"/>
          <w:szCs w:val="21"/>
        </w:rPr>
      </w:pPr>
      <w:r>
        <w:rPr>
          <w:rFonts w:hint="eastAsia" w:ascii="宋体" w:hAnsi="宋体"/>
          <w:szCs w:val="21"/>
        </w:rPr>
        <w:t>对于发电机组至配电柜馈电线路的相间、相对地间的绝缘电阻值，低压馈电线路不应小于</w:t>
      </w:r>
      <w:r>
        <w:rPr>
          <w:rFonts w:hint="eastAsia" w:ascii="宋体" w:hAnsi="宋体"/>
          <w:color w:val="000000"/>
          <w:szCs w:val="21"/>
        </w:rPr>
        <w:t>0.5 MΩ</w:t>
      </w:r>
      <w:r>
        <w:rPr>
          <w:rFonts w:hint="eastAsia" w:ascii="宋体" w:hAnsi="宋体"/>
          <w:szCs w:val="21"/>
        </w:rPr>
        <w:t>，高压馈电线路不应小于</w:t>
      </w:r>
      <w:r>
        <w:rPr>
          <w:rFonts w:hint="eastAsia" w:ascii="宋体" w:hAnsi="宋体"/>
          <w:color w:val="000000"/>
          <w:szCs w:val="21"/>
        </w:rPr>
        <w:t>1 MΩ/kV</w:t>
      </w:r>
      <w:r>
        <w:rPr>
          <w:rFonts w:hint="eastAsia" w:ascii="宋体" w:hAnsi="宋体"/>
          <w:szCs w:val="21"/>
        </w:rPr>
        <w:t>；绝缘电缆馈电线路直流耐压试验应符合现行国家标准《电气装置安装工程 电气设备交接试验标准》GB 50150的规定。</w:t>
      </w:r>
    </w:p>
    <w:p>
      <w:pPr>
        <w:pStyle w:val="41"/>
        <w:snapToGrid w:val="0"/>
        <w:spacing w:line="360" w:lineRule="auto"/>
        <w:rPr>
          <w:rFonts w:ascii="宋体" w:hAnsi="宋体"/>
          <w:szCs w:val="21"/>
        </w:rPr>
      </w:pPr>
      <w:r>
        <w:rPr>
          <w:rFonts w:hint="eastAsia" w:ascii="宋体" w:hAnsi="宋体"/>
          <w:szCs w:val="21"/>
        </w:rPr>
        <w:t>检查数量：全数检查</w:t>
      </w:r>
    </w:p>
    <w:p>
      <w:pPr>
        <w:pStyle w:val="41"/>
        <w:snapToGrid w:val="0"/>
        <w:spacing w:line="360" w:lineRule="auto"/>
        <w:rPr>
          <w:rFonts w:ascii="宋体" w:hAnsi="宋体"/>
          <w:szCs w:val="21"/>
        </w:rPr>
      </w:pPr>
      <w:r>
        <w:rPr>
          <w:rFonts w:hint="eastAsia" w:ascii="宋体" w:hAnsi="宋体"/>
          <w:szCs w:val="21"/>
        </w:rPr>
        <w:t>检查方法：用绝缘电阻测试仪测试检查，试验时观察检查并查阅测试、试验记录</w:t>
      </w:r>
    </w:p>
    <w:p>
      <w:pPr>
        <w:pStyle w:val="41"/>
        <w:numPr>
          <w:ilvl w:val="0"/>
          <w:numId w:val="47"/>
        </w:numPr>
        <w:spacing w:line="360" w:lineRule="auto"/>
        <w:ind w:left="0" w:firstLine="0" w:firstLineChars="0"/>
        <w:rPr>
          <w:rFonts w:ascii="宋体" w:hAnsi="宋体"/>
          <w:szCs w:val="21"/>
        </w:rPr>
      </w:pPr>
      <w:r>
        <w:rPr>
          <w:rFonts w:hint="eastAsia" w:ascii="宋体" w:hAnsi="宋体"/>
          <w:szCs w:val="21"/>
        </w:rPr>
        <w:t>柴油发电机馈电线路连接后，两端的相序应与原供电系统的相序一致。</w:t>
      </w:r>
    </w:p>
    <w:p>
      <w:pPr>
        <w:pStyle w:val="41"/>
        <w:snapToGrid w:val="0"/>
        <w:spacing w:line="360" w:lineRule="auto"/>
        <w:rPr>
          <w:rFonts w:ascii="宋体" w:hAnsi="宋体"/>
          <w:szCs w:val="21"/>
        </w:rPr>
      </w:pPr>
      <w:r>
        <w:rPr>
          <w:rFonts w:hint="eastAsia" w:ascii="宋体" w:hAnsi="宋体"/>
          <w:szCs w:val="21"/>
        </w:rPr>
        <w:t>检查数量：全数检查</w:t>
      </w:r>
    </w:p>
    <w:p>
      <w:pPr>
        <w:pStyle w:val="41"/>
        <w:snapToGrid w:val="0"/>
        <w:spacing w:line="360" w:lineRule="auto"/>
        <w:rPr>
          <w:rFonts w:ascii="宋体" w:hAnsi="宋体"/>
          <w:szCs w:val="21"/>
        </w:rPr>
      </w:pPr>
      <w:r>
        <w:rPr>
          <w:rFonts w:hint="eastAsia" w:ascii="宋体" w:hAnsi="宋体"/>
          <w:szCs w:val="21"/>
        </w:rPr>
        <w:t>检查方法：核相时观察检查并查阅核相记录</w:t>
      </w:r>
    </w:p>
    <w:p>
      <w:pPr>
        <w:pStyle w:val="41"/>
        <w:numPr>
          <w:ilvl w:val="0"/>
          <w:numId w:val="47"/>
        </w:numPr>
        <w:spacing w:line="360" w:lineRule="auto"/>
        <w:ind w:left="0" w:firstLine="0" w:firstLineChars="0"/>
        <w:rPr>
          <w:rFonts w:ascii="宋体" w:hAnsi="宋体"/>
          <w:szCs w:val="21"/>
        </w:rPr>
      </w:pPr>
      <w:r>
        <w:rPr>
          <w:rFonts w:hint="eastAsia" w:ascii="宋体" w:hAnsi="宋体"/>
          <w:szCs w:val="21"/>
        </w:rPr>
        <w:t xml:space="preserve">当柴油发电机并列运行时，应保证其电压、频率和相位一致。 </w:t>
      </w:r>
    </w:p>
    <w:p>
      <w:pPr>
        <w:pStyle w:val="41"/>
        <w:snapToGrid w:val="0"/>
        <w:spacing w:line="360" w:lineRule="auto"/>
        <w:rPr>
          <w:rFonts w:ascii="宋体" w:hAnsi="宋体"/>
          <w:szCs w:val="21"/>
        </w:rPr>
      </w:pPr>
      <w:r>
        <w:rPr>
          <w:rFonts w:hint="eastAsia" w:ascii="宋体" w:hAnsi="宋体"/>
          <w:szCs w:val="21"/>
        </w:rPr>
        <w:t>检查数量：全数检查</w:t>
      </w:r>
    </w:p>
    <w:p>
      <w:pPr>
        <w:pStyle w:val="41"/>
        <w:snapToGrid w:val="0"/>
        <w:spacing w:line="360" w:lineRule="auto"/>
        <w:rPr>
          <w:rFonts w:ascii="宋体" w:hAnsi="宋体"/>
          <w:szCs w:val="21"/>
        </w:rPr>
      </w:pPr>
      <w:r>
        <w:rPr>
          <w:rFonts w:hint="eastAsia" w:ascii="宋体" w:hAnsi="宋体"/>
          <w:szCs w:val="21"/>
        </w:rPr>
        <w:t>检查方法：观察检查并查阅运行记录</w:t>
      </w:r>
    </w:p>
    <w:p>
      <w:pPr>
        <w:pStyle w:val="41"/>
        <w:numPr>
          <w:ilvl w:val="0"/>
          <w:numId w:val="47"/>
        </w:numPr>
        <w:spacing w:line="360" w:lineRule="auto"/>
        <w:ind w:left="0" w:firstLine="0" w:firstLineChars="0"/>
        <w:rPr>
          <w:rFonts w:ascii="宋体" w:hAnsi="宋体"/>
          <w:szCs w:val="21"/>
        </w:rPr>
      </w:pPr>
      <w:r>
        <w:rPr>
          <w:rFonts w:hint="eastAsia" w:ascii="宋体" w:hAnsi="宋体"/>
          <w:szCs w:val="21"/>
        </w:rPr>
        <w:t xml:space="preserve">发电机的中性点接地连接方式及接地电阻值应符合设计要求，接地螺栓防松零件齐全，且有标识。 </w:t>
      </w:r>
    </w:p>
    <w:p>
      <w:pPr>
        <w:pStyle w:val="41"/>
        <w:snapToGrid w:val="0"/>
        <w:spacing w:line="360" w:lineRule="auto"/>
        <w:rPr>
          <w:rFonts w:ascii="宋体" w:hAnsi="宋体"/>
          <w:szCs w:val="21"/>
        </w:rPr>
      </w:pPr>
      <w:r>
        <w:rPr>
          <w:rFonts w:hint="eastAsia" w:ascii="宋体" w:hAnsi="宋体"/>
          <w:szCs w:val="21"/>
        </w:rPr>
        <w:t>检查数量：全数检查</w:t>
      </w:r>
    </w:p>
    <w:p>
      <w:pPr>
        <w:pStyle w:val="41"/>
        <w:snapToGrid w:val="0"/>
        <w:spacing w:line="360" w:lineRule="auto"/>
        <w:rPr>
          <w:rFonts w:ascii="宋体" w:hAnsi="宋体"/>
          <w:szCs w:val="21"/>
        </w:rPr>
      </w:pPr>
      <w:r>
        <w:rPr>
          <w:rFonts w:hint="eastAsia" w:ascii="宋体" w:hAnsi="宋体"/>
          <w:szCs w:val="21"/>
        </w:rPr>
        <w:t>检查方法：观察检查并用接地电阻测试仪测试</w:t>
      </w:r>
    </w:p>
    <w:p>
      <w:pPr>
        <w:pStyle w:val="41"/>
        <w:numPr>
          <w:ilvl w:val="0"/>
          <w:numId w:val="47"/>
        </w:numPr>
        <w:spacing w:line="360" w:lineRule="auto"/>
        <w:ind w:left="0" w:firstLine="0" w:firstLineChars="0"/>
        <w:rPr>
          <w:rFonts w:ascii="宋体" w:hAnsi="宋体"/>
          <w:szCs w:val="21"/>
        </w:rPr>
      </w:pPr>
      <w:r>
        <w:rPr>
          <w:rFonts w:hint="eastAsia" w:ascii="宋体" w:hAnsi="宋体"/>
          <w:szCs w:val="21"/>
        </w:rPr>
        <w:t>发电机本体和机械部分的外露可导电部分应分别与保护导体可靠连接，并应有标识。</w:t>
      </w:r>
    </w:p>
    <w:p>
      <w:pPr>
        <w:pStyle w:val="41"/>
        <w:snapToGrid w:val="0"/>
        <w:spacing w:line="360" w:lineRule="auto"/>
        <w:rPr>
          <w:rFonts w:ascii="宋体" w:hAnsi="宋体"/>
          <w:szCs w:val="21"/>
        </w:rPr>
      </w:pPr>
      <w:r>
        <w:rPr>
          <w:rFonts w:hint="eastAsia" w:ascii="宋体" w:hAnsi="宋体"/>
          <w:szCs w:val="21"/>
        </w:rPr>
        <w:t xml:space="preserve">检查数量：全数检查 </w:t>
      </w:r>
    </w:p>
    <w:p>
      <w:pPr>
        <w:pStyle w:val="41"/>
        <w:snapToGrid w:val="0"/>
        <w:spacing w:line="360" w:lineRule="auto"/>
        <w:rPr>
          <w:rFonts w:ascii="宋体" w:hAnsi="宋体"/>
          <w:szCs w:val="21"/>
        </w:rPr>
      </w:pPr>
      <w:r>
        <w:rPr>
          <w:rFonts w:hint="eastAsia" w:ascii="宋体" w:hAnsi="宋体"/>
          <w:szCs w:val="21"/>
        </w:rPr>
        <w:t>检查方法：观察检查</w:t>
      </w:r>
    </w:p>
    <w:p>
      <w:pPr>
        <w:pStyle w:val="41"/>
        <w:numPr>
          <w:ilvl w:val="0"/>
          <w:numId w:val="47"/>
        </w:numPr>
        <w:spacing w:line="360" w:lineRule="auto"/>
        <w:ind w:left="0" w:firstLine="0" w:firstLineChars="0"/>
        <w:rPr>
          <w:rFonts w:asciiTheme="minorEastAsia" w:hAnsiTheme="minorEastAsia" w:eastAsiaTheme="minorEastAsia"/>
          <w:szCs w:val="21"/>
        </w:rPr>
      </w:pPr>
      <w:r>
        <w:rPr>
          <w:rFonts w:hint="eastAsia" w:ascii="宋体" w:hAnsi="宋体"/>
          <w:szCs w:val="21"/>
        </w:rPr>
        <w:t>燃油系统</w:t>
      </w:r>
      <w:r>
        <w:rPr>
          <w:rFonts w:hint="eastAsia" w:asciiTheme="minorEastAsia" w:hAnsiTheme="minorEastAsia" w:eastAsiaTheme="minorEastAsia"/>
          <w:szCs w:val="21"/>
        </w:rPr>
        <w:t>的设备及管道的防静电接地应符合设计要求。</w:t>
      </w:r>
    </w:p>
    <w:p>
      <w:pPr>
        <w:pStyle w:val="41"/>
        <w:snapToGrid w:val="0"/>
        <w:spacing w:line="360" w:lineRule="auto"/>
        <w:rPr>
          <w:rFonts w:ascii="宋体" w:hAnsi="宋体"/>
          <w:szCs w:val="21"/>
        </w:rPr>
      </w:pPr>
      <w:r>
        <w:rPr>
          <w:rFonts w:hint="eastAsia" w:ascii="宋体" w:hAnsi="宋体"/>
          <w:szCs w:val="21"/>
        </w:rPr>
        <w:t>检查数量：全数检查</w:t>
      </w:r>
    </w:p>
    <w:p>
      <w:pPr>
        <w:pStyle w:val="41"/>
        <w:snapToGrid w:val="0"/>
        <w:spacing w:line="360" w:lineRule="auto"/>
        <w:rPr>
          <w:rFonts w:ascii="宋体" w:hAnsi="宋体"/>
          <w:szCs w:val="21"/>
        </w:rPr>
      </w:pPr>
      <w:r>
        <w:rPr>
          <w:rFonts w:hint="eastAsia" w:ascii="宋体" w:hAnsi="宋体"/>
          <w:szCs w:val="21"/>
        </w:rPr>
        <w:t>检查方法：观察检查</w:t>
      </w:r>
    </w:p>
    <w:p>
      <w:pPr>
        <w:pStyle w:val="41"/>
        <w:numPr>
          <w:ilvl w:val="0"/>
          <w:numId w:val="47"/>
        </w:numPr>
        <w:spacing w:line="360" w:lineRule="auto"/>
        <w:ind w:left="0" w:firstLine="0" w:firstLineChars="0"/>
        <w:rPr>
          <w:rFonts w:ascii="宋体" w:hAnsi="宋体"/>
          <w:szCs w:val="21"/>
        </w:rPr>
      </w:pPr>
      <w:r>
        <w:rPr>
          <w:rFonts w:hint="eastAsia" w:ascii="宋体" w:hAnsi="宋体"/>
          <w:szCs w:val="21"/>
        </w:rPr>
        <w:t>发电机组的安装应符合下列规定：</w:t>
      </w:r>
    </w:p>
    <w:p>
      <w:pPr>
        <w:pStyle w:val="41"/>
        <w:numPr>
          <w:ilvl w:val="1"/>
          <w:numId w:val="48"/>
        </w:numPr>
        <w:spacing w:line="360" w:lineRule="auto"/>
        <w:ind w:firstLine="424" w:firstLineChars="202"/>
        <w:rPr>
          <w:rFonts w:ascii="宋体" w:hAnsi="宋体"/>
          <w:szCs w:val="21"/>
        </w:rPr>
      </w:pPr>
      <w:r>
        <w:rPr>
          <w:rFonts w:hint="eastAsia" w:ascii="宋体" w:hAnsi="宋体"/>
          <w:szCs w:val="21"/>
        </w:rPr>
        <w:t>应设置震动隔离装置；</w:t>
      </w:r>
    </w:p>
    <w:p>
      <w:pPr>
        <w:pStyle w:val="41"/>
        <w:numPr>
          <w:ilvl w:val="1"/>
          <w:numId w:val="48"/>
        </w:numPr>
        <w:spacing w:line="360" w:lineRule="auto"/>
        <w:ind w:firstLine="424" w:firstLineChars="202"/>
        <w:rPr>
          <w:rFonts w:ascii="宋体" w:hAnsi="宋体"/>
          <w:szCs w:val="21"/>
        </w:rPr>
      </w:pPr>
      <w:r>
        <w:rPr>
          <w:rFonts w:hint="eastAsia" w:ascii="宋体" w:hAnsi="宋体"/>
          <w:szCs w:val="21"/>
        </w:rPr>
        <w:t>与外部管道应采用柔性连接；</w:t>
      </w:r>
    </w:p>
    <w:p>
      <w:pPr>
        <w:pStyle w:val="41"/>
        <w:numPr>
          <w:ilvl w:val="1"/>
          <w:numId w:val="48"/>
        </w:numPr>
        <w:spacing w:line="360" w:lineRule="auto"/>
        <w:ind w:firstLine="424" w:firstLineChars="202"/>
        <w:rPr>
          <w:rFonts w:ascii="宋体" w:hAnsi="宋体"/>
          <w:szCs w:val="21"/>
        </w:rPr>
      </w:pPr>
      <w:r>
        <w:rPr>
          <w:rFonts w:hint="eastAsia" w:ascii="宋体" w:hAnsi="宋体"/>
          <w:szCs w:val="21"/>
        </w:rPr>
        <w:t>设备与基础之间、设备与减震装置之间的地脚螺栓应能承受水平地震力和垂直地震力</w:t>
      </w:r>
    </w:p>
    <w:p>
      <w:pPr>
        <w:pStyle w:val="41"/>
        <w:snapToGrid w:val="0"/>
        <w:spacing w:line="360" w:lineRule="auto"/>
        <w:rPr>
          <w:rFonts w:ascii="宋体" w:hAnsi="宋体"/>
          <w:szCs w:val="21"/>
        </w:rPr>
      </w:pPr>
      <w:r>
        <w:rPr>
          <w:rFonts w:hint="eastAsia" w:ascii="宋体" w:hAnsi="宋体"/>
          <w:szCs w:val="21"/>
        </w:rPr>
        <w:t>检查数量：全数检查</w:t>
      </w:r>
    </w:p>
    <w:p>
      <w:pPr>
        <w:pStyle w:val="41"/>
        <w:snapToGrid w:val="0"/>
        <w:spacing w:line="360" w:lineRule="auto"/>
        <w:rPr>
          <w:rFonts w:ascii="宋体" w:hAnsi="宋体"/>
          <w:szCs w:val="21"/>
        </w:rPr>
      </w:pPr>
      <w:r>
        <w:rPr>
          <w:rFonts w:hint="eastAsia" w:ascii="宋体" w:hAnsi="宋体"/>
          <w:szCs w:val="21"/>
        </w:rPr>
        <w:t>检查方法：观察检查</w:t>
      </w:r>
    </w:p>
    <w:p>
      <w:pPr>
        <w:pStyle w:val="41"/>
        <w:numPr>
          <w:ilvl w:val="0"/>
          <w:numId w:val="47"/>
        </w:numPr>
        <w:spacing w:line="360" w:lineRule="auto"/>
        <w:ind w:left="0" w:firstLine="0" w:firstLineChars="0"/>
        <w:rPr>
          <w:rFonts w:asciiTheme="minorEastAsia" w:hAnsiTheme="minorEastAsia" w:eastAsiaTheme="minorEastAsia"/>
          <w:bCs/>
          <w:szCs w:val="21"/>
        </w:rPr>
      </w:pPr>
      <w:r>
        <w:rPr>
          <w:rFonts w:hint="eastAsia" w:asciiTheme="minorEastAsia" w:hAnsiTheme="minorEastAsia" w:eastAsiaTheme="minorEastAsia"/>
          <w:szCs w:val="21"/>
        </w:rPr>
        <w:t>EPS及UPS应按设计或产品技术文件的要求进行下列检查，且检查结果应符合设计要求：</w:t>
      </w:r>
      <w:r>
        <w:rPr>
          <w:rFonts w:asciiTheme="minorEastAsia" w:hAnsiTheme="minorEastAsia" w:eastAsiaTheme="minorEastAsia"/>
          <w:bCs/>
          <w:szCs w:val="21"/>
        </w:rPr>
        <w:t xml:space="preserve"> </w:t>
      </w:r>
    </w:p>
    <w:p>
      <w:pPr>
        <w:pStyle w:val="41"/>
        <w:numPr>
          <w:ilvl w:val="1"/>
          <w:numId w:val="4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核对初装容量；</w:t>
      </w:r>
    </w:p>
    <w:p>
      <w:pPr>
        <w:pStyle w:val="41"/>
        <w:numPr>
          <w:ilvl w:val="1"/>
          <w:numId w:val="4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核对输入回路断路器的过载和短路电流整定值；</w:t>
      </w:r>
    </w:p>
    <w:p>
      <w:pPr>
        <w:pStyle w:val="41"/>
        <w:numPr>
          <w:ilvl w:val="1"/>
          <w:numId w:val="4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核对各输出回路的负荷量，且不应超过EPS或UPS的额定最大输出容量；</w:t>
      </w:r>
    </w:p>
    <w:p>
      <w:pPr>
        <w:pStyle w:val="41"/>
        <w:numPr>
          <w:ilvl w:val="1"/>
          <w:numId w:val="4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核对蓄电池备用时间及应急电源装置的允许过载能力；</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w:t>
      </w:r>
      <w:r>
        <w:rPr>
          <w:rFonts w:hint="eastAsia" w:ascii="宋体" w:hAnsi="宋体"/>
          <w:szCs w:val="21"/>
        </w:rPr>
        <w:t>：</w:t>
      </w:r>
      <w:r>
        <w:rPr>
          <w:rFonts w:hint="eastAsia" w:asciiTheme="minorEastAsia" w:hAnsiTheme="minorEastAsia" w:eastAsiaTheme="minorEastAsia"/>
          <w:szCs w:val="21"/>
        </w:rPr>
        <w:t>全数检查。</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w:t>
      </w:r>
      <w:r>
        <w:rPr>
          <w:rFonts w:hint="eastAsia" w:ascii="宋体" w:hAnsi="宋体"/>
          <w:szCs w:val="21"/>
        </w:rPr>
        <w:t>：</w:t>
      </w:r>
      <w:r>
        <w:rPr>
          <w:rFonts w:hint="eastAsia" w:asciiTheme="minorEastAsia" w:hAnsiTheme="minorEastAsia" w:eastAsiaTheme="minorEastAsia"/>
          <w:szCs w:val="21"/>
        </w:rPr>
        <w:t>查阅对比设计文件和产品技术文件。</w:t>
      </w:r>
    </w:p>
    <w:p>
      <w:pPr>
        <w:pStyle w:val="41"/>
        <w:numPr>
          <w:ilvl w:val="0"/>
          <w:numId w:val="4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UPS及EPS的绝缘电阻值应符合下列规定</w:t>
      </w:r>
      <w:r>
        <w:rPr>
          <w:rFonts w:hint="eastAsia" w:ascii="宋体" w:hAnsi="宋体"/>
          <w:szCs w:val="21"/>
        </w:rPr>
        <w:t>：</w:t>
      </w:r>
    </w:p>
    <w:p>
      <w:pPr>
        <w:pStyle w:val="41"/>
        <w:numPr>
          <w:ilvl w:val="1"/>
          <w:numId w:val="5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UPS的输入端、输出端对地间绝缘电阻值不应小于</w:t>
      </w:r>
      <w:r>
        <w:rPr>
          <w:rFonts w:hint="eastAsia" w:asciiTheme="minorEastAsia" w:hAnsiTheme="minorEastAsia" w:eastAsiaTheme="minorEastAsia"/>
          <w:color w:val="000000"/>
          <w:szCs w:val="21"/>
        </w:rPr>
        <w:t>2</w:t>
      </w:r>
      <w:r>
        <w:rPr>
          <w:rFonts w:hint="eastAsia" w:cs="仿宋" w:asciiTheme="minorEastAsia" w:hAnsiTheme="minorEastAsia" w:eastAsiaTheme="minorEastAsia"/>
          <w:color w:val="000000"/>
          <w:spacing w:val="0"/>
          <w:w w:val="15"/>
          <w:kern w:val="0"/>
          <w:szCs w:val="21"/>
          <w:fitText w:val="42" w:id="902382024"/>
        </w:rPr>
        <w:t xml:space="preserve">　 </w:t>
      </w:r>
      <w:r>
        <w:rPr>
          <w:rFonts w:hint="eastAsia" w:cs="仿宋" w:asciiTheme="minorEastAsia" w:hAnsiTheme="minorEastAsia" w:eastAsiaTheme="minorEastAsia"/>
          <w:color w:val="000000"/>
          <w:spacing w:val="-17"/>
          <w:w w:val="15"/>
          <w:kern w:val="0"/>
          <w:szCs w:val="21"/>
          <w:fitText w:val="42" w:id="902382024"/>
        </w:rPr>
        <w:t>　</w:t>
      </w:r>
      <w:r>
        <w:rPr>
          <w:rFonts w:hint="eastAsia" w:asciiTheme="minorEastAsia" w:hAnsiTheme="minorEastAsia" w:eastAsiaTheme="minorEastAsia"/>
          <w:color w:val="000000"/>
          <w:szCs w:val="21"/>
        </w:rPr>
        <w:t>MΩ</w:t>
      </w:r>
      <w:r>
        <w:rPr>
          <w:rFonts w:hint="eastAsia" w:asciiTheme="minorEastAsia" w:hAnsiTheme="minorEastAsia" w:eastAsiaTheme="minorEastAsia"/>
          <w:szCs w:val="21"/>
        </w:rPr>
        <w:t>；</w:t>
      </w:r>
    </w:p>
    <w:p>
      <w:pPr>
        <w:pStyle w:val="41"/>
        <w:numPr>
          <w:ilvl w:val="1"/>
          <w:numId w:val="5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 xml:space="preserve">UPS及EPS连线及出线的线间、线对地间绝缘电阻值不应小于 </w:t>
      </w:r>
      <w:r>
        <w:rPr>
          <w:rFonts w:hint="eastAsia" w:asciiTheme="minorEastAsia" w:hAnsiTheme="minorEastAsia" w:eastAsiaTheme="minorEastAsia"/>
          <w:color w:val="000000"/>
          <w:szCs w:val="21"/>
        </w:rPr>
        <w:t>0.5</w:t>
      </w:r>
      <w:r>
        <w:rPr>
          <w:rFonts w:hint="eastAsia" w:cs="仿宋" w:asciiTheme="minorEastAsia" w:hAnsiTheme="minorEastAsia" w:eastAsiaTheme="minorEastAsia"/>
          <w:color w:val="000000"/>
          <w:spacing w:val="0"/>
          <w:w w:val="15"/>
          <w:kern w:val="0"/>
          <w:szCs w:val="21"/>
          <w:fitText w:val="42" w:id="736043438"/>
        </w:rPr>
        <w:t xml:space="preserve">　 </w:t>
      </w:r>
      <w:r>
        <w:rPr>
          <w:rFonts w:hint="eastAsia" w:cs="仿宋" w:asciiTheme="minorEastAsia" w:hAnsiTheme="minorEastAsia" w:eastAsiaTheme="minorEastAsia"/>
          <w:color w:val="000000"/>
          <w:spacing w:val="-17"/>
          <w:w w:val="15"/>
          <w:kern w:val="0"/>
          <w:szCs w:val="21"/>
          <w:fitText w:val="42" w:id="736043438"/>
        </w:rPr>
        <w:t>　</w:t>
      </w:r>
      <w:r>
        <w:rPr>
          <w:rFonts w:hint="eastAsia" w:asciiTheme="minorEastAsia" w:hAnsiTheme="minorEastAsia" w:eastAsiaTheme="minorEastAsia"/>
          <w:color w:val="000000"/>
          <w:szCs w:val="21"/>
        </w:rPr>
        <w:t>MΩ</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w:t>
      </w:r>
      <w:r>
        <w:rPr>
          <w:rFonts w:hint="eastAsia" w:ascii="宋体" w:hAnsi="宋体"/>
          <w:szCs w:val="21"/>
        </w:rPr>
        <w:t>：</w:t>
      </w:r>
      <w:r>
        <w:rPr>
          <w:rFonts w:hint="eastAsia" w:asciiTheme="minorEastAsia" w:hAnsiTheme="minorEastAsia" w:eastAsiaTheme="minorEastAsia"/>
          <w:szCs w:val="21"/>
        </w:rPr>
        <w:t>第1款全数检查</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第 2 款按回路数各抽查 20%，且各不得少于1个回路。</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w:t>
      </w:r>
      <w:r>
        <w:rPr>
          <w:rFonts w:hint="eastAsia" w:ascii="宋体" w:hAnsi="宋体"/>
          <w:szCs w:val="21"/>
        </w:rPr>
        <w:t>：</w:t>
      </w:r>
      <w:r>
        <w:rPr>
          <w:rFonts w:hint="eastAsia" w:asciiTheme="minorEastAsia" w:hAnsiTheme="minorEastAsia" w:eastAsiaTheme="minorEastAsia"/>
          <w:szCs w:val="21"/>
        </w:rPr>
        <w:t>用绝缘电阻测试仪测试并查阅绝缘电阻测试记录。</w:t>
      </w:r>
    </w:p>
    <w:p>
      <w:pPr>
        <w:pStyle w:val="41"/>
        <w:numPr>
          <w:ilvl w:val="0"/>
          <w:numId w:val="4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UPS 输出端的系统接地连接方式应符合设计要求。</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w:t>
      </w:r>
      <w:r>
        <w:rPr>
          <w:rFonts w:hint="eastAsia" w:ascii="宋体" w:hAnsi="宋体"/>
          <w:szCs w:val="21"/>
        </w:rPr>
        <w:t>：</w:t>
      </w:r>
      <w:r>
        <w:rPr>
          <w:rFonts w:hint="eastAsia" w:asciiTheme="minorEastAsia" w:hAnsiTheme="minorEastAsia" w:eastAsiaTheme="minorEastAsia"/>
          <w:szCs w:val="21"/>
        </w:rPr>
        <w:t>全数检查。</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w:t>
      </w:r>
      <w:r>
        <w:rPr>
          <w:rFonts w:hint="eastAsia" w:ascii="宋体" w:hAnsi="宋体"/>
          <w:szCs w:val="21"/>
        </w:rPr>
        <w:t>：</w:t>
      </w:r>
      <w:r>
        <w:rPr>
          <w:rFonts w:hint="eastAsia" w:asciiTheme="minorEastAsia" w:hAnsiTheme="minorEastAsia" w:eastAsiaTheme="minorEastAsia"/>
          <w:szCs w:val="21"/>
        </w:rPr>
        <w:t>按设计图核对检查。</w:t>
      </w:r>
    </w:p>
    <w:p>
      <w:pPr>
        <w:pStyle w:val="41"/>
        <w:numPr>
          <w:ilvl w:val="0"/>
          <w:numId w:val="4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 xml:space="preserve">EPS及UPS </w:t>
      </w:r>
      <w:r>
        <w:rPr>
          <w:rFonts w:asciiTheme="minorEastAsia" w:hAnsiTheme="minorEastAsia" w:eastAsiaTheme="minorEastAsia"/>
          <w:szCs w:val="21"/>
        </w:rPr>
        <w:t>应急持续供电时间</w:t>
      </w:r>
      <w:r>
        <w:rPr>
          <w:rFonts w:hint="eastAsia" w:asciiTheme="minorEastAsia" w:hAnsiTheme="minorEastAsia" w:eastAsiaTheme="minorEastAsia"/>
          <w:szCs w:val="21"/>
        </w:rPr>
        <w:t>应符合设计要求。</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w:t>
      </w:r>
      <w:r>
        <w:rPr>
          <w:rFonts w:hint="eastAsia" w:ascii="宋体" w:hAnsi="宋体"/>
          <w:szCs w:val="21"/>
        </w:rPr>
        <w:t>：</w:t>
      </w:r>
      <w:r>
        <w:rPr>
          <w:rFonts w:hint="eastAsia" w:asciiTheme="minorEastAsia" w:hAnsiTheme="minorEastAsia" w:eastAsiaTheme="minorEastAsia"/>
          <w:szCs w:val="21"/>
        </w:rPr>
        <w:t>全数检查。</w:t>
      </w:r>
    </w:p>
    <w:p>
      <w:pPr>
        <w:spacing w:line="360" w:lineRule="auto"/>
        <w:ind w:firstLine="420" w:firstLineChars="200"/>
        <w:rPr>
          <w:rFonts w:ascii="宋体" w:hAnsi="宋体"/>
          <w:szCs w:val="21"/>
        </w:rPr>
      </w:pPr>
      <w:r>
        <w:rPr>
          <w:rFonts w:hint="eastAsia" w:asciiTheme="minorEastAsia" w:hAnsiTheme="minorEastAsia" w:eastAsiaTheme="minorEastAsia"/>
          <w:szCs w:val="21"/>
        </w:rPr>
        <w:t>检查方法</w:t>
      </w:r>
      <w:r>
        <w:rPr>
          <w:rFonts w:hint="eastAsia" w:ascii="宋体" w:hAnsi="宋体"/>
          <w:szCs w:val="21"/>
        </w:rPr>
        <w:t>：</w:t>
      </w:r>
      <w:r>
        <w:rPr>
          <w:rFonts w:hint="eastAsia" w:asciiTheme="minorEastAsia" w:hAnsiTheme="minorEastAsia" w:eastAsiaTheme="minorEastAsia"/>
          <w:szCs w:val="21"/>
        </w:rPr>
        <w:t>查验试验资料。</w:t>
      </w:r>
    </w:p>
    <w:p>
      <w:pPr>
        <w:pStyle w:val="4"/>
        <w:numPr>
          <w:ilvl w:val="0"/>
          <w:numId w:val="46"/>
        </w:numPr>
        <w:spacing w:before="120" w:beforeLines="50" w:after="120" w:afterLines="50"/>
      </w:pPr>
      <w:r>
        <w:rPr>
          <w:rFonts w:hint="eastAsia"/>
        </w:rPr>
        <w:t xml:space="preserve"> </w:t>
      </w:r>
      <w:r>
        <w:t xml:space="preserve"> </w:t>
      </w:r>
      <w:r>
        <w:rPr>
          <w:rFonts w:hint="eastAsia"/>
        </w:rPr>
        <w:t>一般项目</w:t>
      </w:r>
    </w:p>
    <w:p>
      <w:pPr>
        <w:pStyle w:val="41"/>
        <w:numPr>
          <w:ilvl w:val="0"/>
          <w:numId w:val="47"/>
        </w:numPr>
        <w:spacing w:line="360" w:lineRule="auto"/>
        <w:ind w:left="0" w:firstLine="0" w:firstLineChars="0"/>
        <w:rPr>
          <w:rFonts w:ascii="宋体" w:hAnsi="宋体"/>
          <w:szCs w:val="21"/>
        </w:rPr>
      </w:pPr>
      <w:r>
        <w:rPr>
          <w:rFonts w:hint="eastAsia" w:ascii="宋体" w:hAnsi="宋体"/>
          <w:szCs w:val="21"/>
        </w:rPr>
        <w:t>发电机组随机的配电柜、控制柜接线应正确，紧固件紧固状态良好，无遗漏脱落。开关、保护装置的型号、规格正确，验证出厂试验的锁定标记应无位移，有位移的应重新试验标定。</w:t>
      </w:r>
    </w:p>
    <w:p>
      <w:pPr>
        <w:pStyle w:val="41"/>
        <w:snapToGrid w:val="0"/>
        <w:spacing w:line="360" w:lineRule="auto"/>
        <w:rPr>
          <w:rFonts w:ascii="宋体" w:hAnsi="宋体"/>
          <w:szCs w:val="21"/>
        </w:rPr>
      </w:pPr>
      <w:r>
        <w:rPr>
          <w:rFonts w:hint="eastAsia" w:ascii="宋体" w:hAnsi="宋体"/>
          <w:szCs w:val="21"/>
        </w:rPr>
        <w:t xml:space="preserve">检查数量：全数检查。 </w:t>
      </w:r>
    </w:p>
    <w:p>
      <w:pPr>
        <w:pStyle w:val="41"/>
        <w:snapToGrid w:val="0"/>
        <w:spacing w:line="360" w:lineRule="auto"/>
        <w:rPr>
          <w:rFonts w:ascii="宋体" w:hAnsi="宋体"/>
          <w:szCs w:val="21"/>
        </w:rPr>
      </w:pPr>
      <w:r>
        <w:rPr>
          <w:rFonts w:hint="eastAsia" w:ascii="宋体" w:hAnsi="宋体"/>
          <w:szCs w:val="21"/>
        </w:rPr>
        <w:t>检查方法：观察检查。</w:t>
      </w:r>
    </w:p>
    <w:p>
      <w:pPr>
        <w:pStyle w:val="41"/>
        <w:numPr>
          <w:ilvl w:val="0"/>
          <w:numId w:val="47"/>
        </w:numPr>
        <w:spacing w:line="360" w:lineRule="auto"/>
        <w:ind w:left="0" w:firstLine="0" w:firstLineChars="0"/>
        <w:rPr>
          <w:rFonts w:ascii="宋体" w:hAnsi="宋体"/>
          <w:szCs w:val="21"/>
        </w:rPr>
      </w:pPr>
      <w:r>
        <w:rPr>
          <w:rFonts w:hint="eastAsia" w:ascii="宋体" w:hAnsi="宋体"/>
          <w:szCs w:val="21"/>
        </w:rPr>
        <w:t xml:space="preserve">受电侧配电柜的开关设备、自动或手动切换装置和保护装置等的试验应合格，并应按设计的自备电源使用分配预案进行负荷试验，机组应连续运行无故障。 </w:t>
      </w:r>
    </w:p>
    <w:p>
      <w:pPr>
        <w:pStyle w:val="41"/>
        <w:snapToGrid w:val="0"/>
        <w:spacing w:line="360" w:lineRule="auto"/>
        <w:rPr>
          <w:rFonts w:ascii="宋体" w:hAnsi="宋体"/>
          <w:szCs w:val="21"/>
        </w:rPr>
      </w:pPr>
      <w:r>
        <w:rPr>
          <w:rFonts w:hint="eastAsia" w:ascii="宋体" w:hAnsi="宋体"/>
          <w:szCs w:val="21"/>
        </w:rPr>
        <w:t xml:space="preserve">检查数量：全数检查。 </w:t>
      </w:r>
    </w:p>
    <w:p>
      <w:pPr>
        <w:pStyle w:val="41"/>
        <w:snapToGrid w:val="0"/>
        <w:spacing w:line="360" w:lineRule="auto"/>
        <w:rPr>
          <w:rFonts w:ascii="宋体" w:hAnsi="宋体"/>
          <w:szCs w:val="21"/>
        </w:rPr>
      </w:pPr>
      <w:r>
        <w:rPr>
          <w:rFonts w:hint="eastAsia" w:ascii="宋体" w:hAnsi="宋体"/>
          <w:szCs w:val="21"/>
        </w:rPr>
        <w:t>检查方法：试验时观察检查并查阅</w:t>
      </w:r>
      <w:r>
        <w:rPr>
          <w:rFonts w:hint="eastAsia" w:ascii="宋体" w:hAnsi="宋体"/>
          <w:color w:val="000000"/>
          <w:szCs w:val="21"/>
        </w:rPr>
        <w:t>电器设备</w:t>
      </w:r>
      <w:r>
        <w:rPr>
          <w:rFonts w:hint="eastAsia" w:ascii="宋体" w:hAnsi="宋体"/>
          <w:szCs w:val="21"/>
        </w:rPr>
        <w:t>试验记录和发电机负荷试运行记录。</w:t>
      </w:r>
    </w:p>
    <w:p>
      <w:pPr>
        <w:pStyle w:val="41"/>
        <w:numPr>
          <w:ilvl w:val="0"/>
          <w:numId w:val="47"/>
        </w:numPr>
        <w:spacing w:line="360" w:lineRule="auto"/>
        <w:ind w:left="0" w:firstLine="0" w:firstLineChars="0"/>
        <w:rPr>
          <w:rFonts w:ascii="宋体" w:hAnsi="宋体"/>
          <w:szCs w:val="21"/>
        </w:rPr>
      </w:pPr>
      <w:r>
        <w:rPr>
          <w:rFonts w:hint="eastAsia" w:ascii="宋体" w:hAnsi="宋体"/>
          <w:szCs w:val="21"/>
        </w:rPr>
        <w:t>发电机干燥处理后绝缘电阻和吸收比测试应满足附录</w:t>
      </w:r>
      <w:r>
        <w:rPr>
          <w:rFonts w:ascii="宋体" w:hAnsi="宋体"/>
          <w:szCs w:val="21"/>
        </w:rPr>
        <w:t>B</w:t>
      </w:r>
      <w:r>
        <w:rPr>
          <w:rFonts w:hint="eastAsia" w:ascii="宋体" w:hAnsi="宋体"/>
          <w:szCs w:val="21"/>
        </w:rPr>
        <w:t>的要求。</w:t>
      </w:r>
    </w:p>
    <w:p>
      <w:pPr>
        <w:pStyle w:val="41"/>
        <w:snapToGrid w:val="0"/>
        <w:spacing w:line="360" w:lineRule="auto"/>
        <w:rPr>
          <w:rFonts w:ascii="宋体" w:hAnsi="宋体"/>
          <w:szCs w:val="21"/>
        </w:rPr>
      </w:pPr>
      <w:r>
        <w:rPr>
          <w:rFonts w:hint="eastAsia" w:ascii="宋体" w:hAnsi="宋体"/>
          <w:szCs w:val="21"/>
        </w:rPr>
        <w:t xml:space="preserve">检查数量：全数检查。 </w:t>
      </w:r>
    </w:p>
    <w:p>
      <w:pPr>
        <w:pStyle w:val="41"/>
        <w:snapToGrid w:val="0"/>
        <w:spacing w:line="360" w:lineRule="auto"/>
        <w:rPr>
          <w:rFonts w:ascii="宋体" w:hAnsi="宋体"/>
          <w:szCs w:val="21"/>
        </w:rPr>
      </w:pPr>
      <w:r>
        <w:rPr>
          <w:rFonts w:hint="eastAsia" w:ascii="宋体" w:hAnsi="宋体"/>
          <w:szCs w:val="21"/>
        </w:rPr>
        <w:t>检查方法：用绝缘电阻测试仪测试检查，试验时观察检查并查阅测试、试验记录。</w:t>
      </w:r>
    </w:p>
    <w:p>
      <w:pPr>
        <w:pStyle w:val="41"/>
        <w:numPr>
          <w:ilvl w:val="0"/>
          <w:numId w:val="47"/>
        </w:numPr>
        <w:spacing w:line="360" w:lineRule="auto"/>
        <w:ind w:left="0" w:firstLine="0" w:firstLineChars="0"/>
        <w:rPr>
          <w:rFonts w:ascii="宋体" w:hAnsi="宋体"/>
          <w:szCs w:val="21"/>
          <w:shd w:val="clear" w:color="auto" w:fill="FFFFFF"/>
        </w:rPr>
      </w:pPr>
      <w:r>
        <w:rPr>
          <w:rFonts w:hint="eastAsia" w:ascii="宋体" w:hAnsi="宋体"/>
          <w:szCs w:val="21"/>
        </w:rPr>
        <w:t>柴油发电机组安装应平稳、牢固，连续空载试运行</w:t>
      </w:r>
      <w:r>
        <w:rPr>
          <w:rFonts w:hint="eastAsia" w:ascii="宋体" w:hAnsi="宋体"/>
          <w:color w:val="000000"/>
          <w:szCs w:val="21"/>
        </w:rPr>
        <w:t>2</w:t>
      </w:r>
      <w:r>
        <w:rPr>
          <w:rFonts w:hint="eastAsia" w:cs="仿宋" w:asciiTheme="minorEastAsia" w:hAnsiTheme="minorEastAsia" w:eastAsiaTheme="minorEastAsia"/>
          <w:color w:val="000000"/>
          <w:spacing w:val="0"/>
          <w:w w:val="15"/>
          <w:kern w:val="0"/>
          <w:szCs w:val="21"/>
          <w:fitText w:val="42" w:id="1273366035"/>
        </w:rPr>
        <w:t xml:space="preserve">　 </w:t>
      </w:r>
      <w:r>
        <w:rPr>
          <w:rFonts w:hint="eastAsia" w:cs="仿宋" w:asciiTheme="minorEastAsia" w:hAnsiTheme="minorEastAsia" w:eastAsiaTheme="minorEastAsia"/>
          <w:color w:val="000000"/>
          <w:spacing w:val="-17"/>
          <w:w w:val="15"/>
          <w:kern w:val="0"/>
          <w:szCs w:val="21"/>
          <w:fitText w:val="42" w:id="1273366035"/>
        </w:rPr>
        <w:t>　</w:t>
      </w:r>
      <w:r>
        <w:rPr>
          <w:rFonts w:hint="eastAsia" w:ascii="宋体" w:hAnsi="宋体"/>
          <w:color w:val="000000"/>
          <w:szCs w:val="21"/>
        </w:rPr>
        <w:t>h</w:t>
      </w:r>
      <w:r>
        <w:rPr>
          <w:rFonts w:hint="eastAsia" w:ascii="宋体" w:hAnsi="宋体"/>
          <w:szCs w:val="21"/>
        </w:rPr>
        <w:t>无异常。</w:t>
      </w:r>
    </w:p>
    <w:p>
      <w:pPr>
        <w:pStyle w:val="41"/>
        <w:snapToGrid w:val="0"/>
        <w:spacing w:line="360" w:lineRule="auto"/>
        <w:rPr>
          <w:rFonts w:ascii="宋体" w:hAnsi="宋体"/>
          <w:szCs w:val="21"/>
        </w:rPr>
      </w:pPr>
      <w:r>
        <w:rPr>
          <w:rFonts w:hint="eastAsia" w:ascii="宋体" w:hAnsi="宋体"/>
          <w:szCs w:val="21"/>
        </w:rPr>
        <w:t xml:space="preserve">检查数量：全数检查。 </w:t>
      </w:r>
      <w:r>
        <w:rPr>
          <w:rFonts w:ascii="宋体" w:hAnsi="宋体"/>
          <w:szCs w:val="21"/>
        </w:rPr>
        <w:t xml:space="preserve"> </w:t>
      </w:r>
    </w:p>
    <w:p>
      <w:pPr>
        <w:pStyle w:val="41"/>
        <w:snapToGrid w:val="0"/>
        <w:spacing w:line="360" w:lineRule="auto"/>
        <w:rPr>
          <w:rFonts w:ascii="宋体" w:hAnsi="宋体"/>
          <w:szCs w:val="21"/>
        </w:rPr>
      </w:pPr>
      <w:r>
        <w:rPr>
          <w:rFonts w:hint="eastAsia" w:ascii="宋体" w:hAnsi="宋体"/>
          <w:szCs w:val="21"/>
        </w:rPr>
        <w:t>检查方法：观察检查。</w:t>
      </w:r>
    </w:p>
    <w:p>
      <w:pPr>
        <w:pStyle w:val="41"/>
        <w:numPr>
          <w:ilvl w:val="0"/>
          <w:numId w:val="4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UPS机柜的电缆采用下进下出安装方式时</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宜符合下列规定：</w:t>
      </w:r>
    </w:p>
    <w:p>
      <w:pPr>
        <w:pStyle w:val="41"/>
        <w:numPr>
          <w:ilvl w:val="1"/>
          <w:numId w:val="5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安装在架空地板内时，架空地板高度应不小于</w:t>
      </w:r>
      <w:r>
        <w:rPr>
          <w:rFonts w:hint="eastAsia" w:asciiTheme="minorEastAsia" w:hAnsiTheme="minorEastAsia" w:eastAsiaTheme="minorEastAsia"/>
          <w:color w:val="000000"/>
          <w:szCs w:val="21"/>
        </w:rPr>
        <w:t>200</w:t>
      </w:r>
      <w:r>
        <w:rPr>
          <w:rFonts w:hint="eastAsia" w:cs="仿宋" w:asciiTheme="minorEastAsia" w:hAnsiTheme="minorEastAsia" w:eastAsiaTheme="minorEastAsia"/>
          <w:color w:val="000000"/>
          <w:spacing w:val="0"/>
          <w:w w:val="15"/>
          <w:kern w:val="0"/>
          <w:szCs w:val="21"/>
          <w:fitText w:val="42" w:id="981295182"/>
        </w:rPr>
        <w:t xml:space="preserve">　 </w:t>
      </w:r>
      <w:r>
        <w:rPr>
          <w:rFonts w:hint="eastAsia" w:cs="仿宋" w:asciiTheme="minorEastAsia" w:hAnsiTheme="minorEastAsia" w:eastAsiaTheme="minorEastAsia"/>
          <w:color w:val="000000"/>
          <w:spacing w:val="-17"/>
          <w:w w:val="15"/>
          <w:kern w:val="0"/>
          <w:szCs w:val="21"/>
          <w:fitText w:val="42" w:id="981295182"/>
        </w:rPr>
        <w:t>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w:t>
      </w:r>
      <w:r>
        <w:rPr>
          <w:rFonts w:asciiTheme="minorEastAsia" w:hAnsiTheme="minorEastAsia" w:eastAsiaTheme="minorEastAsia"/>
          <w:szCs w:val="21"/>
        </w:rPr>
        <w:t xml:space="preserve"> </w:t>
      </w:r>
    </w:p>
    <w:p>
      <w:pPr>
        <w:pStyle w:val="41"/>
        <w:numPr>
          <w:ilvl w:val="1"/>
          <w:numId w:val="5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在地面安装时，安装用钢架高度不应小于</w:t>
      </w:r>
      <w:r>
        <w:rPr>
          <w:rFonts w:hint="eastAsia" w:asciiTheme="minorEastAsia" w:hAnsiTheme="minorEastAsia" w:eastAsiaTheme="minorEastAsia"/>
          <w:color w:val="000000"/>
          <w:szCs w:val="21"/>
        </w:rPr>
        <w:t>200</w:t>
      </w:r>
      <w:r>
        <w:rPr>
          <w:rFonts w:hint="eastAsia" w:cs="仿宋" w:asciiTheme="minorEastAsia" w:hAnsiTheme="minorEastAsia" w:eastAsiaTheme="minorEastAsia"/>
          <w:color w:val="000000"/>
          <w:spacing w:val="0"/>
          <w:w w:val="15"/>
          <w:kern w:val="0"/>
          <w:szCs w:val="21"/>
          <w:fitText w:val="42" w:id="2116831307"/>
        </w:rPr>
        <w:t xml:space="preserve">　 </w:t>
      </w:r>
      <w:r>
        <w:rPr>
          <w:rFonts w:hint="eastAsia" w:cs="仿宋" w:asciiTheme="minorEastAsia" w:hAnsiTheme="minorEastAsia" w:eastAsiaTheme="minorEastAsia"/>
          <w:color w:val="000000"/>
          <w:spacing w:val="-17"/>
          <w:w w:val="15"/>
          <w:kern w:val="0"/>
          <w:szCs w:val="21"/>
          <w:fitText w:val="42" w:id="2116831307"/>
        </w:rPr>
        <w:t>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抽检数量</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全数检查。</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观察检查并用拉线尺量检查、线坠尺量检查。</w:t>
      </w:r>
    </w:p>
    <w:p>
      <w:pPr>
        <w:pStyle w:val="41"/>
        <w:numPr>
          <w:ilvl w:val="0"/>
          <w:numId w:val="4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UPS机柜安装前、后净空</w:t>
      </w:r>
      <w:r>
        <w:rPr>
          <w:rFonts w:hint="eastAsia" w:asciiTheme="minorEastAsia" w:hAnsiTheme="minorEastAsia" w:eastAsiaTheme="minorEastAsia"/>
          <w:color w:val="000000"/>
          <w:szCs w:val="21"/>
        </w:rPr>
        <w:t>宜</w:t>
      </w:r>
      <w:r>
        <w:rPr>
          <w:rFonts w:hint="eastAsia" w:asciiTheme="minorEastAsia" w:hAnsiTheme="minorEastAsia" w:eastAsiaTheme="minorEastAsia"/>
          <w:szCs w:val="21"/>
        </w:rPr>
        <w:t>符合下列规定：</w:t>
      </w:r>
    </w:p>
    <w:p>
      <w:pPr>
        <w:pStyle w:val="41"/>
        <w:numPr>
          <w:ilvl w:val="1"/>
          <w:numId w:val="5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当通风方式为前进风、上出风时，UPS机柜后部净空≥</w:t>
      </w:r>
      <w:r>
        <w:rPr>
          <w:rFonts w:hint="eastAsia" w:asciiTheme="minorEastAsia" w:hAnsiTheme="minorEastAsia" w:eastAsiaTheme="minorEastAsia"/>
          <w:color w:val="000000"/>
          <w:szCs w:val="21"/>
        </w:rPr>
        <w:t>500 mm</w:t>
      </w:r>
      <w:r>
        <w:rPr>
          <w:rFonts w:hint="eastAsia" w:asciiTheme="minorEastAsia" w:hAnsiTheme="minorEastAsia" w:eastAsiaTheme="minorEastAsia"/>
          <w:szCs w:val="21"/>
        </w:rPr>
        <w:t>、前部净空≥</w:t>
      </w:r>
      <w:r>
        <w:rPr>
          <w:rFonts w:hint="eastAsia" w:asciiTheme="minorEastAsia" w:hAnsiTheme="minorEastAsia" w:eastAsiaTheme="minorEastAsia"/>
          <w:color w:val="000000"/>
          <w:szCs w:val="21"/>
        </w:rPr>
        <w:t>1000 mm</w:t>
      </w:r>
      <w:r>
        <w:rPr>
          <w:rFonts w:hint="eastAsia" w:asciiTheme="minorEastAsia" w:hAnsiTheme="minorEastAsia" w:eastAsiaTheme="minorEastAsia"/>
          <w:szCs w:val="21"/>
        </w:rPr>
        <w:t>；</w:t>
      </w:r>
      <w:r>
        <w:rPr>
          <w:rFonts w:asciiTheme="minorEastAsia" w:hAnsiTheme="minorEastAsia" w:eastAsiaTheme="minorEastAsia"/>
          <w:szCs w:val="21"/>
        </w:rPr>
        <w:t xml:space="preserve"> </w:t>
      </w:r>
    </w:p>
    <w:p>
      <w:pPr>
        <w:pStyle w:val="41"/>
        <w:numPr>
          <w:ilvl w:val="1"/>
          <w:numId w:val="5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当通风方式为前进风、后出风时，UPS机柜后部净空≥</w:t>
      </w:r>
      <w:r>
        <w:rPr>
          <w:rFonts w:hint="eastAsia" w:asciiTheme="minorEastAsia" w:hAnsiTheme="minorEastAsia" w:eastAsiaTheme="minorEastAsia"/>
          <w:color w:val="000000"/>
          <w:szCs w:val="21"/>
        </w:rPr>
        <w:t>600 mm</w:t>
      </w:r>
      <w:r>
        <w:rPr>
          <w:rFonts w:hint="eastAsia" w:asciiTheme="minorEastAsia" w:hAnsiTheme="minorEastAsia" w:eastAsiaTheme="minorEastAsia"/>
          <w:szCs w:val="21"/>
        </w:rPr>
        <w:t>、前部净空≥</w:t>
      </w:r>
      <w:r>
        <w:rPr>
          <w:rFonts w:hint="eastAsia" w:asciiTheme="minorEastAsia" w:hAnsiTheme="minorEastAsia" w:eastAsiaTheme="minorEastAsia"/>
          <w:color w:val="000000"/>
          <w:szCs w:val="21"/>
        </w:rPr>
        <w:t>1000 mm</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抽检数量</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全数检查。</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观察检查并用拉线尺量检查</w:t>
      </w:r>
      <w:bookmarkStart w:id="433" w:name="_GoBack"/>
      <w:bookmarkEnd w:id="433"/>
      <w:r>
        <w:rPr>
          <w:rFonts w:hint="eastAsia" w:asciiTheme="minorEastAsia" w:hAnsiTheme="minorEastAsia" w:eastAsiaTheme="minorEastAsia"/>
          <w:szCs w:val="21"/>
        </w:rPr>
        <w:t>。</w:t>
      </w:r>
    </w:p>
    <w:p>
      <w:pPr>
        <w:pStyle w:val="41"/>
        <w:numPr>
          <w:ilvl w:val="0"/>
          <w:numId w:val="4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蓄电池的安装应符合下列规定：</w:t>
      </w:r>
    </w:p>
    <w:p>
      <w:pPr>
        <w:pStyle w:val="41"/>
        <w:numPr>
          <w:ilvl w:val="1"/>
          <w:numId w:val="5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蓄电池应安装在抗震架上；</w:t>
      </w:r>
    </w:p>
    <w:p>
      <w:pPr>
        <w:pStyle w:val="41"/>
        <w:numPr>
          <w:ilvl w:val="1"/>
          <w:numId w:val="5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蓄电池间连线应采用柔性导体连接，端电池宜采用电缆作为引出线。</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全数检查。</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按设计图核对检查。</w:t>
      </w:r>
    </w:p>
    <w:p>
      <w:pPr>
        <w:pStyle w:val="41"/>
        <w:numPr>
          <w:ilvl w:val="0"/>
          <w:numId w:val="4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安放 UPS的机架或金属底座的组装应横平竖直、紧固件齐全</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水平度、垂直度允许偏差不应大于 1.5%。</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按设备总数抽查 20%，且各不得少于 1台。</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观察检查并用拉线尺量检查、线坠尺量检查。</w:t>
      </w:r>
    </w:p>
    <w:p>
      <w:pPr>
        <w:pStyle w:val="41"/>
        <w:numPr>
          <w:ilvl w:val="0"/>
          <w:numId w:val="4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引入或出UPS及EPS的主回路绝缘导线、电缆和控制绝缘导线、电缆应分别穿钢导管保护，当在电缆支架上或在梯架托盘和线槽内平行敷设时</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其分隔间距应符合设计要求</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绝缘导线、电缆的屏蔽护套接地应连接可靠、紧固件齐全</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与接地干线应就近连接。</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按装置的主回路总数抽查 10%，且不得少于1个回路</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观察检查并用尺量检查</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查阅相关隐蔽工程检查记录。</w:t>
      </w:r>
    </w:p>
    <w:p>
      <w:pPr>
        <w:pStyle w:val="41"/>
        <w:numPr>
          <w:ilvl w:val="0"/>
          <w:numId w:val="4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UPS及EPS的外露可导电部分应与保护导体可靠连接并应有标识。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按设备总数抽查 20%，且不得少于 1台。</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观察检查。</w:t>
      </w:r>
    </w:p>
    <w:p>
      <w:pPr>
        <w:pStyle w:val="41"/>
        <w:numPr>
          <w:ilvl w:val="0"/>
          <w:numId w:val="4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UPS正常运行时产生的 A声级噪声应符合产品技术文件要求</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全数检查。</w:t>
      </w:r>
    </w:p>
    <w:p>
      <w:pPr>
        <w:spacing w:line="360" w:lineRule="auto"/>
        <w:ind w:firstLine="420" w:firstLineChars="200"/>
        <w:rPr>
          <w:rFonts w:ascii="宋体" w:hAnsi="宋体"/>
          <w:szCs w:val="21"/>
        </w:rPr>
      </w:pPr>
      <w:r>
        <w:rPr>
          <w:rFonts w:hint="eastAsia" w:asciiTheme="minorEastAsia" w:hAnsiTheme="minorEastAsia" w:eastAsiaTheme="minorEastAsia"/>
          <w:szCs w:val="21"/>
        </w:rPr>
        <w:t>检查方法</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用 A 声级计测量检查。</w:t>
      </w:r>
    </w:p>
    <w:p>
      <w:pPr>
        <w:pStyle w:val="3"/>
        <w:numPr>
          <w:ilvl w:val="0"/>
          <w:numId w:val="0"/>
        </w:numPr>
        <w:spacing w:before="120" w:beforeLines="50" w:after="120" w:afterLines="50" w:line="360" w:lineRule="auto"/>
        <w:jc w:val="center"/>
        <w:rPr>
          <w:rFonts w:ascii="宋体" w:hAnsi="宋体" w:eastAsia="宋体" w:cs="宋体"/>
          <w:sz w:val="24"/>
          <w:szCs w:val="24"/>
        </w:rPr>
      </w:pPr>
      <w:bookmarkStart w:id="88" w:name="_Toc136868037"/>
      <w:bookmarkStart w:id="89" w:name="_Toc136869072"/>
      <w:bookmarkStart w:id="90" w:name="_Toc137216231"/>
      <w:r>
        <w:rPr>
          <w:rFonts w:hint="eastAsia" w:ascii="宋体" w:hAnsi="宋体" w:eastAsia="宋体" w:cs="宋体"/>
          <w:sz w:val="24"/>
          <w:szCs w:val="24"/>
        </w:rPr>
        <w:t>4</w:t>
      </w:r>
      <w:r>
        <w:rPr>
          <w:rFonts w:ascii="宋体" w:hAnsi="宋体" w:eastAsia="宋体" w:cs="宋体"/>
          <w:sz w:val="24"/>
          <w:szCs w:val="24"/>
        </w:rPr>
        <w:t xml:space="preserve">.4 </w:t>
      </w:r>
      <w:r>
        <w:rPr>
          <w:rFonts w:hint="eastAsia" w:ascii="宋体" w:hAnsi="宋体" w:eastAsia="宋体" w:cs="宋体"/>
          <w:sz w:val="24"/>
          <w:szCs w:val="24"/>
        </w:rPr>
        <w:t>消防电源</w:t>
      </w:r>
      <w:bookmarkEnd w:id="88"/>
      <w:bookmarkEnd w:id="89"/>
      <w:bookmarkEnd w:id="90"/>
    </w:p>
    <w:p>
      <w:pPr>
        <w:pStyle w:val="4"/>
        <w:spacing w:before="120" w:beforeLines="50" w:after="120" w:afterLines="50"/>
        <w:rPr>
          <w:rFonts w:asciiTheme="minorEastAsia" w:hAnsiTheme="minorEastAsia" w:eastAsiaTheme="minorEastAsia"/>
          <w:sz w:val="21"/>
          <w:szCs w:val="21"/>
        </w:rPr>
      </w:pPr>
      <w:r>
        <w:t>I</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主控项目</w:t>
      </w:r>
    </w:p>
    <w:p>
      <w:pPr>
        <w:pStyle w:val="41"/>
        <w:numPr>
          <w:ilvl w:val="0"/>
          <w:numId w:val="54"/>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消防电源的负荷等级、供电形式，应为正式供电，并符合消防技术标准和消防设计文件要求。</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检查方法：查阅设计文件，查看配电室现场情况。</w:t>
      </w:r>
    </w:p>
    <w:p>
      <w:pPr>
        <w:pStyle w:val="41"/>
        <w:numPr>
          <w:ilvl w:val="0"/>
          <w:numId w:val="54"/>
        </w:numPr>
        <w:spacing w:line="360" w:lineRule="auto"/>
        <w:ind w:left="0" w:firstLine="0" w:firstLineChars="0"/>
        <w:rPr>
          <w:rFonts w:asciiTheme="minorEastAsia" w:hAnsiTheme="minorEastAsia" w:eastAsiaTheme="minorEastAsia"/>
          <w:szCs w:val="21"/>
        </w:rPr>
      </w:pPr>
      <w:r>
        <w:rPr>
          <w:rFonts w:asciiTheme="minorEastAsia" w:hAnsiTheme="minorEastAsia" w:eastAsiaTheme="minorEastAsia"/>
          <w:szCs w:val="21"/>
        </w:rPr>
        <w:t>消防用电设备的专用供电回路应</w:t>
      </w:r>
      <w:r>
        <w:rPr>
          <w:rFonts w:hint="eastAsia" w:asciiTheme="minorEastAsia" w:hAnsiTheme="minorEastAsia" w:eastAsiaTheme="minorEastAsia"/>
          <w:szCs w:val="21"/>
        </w:rPr>
        <w:t>符合设计要求</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检查方法：核对设计和观察检查。</w:t>
      </w:r>
    </w:p>
    <w:p>
      <w:pPr>
        <w:pStyle w:val="4"/>
        <w:spacing w:before="120" w:beforeLines="50" w:after="120" w:afterLines="50"/>
        <w:rPr>
          <w:rFonts w:asciiTheme="minorEastAsia" w:hAnsiTheme="minorEastAsia" w:eastAsiaTheme="minorEastAsia"/>
          <w:sz w:val="21"/>
          <w:szCs w:val="21"/>
        </w:rPr>
      </w:pPr>
      <w:r>
        <w:t>Ⅱ</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一般项目</w:t>
      </w:r>
    </w:p>
    <w:p>
      <w:pPr>
        <w:pStyle w:val="41"/>
        <w:numPr>
          <w:ilvl w:val="0"/>
          <w:numId w:val="54"/>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消防控制室、消防水泵房、防烟与排烟风机房的消防用电设备及消防电梯等最末一级配电箱的双电源自动切换装置的规格、型号、切换功能及切换时间应符合设计要求。配电箱上的仪表、指示灯的显示应正常，开关及控制按钮应灵活、可靠。</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检查方法：核对设计，试验检查。 </w:t>
      </w:r>
    </w:p>
    <w:p>
      <w:pPr>
        <w:pStyle w:val="41"/>
        <w:numPr>
          <w:ilvl w:val="0"/>
          <w:numId w:val="54"/>
        </w:numPr>
        <w:spacing w:line="360" w:lineRule="auto"/>
        <w:ind w:left="0" w:firstLine="0" w:firstLineChars="0"/>
        <w:rPr>
          <w:rFonts w:asciiTheme="minorEastAsia" w:hAnsiTheme="minorEastAsia" w:eastAsiaTheme="minorEastAsia"/>
          <w:szCs w:val="21"/>
        </w:rPr>
      </w:pPr>
      <w:r>
        <w:rPr>
          <w:rFonts w:asciiTheme="minorEastAsia" w:hAnsiTheme="minorEastAsia" w:eastAsiaTheme="minorEastAsia"/>
          <w:szCs w:val="21"/>
        </w:rPr>
        <w:t>消防设备配电箱应有区别于其他配电箱的明显标志，不同消防设备的配电箱应有明显区分标志</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pPr>
        <w:widowControl/>
        <w:ind w:firstLine="424" w:firstLineChars="202"/>
        <w:jc w:val="left"/>
        <w:rPr>
          <w:rFonts w:asciiTheme="minorEastAsia" w:hAnsiTheme="minorEastAsia" w:eastAsiaTheme="minorEastAsia"/>
          <w:szCs w:val="21"/>
        </w:rPr>
      </w:pPr>
      <w:r>
        <w:rPr>
          <w:rFonts w:hint="eastAsia" w:asciiTheme="minorEastAsia" w:hAnsiTheme="minorEastAsia" w:eastAsiaTheme="minorEastAsia"/>
          <w:szCs w:val="21"/>
        </w:rPr>
        <w:t>检查方法：观察检查。</w:t>
      </w:r>
      <w:bookmarkStart w:id="91" w:name="_Toc136868038"/>
      <w:bookmarkStart w:id="92" w:name="_Toc124168137"/>
      <w:bookmarkStart w:id="93" w:name="_Toc136869073"/>
    </w:p>
    <w:p>
      <w:pPr>
        <w:widowControl/>
        <w:ind w:firstLine="424" w:firstLineChars="202"/>
        <w:jc w:val="left"/>
        <w:rPr>
          <w:rFonts w:asciiTheme="minorEastAsia" w:hAnsiTheme="minorEastAsia" w:eastAsiaTheme="minorEastAsia"/>
          <w:szCs w:val="21"/>
        </w:rPr>
      </w:pPr>
    </w:p>
    <w:p>
      <w:pPr>
        <w:widowControl/>
        <w:ind w:firstLine="424" w:firstLineChars="202"/>
        <w:jc w:val="left"/>
        <w:rPr>
          <w:rFonts w:asciiTheme="minorEastAsia" w:hAnsiTheme="minorEastAsia" w:eastAsiaTheme="minorEastAsia"/>
          <w:szCs w:val="21"/>
        </w:rPr>
      </w:pPr>
    </w:p>
    <w:p>
      <w:pPr>
        <w:widowControl/>
        <w:ind w:firstLine="424" w:firstLineChars="202"/>
        <w:jc w:val="left"/>
        <w:rPr>
          <w:rFonts w:asciiTheme="minorEastAsia" w:hAnsiTheme="minorEastAsia" w:eastAsiaTheme="minorEastAsia"/>
          <w:szCs w:val="21"/>
        </w:rPr>
      </w:pPr>
    </w:p>
    <w:p>
      <w:pPr>
        <w:widowControl/>
        <w:ind w:firstLine="424" w:firstLineChars="202"/>
        <w:jc w:val="left"/>
        <w:rPr>
          <w:rFonts w:asciiTheme="minorEastAsia" w:hAnsiTheme="minorEastAsia" w:eastAsiaTheme="minorEastAsia"/>
          <w:szCs w:val="21"/>
        </w:rPr>
      </w:pPr>
    </w:p>
    <w:p>
      <w:pPr>
        <w:widowControl/>
        <w:ind w:firstLine="424" w:firstLineChars="202"/>
        <w:jc w:val="left"/>
        <w:rPr>
          <w:rFonts w:asciiTheme="minorEastAsia" w:hAnsiTheme="minorEastAsia" w:eastAsiaTheme="minorEastAsia"/>
          <w:szCs w:val="21"/>
        </w:rPr>
      </w:pPr>
    </w:p>
    <w:p>
      <w:pPr>
        <w:widowControl/>
        <w:jc w:val="left"/>
        <w:rPr>
          <w:rFonts w:asciiTheme="minorEastAsia" w:hAnsiTheme="minorEastAsia" w:eastAsiaTheme="minorEastAsia"/>
          <w:b/>
          <w:bCs/>
          <w:kern w:val="44"/>
          <w:sz w:val="28"/>
          <w:szCs w:val="28"/>
        </w:rPr>
      </w:pPr>
      <w:r>
        <w:rPr>
          <w:rFonts w:asciiTheme="minorEastAsia" w:hAnsiTheme="minorEastAsia" w:eastAsiaTheme="minorEastAsia"/>
          <w:b/>
          <w:bCs/>
          <w:kern w:val="44"/>
          <w:sz w:val="28"/>
          <w:szCs w:val="28"/>
        </w:rPr>
        <w:br w:type="page"/>
      </w:r>
    </w:p>
    <w:p>
      <w:pPr>
        <w:pStyle w:val="2"/>
        <w:numPr>
          <w:ilvl w:val="0"/>
          <w:numId w:val="4"/>
        </w:numPr>
        <w:spacing w:before="120" w:beforeLines="50" w:after="120" w:afterLines="50" w:line="360" w:lineRule="auto"/>
        <w:jc w:val="center"/>
        <w:rPr>
          <w:rFonts w:asciiTheme="minorEastAsia" w:hAnsiTheme="minorEastAsia" w:eastAsiaTheme="minorEastAsia"/>
          <w:sz w:val="28"/>
          <w:szCs w:val="28"/>
        </w:rPr>
      </w:pPr>
      <w:bookmarkStart w:id="94" w:name="_Toc137216232"/>
      <w:r>
        <w:rPr>
          <w:rFonts w:asciiTheme="minorEastAsia" w:hAnsiTheme="minorEastAsia" w:eastAsiaTheme="minorEastAsia"/>
          <w:sz w:val="28"/>
          <w:szCs w:val="28"/>
        </w:rPr>
        <w:t>管线</w:t>
      </w:r>
      <w:bookmarkEnd w:id="91"/>
      <w:bookmarkEnd w:id="92"/>
      <w:bookmarkEnd w:id="93"/>
      <w:bookmarkEnd w:id="94"/>
    </w:p>
    <w:p>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95" w:name="_Toc124168138"/>
      <w:bookmarkStart w:id="96" w:name="_Toc137216233"/>
      <w:bookmarkStart w:id="97" w:name="_Toc136868039"/>
      <w:bookmarkStart w:id="98" w:name="_Toc136869074"/>
      <w:r>
        <w:rPr>
          <w:rFonts w:hint="eastAsia" w:asciiTheme="minorEastAsia" w:hAnsiTheme="minorEastAsia" w:eastAsiaTheme="minorEastAsia"/>
          <w:sz w:val="24"/>
          <w:szCs w:val="24"/>
        </w:rPr>
        <w:t>5</w:t>
      </w:r>
      <w:r>
        <w:rPr>
          <w:rFonts w:asciiTheme="minorEastAsia" w:hAnsiTheme="minorEastAsia" w:eastAsiaTheme="minorEastAsia"/>
          <w:sz w:val="24"/>
          <w:szCs w:val="24"/>
        </w:rPr>
        <w:t xml:space="preserve">.1 </w:t>
      </w:r>
      <w:bookmarkEnd w:id="95"/>
      <w:r>
        <w:rPr>
          <w:rFonts w:hint="eastAsia" w:asciiTheme="minorEastAsia" w:hAnsiTheme="minorEastAsia" w:eastAsiaTheme="minorEastAsia"/>
          <w:sz w:val="24"/>
          <w:szCs w:val="24"/>
        </w:rPr>
        <w:t>母线槽安装</w:t>
      </w:r>
      <w:bookmarkEnd w:id="96"/>
      <w:bookmarkEnd w:id="97"/>
      <w:bookmarkEnd w:id="98"/>
    </w:p>
    <w:p>
      <w:pPr>
        <w:pStyle w:val="4"/>
        <w:spacing w:before="120" w:beforeLines="50" w:after="120" w:afterLines="50"/>
        <w:rPr>
          <w:rFonts w:asciiTheme="minorEastAsia" w:hAnsiTheme="minorEastAsia" w:eastAsiaTheme="minorEastAsia"/>
          <w:sz w:val="21"/>
          <w:szCs w:val="21"/>
        </w:rPr>
      </w:pPr>
      <w:r>
        <w:t>I</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主控项目</w:t>
      </w:r>
    </w:p>
    <w:p>
      <w:pPr>
        <w:pStyle w:val="41"/>
        <w:numPr>
          <w:ilvl w:val="0"/>
          <w:numId w:val="55"/>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母线槽的金属外壳等外露可导电部分应与保护导体可靠连接，并应符合下列规定：</w:t>
      </w:r>
    </w:p>
    <w:p>
      <w:pPr>
        <w:pStyle w:val="41"/>
        <w:numPr>
          <w:ilvl w:val="1"/>
          <w:numId w:val="5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每段母线槽的金属外壳间应连接可靠，且母线槽全长与保护导体可靠连接不应少于2处；</w:t>
      </w:r>
    </w:p>
    <w:p>
      <w:pPr>
        <w:pStyle w:val="41"/>
        <w:numPr>
          <w:ilvl w:val="1"/>
          <w:numId w:val="5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分支母线槽的金属外壳末端应与保护导体可靠连接；</w:t>
      </w:r>
    </w:p>
    <w:p>
      <w:pPr>
        <w:pStyle w:val="41"/>
        <w:numPr>
          <w:ilvl w:val="1"/>
          <w:numId w:val="5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连接导体的材质、</w:t>
      </w:r>
      <w:r>
        <w:rPr>
          <w:rFonts w:hint="eastAsia" w:asciiTheme="minorEastAsia" w:hAnsiTheme="minorEastAsia" w:eastAsiaTheme="minorEastAsia" w:cstheme="minorBidi"/>
          <w:szCs w:val="21"/>
        </w:rPr>
        <w:t>截面</w:t>
      </w:r>
      <w:r>
        <w:rPr>
          <w:rFonts w:hint="eastAsia" w:asciiTheme="minorEastAsia" w:hAnsiTheme="minorEastAsia" w:eastAsiaTheme="minorEastAsia"/>
          <w:szCs w:val="21"/>
        </w:rPr>
        <w:t>积应符合设计要求。</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检查方法：观察检查并用尺量检查。</w:t>
      </w:r>
    </w:p>
    <w:p>
      <w:pPr>
        <w:pStyle w:val="41"/>
        <w:numPr>
          <w:ilvl w:val="0"/>
          <w:numId w:val="55"/>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当设计将母线槽的金属外壳作为保护接地导体（PE）时，其外壳导体应具有连续性且应符合现行国家标准</w:t>
      </w:r>
      <w:r>
        <w:rPr>
          <w:rFonts w:hint="eastAsia" w:asciiTheme="minorEastAsia" w:hAnsiTheme="minorEastAsia" w:eastAsiaTheme="minorEastAsia"/>
          <w:color w:val="000000"/>
          <w:szCs w:val="21"/>
        </w:rPr>
        <w:t>《低压成套开关设备和控制设备第1部分：总则》GB</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7251.1</w:t>
      </w:r>
      <w:r>
        <w:rPr>
          <w:rFonts w:hint="eastAsia"/>
        </w:rPr>
        <w:t>-</w:t>
      </w:r>
      <w:r>
        <w:rPr>
          <w:rFonts w:hint="eastAsia" w:asciiTheme="minorEastAsia" w:hAnsiTheme="minorEastAsia" w:eastAsiaTheme="minorEastAsia"/>
          <w:szCs w:val="21"/>
        </w:rPr>
        <w:t>2013的规定。</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检查方法：观察检查并查验材料合格证明文件、CCC型式试验报告和材料进场验收记录</w:t>
      </w:r>
    </w:p>
    <w:p>
      <w:pPr>
        <w:pStyle w:val="41"/>
        <w:numPr>
          <w:ilvl w:val="0"/>
          <w:numId w:val="55"/>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当母线与母线、母线与电器或设备接线端子采用螺栓搭接连接时，应符合下列规定：</w:t>
      </w:r>
    </w:p>
    <w:p>
      <w:pPr>
        <w:pStyle w:val="41"/>
        <w:numPr>
          <w:ilvl w:val="1"/>
          <w:numId w:val="57"/>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母线的各类搭接连接的钻孔直径和搭接长度应符合本规范附录</w:t>
      </w:r>
      <w:r>
        <w:rPr>
          <w:rFonts w:asciiTheme="minorEastAsia" w:hAnsiTheme="minorEastAsia" w:eastAsiaTheme="minorEastAsia"/>
          <w:szCs w:val="21"/>
        </w:rPr>
        <w:t>C</w:t>
      </w:r>
      <w:r>
        <w:rPr>
          <w:rFonts w:hint="eastAsia" w:asciiTheme="minorEastAsia" w:hAnsiTheme="minorEastAsia" w:eastAsiaTheme="minorEastAsia"/>
          <w:szCs w:val="21"/>
        </w:rPr>
        <w:t>的规定，连接螺栓的力矩值应符合本规范附录</w:t>
      </w:r>
      <w:r>
        <w:rPr>
          <w:rFonts w:asciiTheme="minorEastAsia" w:hAnsiTheme="minorEastAsia" w:eastAsiaTheme="minorEastAsia"/>
          <w:szCs w:val="21"/>
        </w:rPr>
        <w:t>D</w:t>
      </w:r>
      <w:r>
        <w:rPr>
          <w:rFonts w:hint="eastAsia" w:asciiTheme="minorEastAsia" w:hAnsiTheme="minorEastAsia" w:eastAsiaTheme="minorEastAsia"/>
          <w:szCs w:val="21"/>
        </w:rPr>
        <w:t>的规定；当一个连接处需要多个螺栓连接时，每个螺栓的拧紧力矩值应一致。</w:t>
      </w:r>
    </w:p>
    <w:p>
      <w:pPr>
        <w:pStyle w:val="41"/>
        <w:numPr>
          <w:ilvl w:val="1"/>
          <w:numId w:val="57"/>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母线接触面应保持清洁，宜涂抗氧化剂，螺栓孔周边应无毛刺。</w:t>
      </w:r>
    </w:p>
    <w:p>
      <w:pPr>
        <w:pStyle w:val="41"/>
        <w:numPr>
          <w:ilvl w:val="1"/>
          <w:numId w:val="57"/>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连接螺栓两侧应有平垫圈，相邻垫圈间应有大于</w:t>
      </w:r>
      <w:r>
        <w:rPr>
          <w:rFonts w:hint="eastAsia" w:asciiTheme="minorEastAsia" w:hAnsiTheme="minorEastAsia" w:eastAsiaTheme="minorEastAsia"/>
          <w:color w:val="000000"/>
          <w:szCs w:val="21"/>
        </w:rPr>
        <w:t>3</w:t>
      </w:r>
      <w:r>
        <w:rPr>
          <w:rFonts w:hint="eastAsia" w:ascii="宋体" w:hAnsi="宋体" w:cs="宋体"/>
          <w:color w:val="000000"/>
          <w:szCs w:val="21"/>
        </w:rPr>
        <w:t xml:space="preserve">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的间隙，螺母侧应装有弹簧垫圈或锁紧螺母。</w:t>
      </w:r>
    </w:p>
    <w:p>
      <w:pPr>
        <w:pStyle w:val="41"/>
        <w:numPr>
          <w:ilvl w:val="1"/>
          <w:numId w:val="57"/>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螺栓受力应均匀，不应使电器或设备的接线端子受额外应力。</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检查数量：按每检验批的母线连接端数量抽查20%，且不得少于2个连接端。</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检查方法：观察检查并用尺量检查和用力矩测试仪测试紧固度。</w:t>
      </w:r>
    </w:p>
    <w:p>
      <w:pPr>
        <w:pStyle w:val="41"/>
        <w:numPr>
          <w:ilvl w:val="0"/>
          <w:numId w:val="55"/>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母线槽安装应符合下列规定：</w:t>
      </w:r>
    </w:p>
    <w:p>
      <w:pPr>
        <w:pStyle w:val="41"/>
        <w:numPr>
          <w:ilvl w:val="1"/>
          <w:numId w:val="5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母线槽不宜安装在水管正下方；</w:t>
      </w:r>
    </w:p>
    <w:p>
      <w:pPr>
        <w:pStyle w:val="41"/>
        <w:numPr>
          <w:ilvl w:val="1"/>
          <w:numId w:val="5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母线应与外壳同心，允许偏差应为±</w:t>
      </w:r>
      <w:r>
        <w:rPr>
          <w:rFonts w:hint="eastAsia" w:asciiTheme="minorEastAsia" w:hAnsiTheme="minorEastAsia" w:eastAsiaTheme="minorEastAsia"/>
          <w:color w:val="000000"/>
          <w:szCs w:val="21"/>
        </w:rPr>
        <w:t>5</w:t>
      </w:r>
      <w:r>
        <w:rPr>
          <w:rFonts w:hint="eastAsia" w:ascii="宋体" w:hAnsi="宋体" w:cs="宋体"/>
          <w:color w:val="000000"/>
          <w:szCs w:val="21"/>
        </w:rPr>
        <w:t xml:space="preserve"> </w:t>
      </w:r>
      <w:r>
        <w:rPr>
          <w:rFonts w:hint="eastAsia" w:cs="仿宋" w:asciiTheme="minorEastAsia" w:hAnsiTheme="minorEastAsia" w:eastAsiaTheme="minorEastAsia"/>
          <w:color w:val="000000"/>
          <w:spacing w:val="0"/>
          <w:w w:val="15"/>
          <w:kern w:val="0"/>
          <w:szCs w:val="21"/>
          <w:fitText w:val="42" w:id="1926638549"/>
        </w:rPr>
        <w:t xml:space="preserve">　 </w:t>
      </w:r>
      <w:r>
        <w:rPr>
          <w:rFonts w:hint="eastAsia" w:cs="仿宋" w:asciiTheme="minorEastAsia" w:hAnsiTheme="minorEastAsia" w:eastAsiaTheme="minorEastAsia"/>
          <w:color w:val="000000"/>
          <w:spacing w:val="-17"/>
          <w:w w:val="15"/>
          <w:kern w:val="0"/>
          <w:szCs w:val="21"/>
          <w:fitText w:val="42" w:id="1926638549"/>
        </w:rPr>
        <w:t>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w:t>
      </w:r>
    </w:p>
    <w:p>
      <w:pPr>
        <w:pStyle w:val="41"/>
        <w:numPr>
          <w:ilvl w:val="1"/>
          <w:numId w:val="5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当母线槽段与段连接时，两相邻段母线及外壳宜对准，相序应正确，连接后不应使母线及外壳受额外应力；</w:t>
      </w:r>
    </w:p>
    <w:p>
      <w:pPr>
        <w:pStyle w:val="41"/>
        <w:numPr>
          <w:ilvl w:val="1"/>
          <w:numId w:val="5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母线的连接方法应符合产品技术文件要求；</w:t>
      </w:r>
    </w:p>
    <w:p>
      <w:pPr>
        <w:pStyle w:val="41"/>
        <w:numPr>
          <w:ilvl w:val="1"/>
          <w:numId w:val="5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母线槽连接用部件的防护等级应与母线槽本体的防护等级一致。</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检查数量：第1款全数检查，其余按每检验批的母线连接端数量抽查20%，且不得少于2个连接端。</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检查方法：观察检查并用尺量检查，查阅母线槽安装记录</w:t>
      </w:r>
    </w:p>
    <w:p>
      <w:pPr>
        <w:pStyle w:val="41"/>
        <w:numPr>
          <w:ilvl w:val="0"/>
          <w:numId w:val="55"/>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母线槽通电运行前应进行检验或试验，并应符合下列规定：</w:t>
      </w:r>
    </w:p>
    <w:p>
      <w:pPr>
        <w:pStyle w:val="41"/>
        <w:numPr>
          <w:ilvl w:val="1"/>
          <w:numId w:val="5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高压母线交流工频耐压试验应按规定交接试验合格；</w:t>
      </w:r>
    </w:p>
    <w:p>
      <w:pPr>
        <w:pStyle w:val="41"/>
        <w:numPr>
          <w:ilvl w:val="1"/>
          <w:numId w:val="5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低压母线绝缘电阻值不应小于</w:t>
      </w:r>
      <w:r>
        <w:rPr>
          <w:rFonts w:hint="eastAsia" w:asciiTheme="minorEastAsia" w:hAnsiTheme="minorEastAsia" w:eastAsiaTheme="minorEastAsia"/>
          <w:color w:val="000000"/>
          <w:szCs w:val="21"/>
        </w:rPr>
        <w:t>0.5</w:t>
      </w:r>
      <w:r>
        <w:rPr>
          <w:rFonts w:hint="eastAsia" w:ascii="宋体" w:hAnsi="宋体" w:cs="宋体"/>
          <w:color w:val="000000"/>
          <w:szCs w:val="21"/>
        </w:rPr>
        <w:t xml:space="preserve"> </w:t>
      </w:r>
      <w:r>
        <w:rPr>
          <w:rFonts w:hint="eastAsia" w:cs="仿宋" w:asciiTheme="minorEastAsia" w:hAnsiTheme="minorEastAsia" w:eastAsiaTheme="minorEastAsia"/>
          <w:color w:val="000000"/>
          <w:spacing w:val="0"/>
          <w:w w:val="20"/>
          <w:kern w:val="0"/>
          <w:szCs w:val="21"/>
          <w:fitText w:val="42" w:id="1681737290"/>
        </w:rPr>
        <w:t>　</w:t>
      </w:r>
      <w:r>
        <w:rPr>
          <w:rFonts w:hint="eastAsia" w:asciiTheme="minorEastAsia" w:hAnsiTheme="minorEastAsia" w:eastAsiaTheme="minorEastAsia"/>
          <w:color w:val="000000"/>
          <w:szCs w:val="21"/>
        </w:rPr>
        <w:t>MΩ；</w:t>
      </w:r>
    </w:p>
    <w:p>
      <w:pPr>
        <w:pStyle w:val="41"/>
        <w:numPr>
          <w:ilvl w:val="1"/>
          <w:numId w:val="5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检查分接单元插入时，接地触头应先于相线触头接触，且触头连接紧密，退出时，接地触头应后于相线触头脱开；</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pPr>
        <w:pStyle w:val="41"/>
        <w:spacing w:line="360" w:lineRule="auto"/>
      </w:pPr>
      <w:r>
        <w:rPr>
          <w:rFonts w:hint="eastAsia" w:asciiTheme="minorEastAsia" w:hAnsiTheme="minorEastAsia" w:eastAsiaTheme="minorEastAsia"/>
          <w:szCs w:val="21"/>
        </w:rPr>
        <w:t>检查方法：用绝缘电阻测试仪测试，试验时观察检查并查阅交接试验记录、绝缘电阻测试记录。</w:t>
      </w:r>
    </w:p>
    <w:p>
      <w:pPr>
        <w:pStyle w:val="4"/>
        <w:spacing w:before="120" w:beforeLines="50" w:after="120" w:afterLines="50"/>
        <w:ind w:left="3570"/>
        <w:jc w:val="both"/>
        <w:rPr>
          <w:rFonts w:asciiTheme="minorEastAsia" w:hAnsiTheme="minorEastAsia" w:eastAsiaTheme="minorEastAsia"/>
          <w:sz w:val="21"/>
          <w:szCs w:val="21"/>
        </w:rPr>
      </w:pPr>
      <w:bookmarkStart w:id="99" w:name="_Toc124168141"/>
      <w:r>
        <w:t>Ⅱ</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一般项目</w:t>
      </w:r>
    </w:p>
    <w:p>
      <w:pPr>
        <w:pStyle w:val="41"/>
        <w:numPr>
          <w:ilvl w:val="0"/>
          <w:numId w:val="55"/>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母线槽支架安装应符合下列规定：</w:t>
      </w:r>
    </w:p>
    <w:p>
      <w:pPr>
        <w:pStyle w:val="41"/>
        <w:numPr>
          <w:ilvl w:val="1"/>
          <w:numId w:val="6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除设计要求外，承力建筑钢结构构件上不得熔焊连接母线槽支架，且不得热加工开孔。</w:t>
      </w:r>
    </w:p>
    <w:p>
      <w:pPr>
        <w:pStyle w:val="41"/>
        <w:numPr>
          <w:ilvl w:val="1"/>
          <w:numId w:val="6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与预埋铁件采用焊接固定时，焊缝应饱满；采用膨胀螺栓固定时，选用的螺栓应适配，连接应牢固。</w:t>
      </w:r>
    </w:p>
    <w:p>
      <w:pPr>
        <w:pStyle w:val="41"/>
        <w:numPr>
          <w:ilvl w:val="1"/>
          <w:numId w:val="6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支架应安装牢固、无明显扭曲，采用金属吊架固定时应有防晃支架，配电母线槽的圆钢吊架直径不得小于</w:t>
      </w:r>
      <w:r>
        <w:rPr>
          <w:rFonts w:hint="eastAsia" w:asciiTheme="minorEastAsia" w:hAnsiTheme="minorEastAsia" w:eastAsiaTheme="minorEastAsia"/>
          <w:color w:val="000000"/>
          <w:szCs w:val="21"/>
        </w:rPr>
        <w:t>10</w:t>
      </w:r>
      <w:r>
        <w:rPr>
          <w:rFonts w:hint="eastAsia" w:ascii="宋体" w:hAnsi="宋体" w:cs="宋体"/>
          <w:color w:val="000000"/>
          <w:szCs w:val="21"/>
        </w:rPr>
        <w:t xml:space="preserve"> </w:t>
      </w:r>
      <w:r>
        <w:rPr>
          <w:rFonts w:hint="eastAsia" w:cs="仿宋" w:asciiTheme="minorEastAsia" w:hAnsiTheme="minorEastAsia" w:eastAsiaTheme="minorEastAsia"/>
          <w:color w:val="000000"/>
          <w:spacing w:val="0"/>
          <w:w w:val="20"/>
          <w:kern w:val="0"/>
          <w:szCs w:val="21"/>
          <w:fitText w:val="42" w:id="915830878"/>
        </w:rPr>
        <w:t>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照明母线槽的圆钢吊架直径不得小于</w:t>
      </w:r>
      <w:r>
        <w:rPr>
          <w:rFonts w:hint="eastAsia" w:asciiTheme="minorEastAsia" w:hAnsiTheme="minorEastAsia" w:eastAsiaTheme="minorEastAsia"/>
          <w:color w:val="000000"/>
          <w:szCs w:val="21"/>
        </w:rPr>
        <w:t>8</w:t>
      </w:r>
      <w:r>
        <w:rPr>
          <w:rFonts w:hint="eastAsia" w:ascii="宋体" w:hAnsi="宋体" w:cs="宋体"/>
          <w:color w:val="000000"/>
          <w:szCs w:val="21"/>
        </w:rPr>
        <w:t xml:space="preserve"> </w:t>
      </w:r>
      <w:r>
        <w:rPr>
          <w:rFonts w:hint="eastAsia" w:cs="仿宋" w:asciiTheme="minorEastAsia" w:hAnsiTheme="minorEastAsia" w:eastAsiaTheme="minorEastAsia"/>
          <w:color w:val="000000"/>
          <w:spacing w:val="0"/>
          <w:w w:val="20"/>
          <w:kern w:val="0"/>
          <w:szCs w:val="21"/>
          <w:fitText w:val="42" w:id="1336744799"/>
        </w:rPr>
        <w:t>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w:t>
      </w:r>
    </w:p>
    <w:p>
      <w:pPr>
        <w:pStyle w:val="41"/>
        <w:numPr>
          <w:ilvl w:val="1"/>
          <w:numId w:val="6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金属支架应进行防腐，位于室外及潮湿场所的应按设计要求做处理。</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检查数量：第1款全数检查，第2款～第4款按每个检验批的支架总数抽查10%，且各不得少于1处并应覆盖支架的不同固定形式。</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检查方法：观察检查并用尺量或卡尺检查。</w:t>
      </w:r>
    </w:p>
    <w:p>
      <w:pPr>
        <w:pStyle w:val="41"/>
        <w:numPr>
          <w:ilvl w:val="0"/>
          <w:numId w:val="55"/>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对于母线与母线、母线与电器或设备接线端子搭接，搭接面的处理应符合下列规定：</w:t>
      </w:r>
    </w:p>
    <w:p>
      <w:pPr>
        <w:pStyle w:val="41"/>
        <w:numPr>
          <w:ilvl w:val="1"/>
          <w:numId w:val="6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铜与铜：当处于室外、高温且潮湿的室内时，搭接面应搪锡或镀银。</w:t>
      </w:r>
      <w:r>
        <w:rPr>
          <w:rFonts w:asciiTheme="minorEastAsia" w:hAnsiTheme="minorEastAsia" w:eastAsiaTheme="minorEastAsia"/>
          <w:szCs w:val="21"/>
        </w:rPr>
        <w:t xml:space="preserve"> </w:t>
      </w:r>
    </w:p>
    <w:p>
      <w:pPr>
        <w:pStyle w:val="41"/>
        <w:numPr>
          <w:ilvl w:val="1"/>
          <w:numId w:val="6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铝与铝：可直接搭接。</w:t>
      </w:r>
    </w:p>
    <w:p>
      <w:pPr>
        <w:pStyle w:val="41"/>
        <w:numPr>
          <w:ilvl w:val="1"/>
          <w:numId w:val="6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钢与钢：搭接面应搪锡或镀锌。</w:t>
      </w:r>
    </w:p>
    <w:p>
      <w:pPr>
        <w:pStyle w:val="41"/>
        <w:numPr>
          <w:ilvl w:val="1"/>
          <w:numId w:val="6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铜与铝：在干燥的室内，铜导体搭接面应搪锡；在潮湿场所，铜导体搭接面应搪锡或镀银，且应采用铜铝过渡连接。</w:t>
      </w:r>
    </w:p>
    <w:p>
      <w:pPr>
        <w:pStyle w:val="41"/>
        <w:numPr>
          <w:ilvl w:val="1"/>
          <w:numId w:val="6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钢与铜或铝：钢搭接面应镀锌或搪锡。</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检查数量：按每个检验批的母线搭接端子总数抽查10%，且各不得少于1处，并应覆盖不同材质的不同连接方式。</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pPr>
        <w:pStyle w:val="41"/>
        <w:numPr>
          <w:ilvl w:val="0"/>
          <w:numId w:val="55"/>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当母线采用螺栓搭接时，连接处距绝缘子的支持夹板边缘不应小于</w:t>
      </w:r>
      <w:r>
        <w:rPr>
          <w:rFonts w:hint="eastAsia" w:asciiTheme="minorEastAsia" w:hAnsiTheme="minorEastAsia" w:eastAsiaTheme="minorEastAsia"/>
          <w:color w:val="000000"/>
          <w:szCs w:val="21"/>
        </w:rPr>
        <w:t>50</w:t>
      </w:r>
      <w:r>
        <w:rPr>
          <w:rFonts w:hint="eastAsia" w:ascii="宋体" w:hAnsi="宋体" w:cs="宋体"/>
          <w:color w:val="000000"/>
          <w:szCs w:val="21"/>
        </w:rPr>
        <w:t xml:space="preserve">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检查数量：连接头总数量抽查20%，且不得少于1处。</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检查方法：观察检查并用尺量检查。</w:t>
      </w:r>
    </w:p>
    <w:p>
      <w:pPr>
        <w:pStyle w:val="41"/>
        <w:numPr>
          <w:ilvl w:val="0"/>
          <w:numId w:val="55"/>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当设计无要求时，母线的相序排列及涂色应符合下列规定：</w:t>
      </w:r>
    </w:p>
    <w:p>
      <w:pPr>
        <w:pStyle w:val="41"/>
        <w:numPr>
          <w:ilvl w:val="1"/>
          <w:numId w:val="6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对于上、下布置的交流母线，由上至下或由下至上排列应分别为L1、L2、L3；直流母线应正极在上、负极在下。</w:t>
      </w:r>
    </w:p>
    <w:p>
      <w:pPr>
        <w:pStyle w:val="41"/>
        <w:numPr>
          <w:ilvl w:val="1"/>
          <w:numId w:val="6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对于水平布置的交流母线，由柜后向柜前或由柜前向柜后排列应分别为L1、L2、L3；直流母线应正极在后、负极在前。</w:t>
      </w:r>
    </w:p>
    <w:p>
      <w:pPr>
        <w:pStyle w:val="41"/>
        <w:numPr>
          <w:ilvl w:val="1"/>
          <w:numId w:val="6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对于面对引下线的交流母线，由左至右排列应分别为L1、L2、L3；直流母线应正极在左、负极在右。</w:t>
      </w:r>
    </w:p>
    <w:p>
      <w:pPr>
        <w:pStyle w:val="41"/>
        <w:numPr>
          <w:ilvl w:val="1"/>
          <w:numId w:val="6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对于母线的涂色，交流母线L1、L2、L3应分别为黄色、绿色和红色，中性导体应为淡蓝色；直流母线应正极为赭色、负极为蓝色；保护接地导体PE应为黄-绿双色组合色，保护中性导体（PEN）应为全长黄-绿双色、终端用</w:t>
      </w:r>
      <w:r>
        <w:rPr>
          <w:rFonts w:hint="eastAsia" w:ascii="宋体" w:hAnsi="宋体" w:cs="宋体"/>
          <w:szCs w:val="21"/>
        </w:rPr>
        <w:t xml:space="preserve"> </w:t>
      </w:r>
      <w:r>
        <w:rPr>
          <w:rFonts w:hint="eastAsia" w:asciiTheme="minorEastAsia" w:hAnsiTheme="minorEastAsia" w:eastAsiaTheme="minorEastAsia"/>
          <w:szCs w:val="21"/>
        </w:rPr>
        <w:t>淡蓝色或全长淡蓝色、终端用黄-绿双色；在连接处或支持件边缘两侧</w:t>
      </w:r>
      <w:r>
        <w:rPr>
          <w:rFonts w:hint="eastAsia" w:asciiTheme="minorEastAsia" w:hAnsiTheme="minorEastAsia" w:eastAsiaTheme="minorEastAsia"/>
          <w:color w:val="000000"/>
          <w:szCs w:val="21"/>
        </w:rPr>
        <w:t>10</w:t>
      </w:r>
      <w:r>
        <w:rPr>
          <w:rFonts w:hint="eastAsia" w:ascii="宋体" w:hAnsi="宋体" w:cs="宋体"/>
          <w:color w:val="000000"/>
          <w:szCs w:val="21"/>
        </w:rPr>
        <w:t xml:space="preserve">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以内不应涂色。</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检查数量：按直流和交流的不同布置形式回路各抽查20%，且各不得少于1个回路。</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pPr>
        <w:pStyle w:val="41"/>
        <w:numPr>
          <w:ilvl w:val="0"/>
          <w:numId w:val="55"/>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母线槽安装应符合下列规定：</w:t>
      </w:r>
    </w:p>
    <w:p>
      <w:pPr>
        <w:pStyle w:val="41"/>
        <w:numPr>
          <w:ilvl w:val="1"/>
          <w:numId w:val="6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水平或垂直敷设的母线槽固定点应每段设置一个，且每层不得少于一个支架，其间距应符合产品技术文件的要求，距拐弯</w:t>
      </w:r>
      <w:r>
        <w:rPr>
          <w:rFonts w:hint="eastAsia" w:asciiTheme="minorEastAsia" w:hAnsiTheme="minorEastAsia" w:eastAsiaTheme="minorEastAsia"/>
          <w:color w:val="000000"/>
          <w:szCs w:val="21"/>
        </w:rPr>
        <w:t>0.4</w:t>
      </w:r>
      <w:r>
        <w:rPr>
          <w:rFonts w:hint="eastAsia" w:ascii="宋体" w:hAnsi="宋体" w:cs="宋体"/>
          <w:color w:val="000000"/>
          <w:szCs w:val="21"/>
        </w:rPr>
        <w:t xml:space="preserve">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0.6</w:t>
      </w:r>
      <w:r>
        <w:rPr>
          <w:rFonts w:hint="eastAsia" w:ascii="宋体" w:hAnsi="宋体" w:cs="宋体"/>
          <w:color w:val="000000"/>
          <w:szCs w:val="21"/>
        </w:rPr>
        <w:t xml:space="preserve">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处应设置支架，固定点位置不应设置在母线槽的连接处或分接单元处。</w:t>
      </w:r>
    </w:p>
    <w:p>
      <w:pPr>
        <w:pStyle w:val="41"/>
        <w:numPr>
          <w:ilvl w:val="1"/>
          <w:numId w:val="6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母线槽段与段的连接口不应设置在穿越楼板或墙体处，垂</w:t>
      </w:r>
      <w:r>
        <w:rPr>
          <w:rFonts w:hint="eastAsia" w:asciiTheme="minorEastAsia" w:hAnsiTheme="minorEastAsia" w:eastAsiaTheme="minorEastAsia"/>
          <w:color w:val="000000"/>
          <w:szCs w:val="21"/>
        </w:rPr>
        <w:t>直</w:t>
      </w:r>
      <w:r>
        <w:rPr>
          <w:rFonts w:hint="eastAsia" w:asciiTheme="minorEastAsia" w:hAnsiTheme="minorEastAsia" w:eastAsiaTheme="minorEastAsia"/>
          <w:szCs w:val="21"/>
        </w:rPr>
        <w:t>穿越楼板处应设置与建（构）筑物固定的专用部件支座，其孔洞四周应设置高度为</w:t>
      </w:r>
      <w:r>
        <w:rPr>
          <w:rFonts w:hint="eastAsia" w:asciiTheme="minorEastAsia" w:hAnsiTheme="minorEastAsia" w:eastAsiaTheme="minorEastAsia"/>
          <w:color w:val="000000"/>
          <w:szCs w:val="21"/>
        </w:rPr>
        <w:t>50</w:t>
      </w:r>
      <w:r>
        <w:rPr>
          <w:rFonts w:hint="eastAsia" w:ascii="宋体" w:hAnsi="宋体" w:cs="宋体"/>
          <w:color w:val="000000"/>
          <w:szCs w:val="21"/>
        </w:rPr>
        <w:t xml:space="preserve">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及以上的防水台，并应采取防火封场措施。</w:t>
      </w:r>
    </w:p>
    <w:p>
      <w:pPr>
        <w:pStyle w:val="41"/>
        <w:numPr>
          <w:ilvl w:val="1"/>
          <w:numId w:val="6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母线槽跨越建筑物变形缝处时，应设置补偿装置；母线槽直线敷设长度超过</w:t>
      </w:r>
      <w:r>
        <w:rPr>
          <w:rFonts w:hint="eastAsia" w:asciiTheme="minorEastAsia" w:hAnsiTheme="minorEastAsia" w:eastAsiaTheme="minorEastAsia"/>
          <w:color w:val="000000"/>
          <w:szCs w:val="21"/>
        </w:rPr>
        <w:t>80 m</w:t>
      </w:r>
      <w:r>
        <w:rPr>
          <w:rFonts w:hint="eastAsia" w:asciiTheme="minorEastAsia" w:hAnsiTheme="minorEastAsia" w:eastAsiaTheme="minorEastAsia"/>
          <w:szCs w:val="21"/>
        </w:rPr>
        <w:t>，每</w:t>
      </w:r>
      <w:r>
        <w:rPr>
          <w:rFonts w:hint="eastAsia" w:asciiTheme="minorEastAsia" w:hAnsiTheme="minorEastAsia" w:eastAsiaTheme="minorEastAsia"/>
          <w:color w:val="000000"/>
          <w:szCs w:val="21"/>
        </w:rPr>
        <w:t>50</w:t>
      </w:r>
      <w:r>
        <w:rPr>
          <w:rFonts w:hint="eastAsia" w:cs="仿宋" w:asciiTheme="minorEastAsia" w:hAnsiTheme="minorEastAsia" w:eastAsiaTheme="minorEastAsia"/>
          <w:color w:val="000000"/>
          <w:spacing w:val="0"/>
          <w:w w:val="15"/>
          <w:kern w:val="0"/>
          <w:szCs w:val="21"/>
          <w:fitText w:val="42" w:id="1317370998"/>
        </w:rPr>
        <w:t xml:space="preserve">　 </w:t>
      </w:r>
      <w:r>
        <w:rPr>
          <w:rFonts w:hint="eastAsia" w:cs="仿宋" w:asciiTheme="minorEastAsia" w:hAnsiTheme="minorEastAsia" w:eastAsiaTheme="minorEastAsia"/>
          <w:color w:val="000000"/>
          <w:spacing w:val="-17"/>
          <w:w w:val="15"/>
          <w:kern w:val="0"/>
          <w:szCs w:val="21"/>
          <w:fitText w:val="42" w:id="1317370998"/>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60</w:t>
      </w:r>
      <w:r>
        <w:rPr>
          <w:rFonts w:hint="eastAsia" w:cs="仿宋" w:asciiTheme="minorEastAsia" w:hAnsiTheme="minorEastAsia" w:eastAsiaTheme="minorEastAsia"/>
          <w:color w:val="000000"/>
          <w:spacing w:val="0"/>
          <w:w w:val="15"/>
          <w:kern w:val="0"/>
          <w:szCs w:val="21"/>
          <w:fitText w:val="42" w:id="1232680553"/>
        </w:rPr>
        <w:t xml:space="preserve">　 </w:t>
      </w:r>
      <w:r>
        <w:rPr>
          <w:rFonts w:hint="eastAsia" w:cs="仿宋" w:asciiTheme="minorEastAsia" w:hAnsiTheme="minorEastAsia" w:eastAsiaTheme="minorEastAsia"/>
          <w:color w:val="000000"/>
          <w:spacing w:val="-17"/>
          <w:w w:val="15"/>
          <w:kern w:val="0"/>
          <w:szCs w:val="21"/>
          <w:fitText w:val="42" w:id="1232680553"/>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宜设置伸缩节。</w:t>
      </w:r>
    </w:p>
    <w:p>
      <w:pPr>
        <w:pStyle w:val="41"/>
        <w:numPr>
          <w:ilvl w:val="1"/>
          <w:numId w:val="6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母线槽直线段安装应平直，水平度与垂直度偏差不宜大于1.5‰，全长最大偏差不宜大于</w:t>
      </w:r>
      <w:r>
        <w:rPr>
          <w:rFonts w:hint="eastAsia" w:asciiTheme="minorEastAsia" w:hAnsiTheme="minorEastAsia" w:eastAsiaTheme="minorEastAsia"/>
          <w:color w:val="000000"/>
          <w:szCs w:val="21"/>
        </w:rPr>
        <w:t>20</w:t>
      </w:r>
      <w:r>
        <w:rPr>
          <w:rFonts w:hint="eastAsia" w:cs="仿宋" w:asciiTheme="minorEastAsia" w:hAnsiTheme="minorEastAsia" w:eastAsiaTheme="minorEastAsia"/>
          <w:color w:val="000000"/>
          <w:spacing w:val="0"/>
          <w:w w:val="15"/>
          <w:kern w:val="0"/>
          <w:szCs w:val="21"/>
          <w:fitText w:val="42" w:id="1660558306"/>
        </w:rPr>
        <w:t xml:space="preserve">　 </w:t>
      </w:r>
      <w:r>
        <w:rPr>
          <w:rFonts w:hint="eastAsia" w:cs="仿宋" w:asciiTheme="minorEastAsia" w:hAnsiTheme="minorEastAsia" w:eastAsiaTheme="minorEastAsia"/>
          <w:color w:val="000000"/>
          <w:spacing w:val="-17"/>
          <w:w w:val="15"/>
          <w:kern w:val="0"/>
          <w:szCs w:val="21"/>
          <w:fitText w:val="42" w:id="1660558306"/>
        </w:rPr>
        <w:t>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；照明用母线槽水平偏差全长不应大于</w:t>
      </w:r>
      <w:r>
        <w:rPr>
          <w:rFonts w:hint="eastAsia" w:asciiTheme="minorEastAsia" w:hAnsiTheme="minorEastAsia" w:eastAsiaTheme="minorEastAsia"/>
          <w:color w:val="000000"/>
          <w:szCs w:val="21"/>
        </w:rPr>
        <w:t>5</w:t>
      </w:r>
      <w:r>
        <w:rPr>
          <w:rFonts w:hint="eastAsia" w:cs="仿宋" w:asciiTheme="minorEastAsia" w:hAnsiTheme="minorEastAsia" w:eastAsiaTheme="minorEastAsia"/>
          <w:color w:val="000000"/>
          <w:spacing w:val="0"/>
          <w:w w:val="15"/>
          <w:kern w:val="0"/>
          <w:szCs w:val="21"/>
          <w:fitText w:val="42" w:id="1374050259"/>
        </w:rPr>
        <w:t xml:space="preserve">　 </w:t>
      </w:r>
      <w:r>
        <w:rPr>
          <w:rFonts w:hint="eastAsia" w:cs="仿宋" w:asciiTheme="minorEastAsia" w:hAnsiTheme="minorEastAsia" w:eastAsiaTheme="minorEastAsia"/>
          <w:color w:val="000000"/>
          <w:spacing w:val="-17"/>
          <w:w w:val="15"/>
          <w:kern w:val="0"/>
          <w:szCs w:val="21"/>
          <w:fitText w:val="42" w:id="1374050259"/>
        </w:rPr>
        <w:t>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 xml:space="preserve">垂直偏差不应大于 </w:t>
      </w:r>
      <w:r>
        <w:rPr>
          <w:rFonts w:hint="eastAsia" w:asciiTheme="minorEastAsia" w:hAnsiTheme="minorEastAsia" w:eastAsiaTheme="minorEastAsia"/>
          <w:color w:val="000000"/>
          <w:szCs w:val="21"/>
        </w:rPr>
        <w:t>10</w:t>
      </w:r>
      <w:r>
        <w:rPr>
          <w:rFonts w:hint="eastAsia" w:cs="仿宋" w:asciiTheme="minorEastAsia" w:hAnsiTheme="minorEastAsia" w:eastAsiaTheme="minorEastAsia"/>
          <w:color w:val="000000"/>
          <w:spacing w:val="0"/>
          <w:w w:val="15"/>
          <w:kern w:val="0"/>
          <w:szCs w:val="21"/>
          <w:fitText w:val="42" w:id="1339516967"/>
        </w:rPr>
        <w:t xml:space="preserve">　 </w:t>
      </w:r>
      <w:r>
        <w:rPr>
          <w:rFonts w:hint="eastAsia" w:cs="仿宋" w:asciiTheme="minorEastAsia" w:hAnsiTheme="minorEastAsia" w:eastAsiaTheme="minorEastAsia"/>
          <w:color w:val="000000"/>
          <w:spacing w:val="-17"/>
          <w:w w:val="15"/>
          <w:kern w:val="0"/>
          <w:szCs w:val="21"/>
          <w:fitText w:val="42" w:id="1339516967"/>
        </w:rPr>
        <w:t>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w:t>
      </w:r>
    </w:p>
    <w:p>
      <w:pPr>
        <w:pStyle w:val="41"/>
        <w:numPr>
          <w:ilvl w:val="1"/>
          <w:numId w:val="6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外壳与底座间、外壳各连接部位及母线的连接螺栓应选择正确、连接紧固。</w:t>
      </w:r>
    </w:p>
    <w:p>
      <w:pPr>
        <w:pStyle w:val="41"/>
        <w:numPr>
          <w:ilvl w:val="1"/>
          <w:numId w:val="6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母线槽上无插接部件的接插口及母线端部应采用专用的封板封堵完好。</w:t>
      </w:r>
    </w:p>
    <w:p>
      <w:pPr>
        <w:pStyle w:val="41"/>
        <w:numPr>
          <w:ilvl w:val="1"/>
          <w:numId w:val="6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母线槽与各类管道平行或交叉的净距应符合表5</w:t>
      </w:r>
      <w:r>
        <w:rPr>
          <w:rFonts w:asciiTheme="minorEastAsia" w:hAnsiTheme="minorEastAsia" w:eastAsiaTheme="minorEastAsia"/>
          <w:szCs w:val="21"/>
        </w:rPr>
        <w:t>.1.10</w:t>
      </w:r>
      <w:r>
        <w:rPr>
          <w:rFonts w:hint="eastAsia" w:asciiTheme="minorEastAsia" w:hAnsiTheme="minorEastAsia" w:eastAsiaTheme="minorEastAsia"/>
          <w:szCs w:val="21"/>
        </w:rPr>
        <w:t>的规定。</w:t>
      </w:r>
    </w:p>
    <w:p>
      <w:pPr>
        <w:pStyle w:val="41"/>
        <w:spacing w:line="360" w:lineRule="auto"/>
        <w:ind w:left="-2" w:leftChars="-1" w:firstLine="0" w:firstLineChars="0"/>
        <w:jc w:val="center"/>
        <w:rPr>
          <w:rFonts w:ascii="黑体" w:hAnsi="黑体" w:eastAsia="黑体"/>
          <w:szCs w:val="21"/>
        </w:rPr>
      </w:pPr>
      <w:r>
        <w:rPr>
          <w:rFonts w:hint="eastAsia" w:ascii="黑体" w:hAnsi="黑体" w:eastAsia="黑体"/>
          <w:szCs w:val="21"/>
        </w:rPr>
        <w:t>表5</w:t>
      </w:r>
      <w:r>
        <w:rPr>
          <w:rFonts w:ascii="黑体" w:hAnsi="黑体" w:eastAsia="黑体"/>
          <w:szCs w:val="21"/>
        </w:rPr>
        <w:t>.1.10</w:t>
      </w:r>
      <w:r>
        <w:rPr>
          <w:rFonts w:hint="eastAsia" w:ascii="黑体" w:hAnsi="黑体" w:eastAsia="黑体"/>
          <w:szCs w:val="21"/>
        </w:rPr>
        <w:t>母线槽及电缆梯架、托盘和槽盒与管道的最小净距</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3"/>
        <w:gridCol w:w="2323"/>
        <w:gridCol w:w="1941"/>
        <w:gridCol w:w="1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3" w:type="pct"/>
            <w:gridSpan w:val="2"/>
            <w:vAlign w:val="center"/>
          </w:tcPr>
          <w:p>
            <w:pPr>
              <w:pStyle w:val="41"/>
              <w:spacing w:line="360" w:lineRule="auto"/>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管道类别</w:t>
            </w:r>
          </w:p>
        </w:tc>
        <w:tc>
          <w:tcPr>
            <w:tcW w:w="1138" w:type="pct"/>
            <w:vAlign w:val="center"/>
          </w:tcPr>
          <w:p>
            <w:pPr>
              <w:pStyle w:val="41"/>
              <w:spacing w:line="360" w:lineRule="auto"/>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平行净距</w:t>
            </w:r>
          </w:p>
        </w:tc>
        <w:tc>
          <w:tcPr>
            <w:tcW w:w="1138" w:type="pct"/>
            <w:vAlign w:val="bottom"/>
          </w:tcPr>
          <w:p>
            <w:pPr>
              <w:pStyle w:val="41"/>
              <w:spacing w:line="360" w:lineRule="auto"/>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交叉净距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3" w:type="pct"/>
            <w:gridSpan w:val="2"/>
            <w:vAlign w:val="center"/>
          </w:tcPr>
          <w:p>
            <w:pPr>
              <w:pStyle w:val="41"/>
              <w:spacing w:line="360" w:lineRule="auto"/>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一般工艺管道</w:t>
            </w:r>
          </w:p>
        </w:tc>
        <w:tc>
          <w:tcPr>
            <w:tcW w:w="1138" w:type="pct"/>
            <w:vAlign w:val="center"/>
          </w:tcPr>
          <w:p>
            <w:pPr>
              <w:pStyle w:val="41"/>
              <w:spacing w:line="360" w:lineRule="auto"/>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00</w:t>
            </w:r>
          </w:p>
        </w:tc>
        <w:tc>
          <w:tcPr>
            <w:tcW w:w="1138" w:type="pct"/>
            <w:vAlign w:val="bottom"/>
          </w:tcPr>
          <w:p>
            <w:pPr>
              <w:pStyle w:val="41"/>
              <w:spacing w:line="360" w:lineRule="auto"/>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3" w:type="pct"/>
            <w:gridSpan w:val="2"/>
            <w:vAlign w:val="center"/>
          </w:tcPr>
          <w:p>
            <w:pPr>
              <w:pStyle w:val="41"/>
              <w:spacing w:line="360" w:lineRule="auto"/>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可燃或易燃易爆气体管道</w:t>
            </w:r>
          </w:p>
        </w:tc>
        <w:tc>
          <w:tcPr>
            <w:tcW w:w="1138" w:type="pct"/>
            <w:vAlign w:val="center"/>
          </w:tcPr>
          <w:p>
            <w:pPr>
              <w:pStyle w:val="41"/>
              <w:spacing w:line="360" w:lineRule="auto"/>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00</w:t>
            </w:r>
          </w:p>
        </w:tc>
        <w:tc>
          <w:tcPr>
            <w:tcW w:w="1138" w:type="pct"/>
            <w:vAlign w:val="bottom"/>
          </w:tcPr>
          <w:p>
            <w:pPr>
              <w:pStyle w:val="41"/>
              <w:spacing w:line="360" w:lineRule="auto"/>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2" w:type="pct"/>
            <w:vMerge w:val="restart"/>
            <w:vAlign w:val="center"/>
          </w:tcPr>
          <w:p>
            <w:pPr>
              <w:pStyle w:val="41"/>
              <w:spacing w:line="360" w:lineRule="auto"/>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热力管道</w:t>
            </w:r>
          </w:p>
        </w:tc>
        <w:tc>
          <w:tcPr>
            <w:tcW w:w="1362" w:type="pct"/>
            <w:vAlign w:val="center"/>
          </w:tcPr>
          <w:p>
            <w:pPr>
              <w:pStyle w:val="41"/>
              <w:spacing w:line="360" w:lineRule="auto"/>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有保温层</w:t>
            </w:r>
          </w:p>
        </w:tc>
        <w:tc>
          <w:tcPr>
            <w:tcW w:w="1138" w:type="pct"/>
            <w:vAlign w:val="center"/>
          </w:tcPr>
          <w:p>
            <w:pPr>
              <w:pStyle w:val="41"/>
              <w:spacing w:line="360" w:lineRule="auto"/>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00</w:t>
            </w:r>
          </w:p>
        </w:tc>
        <w:tc>
          <w:tcPr>
            <w:tcW w:w="1138" w:type="pct"/>
            <w:vAlign w:val="bottom"/>
          </w:tcPr>
          <w:p>
            <w:pPr>
              <w:pStyle w:val="41"/>
              <w:spacing w:line="360" w:lineRule="auto"/>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2" w:type="pct"/>
            <w:vMerge w:val="continue"/>
            <w:vAlign w:val="center"/>
          </w:tcPr>
          <w:p>
            <w:pPr>
              <w:pStyle w:val="41"/>
              <w:spacing w:line="360" w:lineRule="auto"/>
              <w:ind w:firstLine="0" w:firstLineChars="0"/>
              <w:jc w:val="center"/>
              <w:rPr>
                <w:rFonts w:asciiTheme="minorEastAsia" w:hAnsiTheme="minorEastAsia" w:eastAsiaTheme="minorEastAsia"/>
                <w:szCs w:val="21"/>
              </w:rPr>
            </w:pPr>
          </w:p>
        </w:tc>
        <w:tc>
          <w:tcPr>
            <w:tcW w:w="1362" w:type="pct"/>
            <w:vAlign w:val="center"/>
          </w:tcPr>
          <w:p>
            <w:pPr>
              <w:pStyle w:val="41"/>
              <w:spacing w:line="360" w:lineRule="auto"/>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无保温层</w:t>
            </w:r>
          </w:p>
        </w:tc>
        <w:tc>
          <w:tcPr>
            <w:tcW w:w="1138" w:type="pct"/>
            <w:vAlign w:val="center"/>
          </w:tcPr>
          <w:p>
            <w:pPr>
              <w:pStyle w:val="41"/>
              <w:spacing w:line="360" w:lineRule="auto"/>
              <w:ind w:firstLine="0" w:firstLineChars="0"/>
              <w:jc w:val="center"/>
              <w:rPr>
                <w:rFonts w:asciiTheme="minorEastAsia" w:hAnsiTheme="minorEastAsia" w:eastAsiaTheme="minorEastAsia"/>
                <w:szCs w:val="21"/>
              </w:rPr>
            </w:pPr>
            <w:r>
              <w:rPr>
                <w:rFonts w:hint="eastAsia" w:asciiTheme="minorEastAsia" w:hAnsiTheme="minorEastAsia" w:eastAsiaTheme="minorEastAsia"/>
                <w:color w:val="000000"/>
                <w:szCs w:val="21"/>
              </w:rPr>
              <w:t>1</w:t>
            </w:r>
            <w:r>
              <w:rPr>
                <w:rFonts w:asciiTheme="minorEastAsia" w:hAnsiTheme="minorEastAsia" w:eastAsiaTheme="minorEastAsia"/>
                <w:color w:val="000000"/>
                <w:szCs w:val="21"/>
              </w:rPr>
              <w:t>000</w:t>
            </w:r>
          </w:p>
        </w:tc>
        <w:tc>
          <w:tcPr>
            <w:tcW w:w="1138" w:type="pct"/>
            <w:vAlign w:val="bottom"/>
          </w:tcPr>
          <w:p>
            <w:pPr>
              <w:pStyle w:val="41"/>
              <w:spacing w:line="360" w:lineRule="auto"/>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00</w:t>
            </w:r>
          </w:p>
        </w:tc>
      </w:tr>
    </w:tbl>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检查数量：第3款、第6款、第7款全数检查，其余按每个检验批的母线槽数量抽查20%，且各不得少于1处，并应覆盖不同的敷设形式。</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检查方法：观察检查并用水平仪、线坠尺量检查。</w:t>
      </w:r>
    </w:p>
    <w:p>
      <w:pPr>
        <w:pStyle w:val="41"/>
        <w:numPr>
          <w:ilvl w:val="0"/>
          <w:numId w:val="55"/>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母线槽交接试验应符合电气装置的交流工频耐压试验电压为</w:t>
      </w:r>
      <w:r>
        <w:rPr>
          <w:rFonts w:hint="eastAsia" w:asciiTheme="minorEastAsia" w:hAnsiTheme="minorEastAsia" w:eastAsiaTheme="minorEastAsia"/>
          <w:color w:val="000000"/>
          <w:szCs w:val="21"/>
        </w:rPr>
        <w:t>1</w:t>
      </w:r>
      <w:r>
        <w:rPr>
          <w:rFonts w:hint="eastAsia" w:cs="仿宋" w:asciiTheme="minorEastAsia" w:hAnsiTheme="minorEastAsia" w:eastAsiaTheme="minorEastAsia"/>
          <w:color w:val="000000"/>
          <w:spacing w:val="0"/>
          <w:w w:val="15"/>
          <w:kern w:val="0"/>
          <w:szCs w:val="21"/>
          <w:fitText w:val="42" w:id="1331693893"/>
        </w:rPr>
        <w:t xml:space="preserve">　 </w:t>
      </w:r>
      <w:r>
        <w:rPr>
          <w:rFonts w:hint="eastAsia" w:cs="仿宋" w:asciiTheme="minorEastAsia" w:hAnsiTheme="minorEastAsia" w:eastAsiaTheme="minorEastAsia"/>
          <w:color w:val="000000"/>
          <w:spacing w:val="-17"/>
          <w:w w:val="15"/>
          <w:kern w:val="0"/>
          <w:szCs w:val="21"/>
          <w:fitText w:val="42" w:id="1331693893"/>
        </w:rPr>
        <w:t>　</w:t>
      </w:r>
      <w:r>
        <w:rPr>
          <w:rFonts w:hint="eastAsia" w:asciiTheme="minorEastAsia" w:hAnsiTheme="minorEastAsia" w:eastAsiaTheme="minorEastAsia"/>
          <w:color w:val="000000"/>
          <w:szCs w:val="21"/>
        </w:rPr>
        <w:t>kV</w:t>
      </w:r>
      <w:r>
        <w:rPr>
          <w:rFonts w:hint="eastAsia" w:asciiTheme="minorEastAsia" w:hAnsiTheme="minorEastAsia" w:eastAsiaTheme="minorEastAsia"/>
          <w:szCs w:val="21"/>
        </w:rPr>
        <w:t>，要求绝缘电阻值大于</w:t>
      </w:r>
      <w:r>
        <w:rPr>
          <w:rFonts w:hint="eastAsia" w:asciiTheme="minorEastAsia" w:hAnsiTheme="minorEastAsia" w:eastAsiaTheme="minorEastAsia"/>
          <w:color w:val="000000"/>
          <w:szCs w:val="21"/>
        </w:rPr>
        <w:t>10</w:t>
      </w:r>
      <w:r>
        <w:rPr>
          <w:rFonts w:hint="eastAsia" w:cs="仿宋" w:asciiTheme="minorEastAsia" w:hAnsiTheme="minorEastAsia" w:eastAsiaTheme="minorEastAsia"/>
          <w:color w:val="000000"/>
          <w:spacing w:val="0"/>
          <w:w w:val="15"/>
          <w:kern w:val="0"/>
          <w:szCs w:val="21"/>
          <w:fitText w:val="42" w:id="1430075855"/>
        </w:rPr>
        <w:t xml:space="preserve">　 </w:t>
      </w:r>
      <w:r>
        <w:rPr>
          <w:rFonts w:hint="eastAsia" w:cs="仿宋" w:asciiTheme="minorEastAsia" w:hAnsiTheme="minorEastAsia" w:eastAsiaTheme="minorEastAsia"/>
          <w:color w:val="000000"/>
          <w:spacing w:val="-17"/>
          <w:w w:val="15"/>
          <w:kern w:val="0"/>
          <w:szCs w:val="21"/>
          <w:fitText w:val="42" w:id="1430075855"/>
        </w:rPr>
        <w:t>　</w:t>
      </w:r>
      <w:r>
        <w:rPr>
          <w:rFonts w:hint="eastAsia" w:asciiTheme="minorEastAsia" w:hAnsiTheme="minorEastAsia" w:eastAsiaTheme="minorEastAsia"/>
          <w:color w:val="000000"/>
          <w:szCs w:val="21"/>
        </w:rPr>
        <w:t>MΩ</w:t>
      </w:r>
      <w:r>
        <w:rPr>
          <w:rFonts w:hint="eastAsia" w:asciiTheme="minorEastAsia" w:hAnsiTheme="minorEastAsia" w:eastAsiaTheme="minorEastAsia"/>
          <w:szCs w:val="21"/>
        </w:rPr>
        <w:t>时，可采用</w:t>
      </w:r>
      <w:r>
        <w:rPr>
          <w:rFonts w:hint="eastAsia" w:asciiTheme="minorEastAsia" w:hAnsiTheme="minorEastAsia" w:eastAsiaTheme="minorEastAsia"/>
          <w:color w:val="000000"/>
          <w:szCs w:val="21"/>
        </w:rPr>
        <w:t>2500</w:t>
      </w:r>
      <w:r>
        <w:rPr>
          <w:rFonts w:hint="eastAsia" w:cs="仿宋" w:asciiTheme="minorEastAsia" w:hAnsiTheme="minorEastAsia" w:eastAsiaTheme="minorEastAsia"/>
          <w:color w:val="000000"/>
          <w:spacing w:val="0"/>
          <w:w w:val="15"/>
          <w:kern w:val="0"/>
          <w:szCs w:val="21"/>
          <w:fitText w:val="42" w:id="1468295186"/>
        </w:rPr>
        <w:t xml:space="preserve">　 </w:t>
      </w:r>
      <w:r>
        <w:rPr>
          <w:rFonts w:hint="eastAsia" w:cs="仿宋" w:asciiTheme="minorEastAsia" w:hAnsiTheme="minorEastAsia" w:eastAsiaTheme="minorEastAsia"/>
          <w:color w:val="000000"/>
          <w:spacing w:val="-17"/>
          <w:w w:val="15"/>
          <w:kern w:val="0"/>
          <w:szCs w:val="21"/>
          <w:fitText w:val="42" w:id="1468295186"/>
        </w:rPr>
        <w:t>　</w:t>
      </w:r>
      <w:r>
        <w:rPr>
          <w:rFonts w:hint="eastAsia" w:asciiTheme="minorEastAsia" w:hAnsiTheme="minorEastAsia" w:eastAsiaTheme="minorEastAsia"/>
          <w:color w:val="000000"/>
          <w:szCs w:val="21"/>
        </w:rPr>
        <w:t>V</w:t>
      </w:r>
      <w:r>
        <w:rPr>
          <w:rFonts w:hint="eastAsia" w:asciiTheme="minorEastAsia" w:hAnsiTheme="minorEastAsia" w:eastAsiaTheme="minorEastAsia"/>
          <w:szCs w:val="21"/>
        </w:rPr>
        <w:t>绝缘电阻表摇测替代，试验持续时间</w:t>
      </w:r>
      <w:r>
        <w:rPr>
          <w:rFonts w:hint="eastAsia" w:asciiTheme="minorEastAsia" w:hAnsiTheme="minorEastAsia" w:eastAsiaTheme="minorEastAsia"/>
          <w:color w:val="000000"/>
          <w:szCs w:val="21"/>
        </w:rPr>
        <w:t>1 min</w:t>
      </w:r>
      <w:r>
        <w:rPr>
          <w:rFonts w:hint="eastAsia" w:asciiTheme="minorEastAsia" w:hAnsiTheme="minorEastAsia" w:eastAsiaTheme="minorEastAsia"/>
          <w:szCs w:val="21"/>
        </w:rPr>
        <w:t>，无击穿闪络现象。</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检查方法：用绝缘电阻测试仪测试，试验时观察检查并查阅交接试验记录、绝缘电阻测试记录。</w:t>
      </w:r>
    </w:p>
    <w:p>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100" w:name="_Toc137216234"/>
      <w:bookmarkStart w:id="101" w:name="_Toc136869075"/>
      <w:bookmarkStart w:id="102" w:name="_Toc136868040"/>
      <w:r>
        <w:rPr>
          <w:rFonts w:asciiTheme="minorEastAsia" w:hAnsiTheme="minorEastAsia" w:eastAsiaTheme="minorEastAsia"/>
          <w:sz w:val="24"/>
          <w:szCs w:val="24"/>
        </w:rPr>
        <w:t xml:space="preserve">5.2 </w:t>
      </w:r>
      <w:r>
        <w:rPr>
          <w:rFonts w:hint="eastAsia" w:asciiTheme="minorEastAsia" w:hAnsiTheme="minorEastAsia" w:eastAsiaTheme="minorEastAsia"/>
          <w:sz w:val="24"/>
          <w:szCs w:val="24"/>
        </w:rPr>
        <w:t>梯架、托盘和槽盒安装</w:t>
      </w:r>
      <w:bookmarkEnd w:id="99"/>
      <w:bookmarkEnd w:id="100"/>
      <w:bookmarkEnd w:id="101"/>
      <w:bookmarkEnd w:id="102"/>
    </w:p>
    <w:p>
      <w:pPr>
        <w:pStyle w:val="4"/>
        <w:spacing w:before="120" w:beforeLines="50" w:after="120" w:afterLines="50"/>
        <w:rPr>
          <w:rFonts w:asciiTheme="minorEastAsia" w:hAnsiTheme="minorEastAsia" w:eastAsiaTheme="minorEastAsia"/>
          <w:sz w:val="21"/>
          <w:szCs w:val="21"/>
        </w:rPr>
      </w:pPr>
      <w:r>
        <w:t>I</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主控项目</w:t>
      </w:r>
    </w:p>
    <w:p>
      <w:pPr>
        <w:pStyle w:val="41"/>
        <w:numPr>
          <w:ilvl w:val="0"/>
          <w:numId w:val="64"/>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金属梯架、托盘或槽盒本体之间的连接应牢固可靠，与保护导体的连接应符合下列规定：</w:t>
      </w:r>
    </w:p>
    <w:p>
      <w:pPr>
        <w:pStyle w:val="41"/>
        <w:numPr>
          <w:ilvl w:val="1"/>
          <w:numId w:val="65"/>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梯架、托盘和槽盒全长不大于</w:t>
      </w:r>
      <w:r>
        <w:rPr>
          <w:rFonts w:hint="eastAsia" w:asciiTheme="minorEastAsia" w:hAnsiTheme="minorEastAsia" w:eastAsiaTheme="minorEastAsia"/>
          <w:color w:val="000000"/>
          <w:szCs w:val="21"/>
        </w:rPr>
        <w:t>30</w:t>
      </w:r>
      <w:r>
        <w:rPr>
          <w:rFonts w:hint="eastAsia" w:cs="仿宋" w:asciiTheme="minorEastAsia" w:hAnsiTheme="minorEastAsia" w:eastAsiaTheme="minorEastAsia"/>
          <w:color w:val="000000"/>
          <w:spacing w:val="0"/>
          <w:w w:val="15"/>
          <w:kern w:val="0"/>
          <w:szCs w:val="21"/>
          <w:fitText w:val="42" w:id="1926643847"/>
        </w:rPr>
        <w:t xml:space="preserve">　 </w:t>
      </w:r>
      <w:r>
        <w:rPr>
          <w:rFonts w:hint="eastAsia" w:cs="仿宋" w:asciiTheme="minorEastAsia" w:hAnsiTheme="minorEastAsia" w:eastAsiaTheme="minorEastAsia"/>
          <w:color w:val="000000"/>
          <w:spacing w:val="-17"/>
          <w:w w:val="15"/>
          <w:kern w:val="0"/>
          <w:szCs w:val="21"/>
          <w:fitText w:val="42" w:id="1926643847"/>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时，不应少于2处与保护导体可靠连接；全长大于</w:t>
      </w:r>
      <w:r>
        <w:rPr>
          <w:rFonts w:hint="eastAsia" w:asciiTheme="minorEastAsia" w:hAnsiTheme="minorEastAsia" w:eastAsiaTheme="minorEastAsia"/>
          <w:color w:val="000000"/>
          <w:szCs w:val="21"/>
        </w:rPr>
        <w:t>30</w:t>
      </w:r>
      <w:r>
        <w:rPr>
          <w:rFonts w:hint="eastAsia" w:cs="仿宋" w:asciiTheme="minorEastAsia" w:hAnsiTheme="minorEastAsia" w:eastAsiaTheme="minorEastAsia"/>
          <w:color w:val="000000"/>
          <w:spacing w:val="0"/>
          <w:w w:val="15"/>
          <w:kern w:val="0"/>
          <w:szCs w:val="21"/>
          <w:fitText w:val="42" w:id="1144275412"/>
        </w:rPr>
        <w:t xml:space="preserve">　 </w:t>
      </w:r>
      <w:r>
        <w:rPr>
          <w:rFonts w:hint="eastAsia" w:cs="仿宋" w:asciiTheme="minorEastAsia" w:hAnsiTheme="minorEastAsia" w:eastAsiaTheme="minorEastAsia"/>
          <w:color w:val="000000"/>
          <w:spacing w:val="-17"/>
          <w:w w:val="15"/>
          <w:kern w:val="0"/>
          <w:szCs w:val="21"/>
          <w:fitText w:val="42" w:id="1144275412"/>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时，每隔</w:t>
      </w:r>
      <w:r>
        <w:rPr>
          <w:rFonts w:hint="eastAsia" w:asciiTheme="minorEastAsia" w:hAnsiTheme="minorEastAsia" w:eastAsiaTheme="minorEastAsia"/>
          <w:color w:val="000000"/>
          <w:szCs w:val="21"/>
        </w:rPr>
        <w:t>20</w:t>
      </w:r>
      <w:r>
        <w:rPr>
          <w:rFonts w:hint="eastAsia" w:cs="仿宋" w:asciiTheme="minorEastAsia" w:hAnsiTheme="minorEastAsia" w:eastAsiaTheme="minorEastAsia"/>
          <w:color w:val="000000"/>
          <w:spacing w:val="0"/>
          <w:w w:val="15"/>
          <w:kern w:val="0"/>
          <w:szCs w:val="21"/>
          <w:fitText w:val="42" w:id="452680362"/>
        </w:rPr>
        <w:t xml:space="preserve">　 </w:t>
      </w:r>
      <w:r>
        <w:rPr>
          <w:rFonts w:hint="eastAsia" w:cs="仿宋" w:asciiTheme="minorEastAsia" w:hAnsiTheme="minorEastAsia" w:eastAsiaTheme="minorEastAsia"/>
          <w:color w:val="000000"/>
          <w:spacing w:val="-17"/>
          <w:w w:val="15"/>
          <w:kern w:val="0"/>
          <w:szCs w:val="21"/>
          <w:fitText w:val="42" w:id="452680362"/>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30</w:t>
      </w:r>
      <w:r>
        <w:rPr>
          <w:rFonts w:hint="eastAsia" w:cs="仿宋" w:asciiTheme="minorEastAsia" w:hAnsiTheme="minorEastAsia" w:eastAsiaTheme="minorEastAsia"/>
          <w:color w:val="000000"/>
          <w:spacing w:val="0"/>
          <w:w w:val="15"/>
          <w:kern w:val="0"/>
          <w:szCs w:val="21"/>
          <w:fitText w:val="42" w:id="1228948169"/>
        </w:rPr>
        <w:t xml:space="preserve">　 </w:t>
      </w:r>
      <w:r>
        <w:rPr>
          <w:rFonts w:hint="eastAsia" w:cs="仿宋" w:asciiTheme="minorEastAsia" w:hAnsiTheme="minorEastAsia" w:eastAsiaTheme="minorEastAsia"/>
          <w:color w:val="000000"/>
          <w:spacing w:val="-17"/>
          <w:w w:val="15"/>
          <w:kern w:val="0"/>
          <w:szCs w:val="21"/>
          <w:fitText w:val="42" w:id="1228948169"/>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应增加一个连接点，起始端和终点端均应可靠接地。</w:t>
      </w:r>
    </w:p>
    <w:p>
      <w:pPr>
        <w:pStyle w:val="41"/>
        <w:numPr>
          <w:ilvl w:val="1"/>
          <w:numId w:val="65"/>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非镀锌梯架、托盘和槽盒本体之间连接板的两端应跨接保护联结导体，保护联结导体的截面积应符合设计要求。</w:t>
      </w:r>
    </w:p>
    <w:p>
      <w:pPr>
        <w:pStyle w:val="41"/>
        <w:numPr>
          <w:ilvl w:val="1"/>
          <w:numId w:val="65"/>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镀锌梯架、托盘和槽盒本体之间不跨接保护联结导体时，连接板每端不应少于2个有防松螺帽或防松垫圈的连接固定螺栓。</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检查数量：第1款全数检查，第2款和第3款按每个检验批的梯架或托盘或槽盒的连接点数量各抽查10%，且各不得少于2个点。</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检查方法：观察检查并用尺量检查。</w:t>
      </w:r>
    </w:p>
    <w:p>
      <w:pPr>
        <w:pStyle w:val="41"/>
        <w:numPr>
          <w:ilvl w:val="0"/>
          <w:numId w:val="64"/>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电缆梯架、托盘和槽盒转弯、分支处宜采用专用连接配件，其弯曲半径不应小于梯架、托盘和槽盒内电缆最小允许弯曲半径，电缆最小允许弯曲半径应符合表</w:t>
      </w:r>
      <w:r>
        <w:rPr>
          <w:rFonts w:asciiTheme="minorEastAsia" w:hAnsiTheme="minorEastAsia" w:eastAsiaTheme="minorEastAsia"/>
          <w:szCs w:val="21"/>
        </w:rPr>
        <w:t>5.2.2</w:t>
      </w:r>
      <w:r>
        <w:rPr>
          <w:rFonts w:hint="eastAsia" w:asciiTheme="minorEastAsia" w:hAnsiTheme="minorEastAsia" w:eastAsiaTheme="minorEastAsia"/>
          <w:szCs w:val="21"/>
        </w:rPr>
        <w:t>的规定。</w:t>
      </w:r>
    </w:p>
    <w:p>
      <w:pPr>
        <w:spacing w:line="360" w:lineRule="auto"/>
        <w:jc w:val="center"/>
        <w:rPr>
          <w:rFonts w:ascii="黑体" w:hAnsi="黑体" w:eastAsia="黑体"/>
          <w:szCs w:val="21"/>
        </w:rPr>
      </w:pPr>
      <w:r>
        <w:rPr>
          <w:rFonts w:hint="eastAsia" w:ascii="黑体" w:hAnsi="黑体" w:eastAsia="黑体"/>
          <w:szCs w:val="21"/>
        </w:rPr>
        <w:t>表</w:t>
      </w:r>
      <w:r>
        <w:rPr>
          <w:rFonts w:ascii="黑体" w:hAnsi="黑体" w:eastAsia="黑体"/>
          <w:szCs w:val="21"/>
        </w:rPr>
        <w:t xml:space="preserve">5.2.2 </w:t>
      </w:r>
      <w:r>
        <w:rPr>
          <w:rFonts w:hint="eastAsia" w:ascii="黑体" w:hAnsi="黑体" w:eastAsia="黑体"/>
          <w:szCs w:val="21"/>
        </w:rPr>
        <w:t>电缆最小允许弯曲半径</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2555"/>
        <w:gridCol w:w="1557"/>
        <w:gridCol w:w="1557"/>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309" w:type="pct"/>
            <w:gridSpan w:val="2"/>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电缆形式</w:t>
            </w:r>
          </w:p>
        </w:tc>
        <w:tc>
          <w:tcPr>
            <w:tcW w:w="913" w:type="pct"/>
            <w:vAlign w:val="center"/>
          </w:tcPr>
          <w:p>
            <w:pPr>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电缆外径（mm）</w:t>
            </w:r>
          </w:p>
        </w:tc>
        <w:tc>
          <w:tcPr>
            <w:tcW w:w="913" w:type="pct"/>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多芯电缆</w:t>
            </w:r>
          </w:p>
        </w:tc>
        <w:tc>
          <w:tcPr>
            <w:tcW w:w="865" w:type="pct"/>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单芯电缆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1" w:type="pct"/>
            <w:vMerge w:val="restart"/>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塑料绝缘电缆</w:t>
            </w:r>
          </w:p>
        </w:tc>
        <w:tc>
          <w:tcPr>
            <w:tcW w:w="1498" w:type="pct"/>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无铠装</w:t>
            </w:r>
          </w:p>
        </w:tc>
        <w:tc>
          <w:tcPr>
            <w:tcW w:w="913" w:type="pct"/>
            <w:vMerge w:val="restart"/>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w:t>
            </w:r>
          </w:p>
        </w:tc>
        <w:tc>
          <w:tcPr>
            <w:tcW w:w="913" w:type="pct"/>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15D</w:t>
            </w:r>
          </w:p>
        </w:tc>
        <w:tc>
          <w:tcPr>
            <w:tcW w:w="865" w:type="pct"/>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20D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1" w:type="pct"/>
            <w:vMerge w:val="continue"/>
            <w:vAlign w:val="center"/>
          </w:tcPr>
          <w:p>
            <w:pPr>
              <w:spacing w:line="360" w:lineRule="auto"/>
              <w:jc w:val="center"/>
              <w:rPr>
                <w:rFonts w:cs="宋体" w:asciiTheme="minorEastAsia" w:hAnsiTheme="minorEastAsia" w:eastAsiaTheme="minorEastAsia"/>
                <w:szCs w:val="21"/>
              </w:rPr>
            </w:pPr>
          </w:p>
        </w:tc>
        <w:tc>
          <w:tcPr>
            <w:tcW w:w="1498" w:type="pct"/>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有铠装</w:t>
            </w:r>
          </w:p>
        </w:tc>
        <w:tc>
          <w:tcPr>
            <w:tcW w:w="913" w:type="pct"/>
            <w:vMerge w:val="continue"/>
            <w:vAlign w:val="center"/>
          </w:tcPr>
          <w:p>
            <w:pPr>
              <w:spacing w:line="360" w:lineRule="auto"/>
              <w:jc w:val="center"/>
              <w:rPr>
                <w:rFonts w:cs="宋体" w:asciiTheme="minorEastAsia" w:hAnsiTheme="minorEastAsia" w:eastAsiaTheme="minorEastAsia"/>
                <w:szCs w:val="21"/>
              </w:rPr>
            </w:pPr>
          </w:p>
        </w:tc>
        <w:tc>
          <w:tcPr>
            <w:tcW w:w="913" w:type="pct"/>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12D</w:t>
            </w:r>
          </w:p>
        </w:tc>
        <w:tc>
          <w:tcPr>
            <w:tcW w:w="865" w:type="pct"/>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15D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309" w:type="pct"/>
            <w:gridSpan w:val="2"/>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橡皮绝缘电缆</w:t>
            </w:r>
          </w:p>
        </w:tc>
        <w:tc>
          <w:tcPr>
            <w:tcW w:w="913" w:type="pct"/>
            <w:vMerge w:val="continue"/>
            <w:vAlign w:val="center"/>
          </w:tcPr>
          <w:p>
            <w:pPr>
              <w:spacing w:line="360" w:lineRule="auto"/>
              <w:jc w:val="center"/>
              <w:rPr>
                <w:rFonts w:cs="宋体" w:asciiTheme="minorEastAsia" w:hAnsiTheme="minorEastAsia" w:eastAsiaTheme="minorEastAsia"/>
                <w:szCs w:val="21"/>
              </w:rPr>
            </w:pPr>
          </w:p>
        </w:tc>
        <w:tc>
          <w:tcPr>
            <w:tcW w:w="1778" w:type="pct"/>
            <w:gridSpan w:val="2"/>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10D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1" w:type="pct"/>
            <w:vMerge w:val="restart"/>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控制电缆</w:t>
            </w:r>
          </w:p>
        </w:tc>
        <w:tc>
          <w:tcPr>
            <w:tcW w:w="1498" w:type="pct"/>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菲铠装型、屏蔽型软电缆</w:t>
            </w:r>
          </w:p>
        </w:tc>
        <w:tc>
          <w:tcPr>
            <w:tcW w:w="913" w:type="pct"/>
            <w:vMerge w:val="continue"/>
            <w:vAlign w:val="center"/>
          </w:tcPr>
          <w:p>
            <w:pPr>
              <w:spacing w:line="360" w:lineRule="auto"/>
              <w:jc w:val="center"/>
              <w:rPr>
                <w:rFonts w:cs="宋体" w:asciiTheme="minorEastAsia" w:hAnsiTheme="minorEastAsia" w:eastAsiaTheme="minorEastAsia"/>
                <w:szCs w:val="21"/>
              </w:rPr>
            </w:pPr>
          </w:p>
        </w:tc>
        <w:tc>
          <w:tcPr>
            <w:tcW w:w="913" w:type="pct"/>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6D</w:t>
            </w:r>
          </w:p>
        </w:tc>
        <w:tc>
          <w:tcPr>
            <w:tcW w:w="865" w:type="pct"/>
            <w:vMerge w:val="restart"/>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1" w:type="pct"/>
            <w:vMerge w:val="continue"/>
            <w:vAlign w:val="center"/>
          </w:tcPr>
          <w:p>
            <w:pPr>
              <w:spacing w:line="360" w:lineRule="auto"/>
              <w:jc w:val="center"/>
              <w:rPr>
                <w:rFonts w:cs="宋体" w:asciiTheme="minorEastAsia" w:hAnsiTheme="minorEastAsia" w:eastAsiaTheme="minorEastAsia"/>
                <w:szCs w:val="21"/>
              </w:rPr>
            </w:pPr>
          </w:p>
        </w:tc>
        <w:tc>
          <w:tcPr>
            <w:tcW w:w="1498" w:type="pct"/>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铠装型、铜屏蔽型</w:t>
            </w:r>
          </w:p>
        </w:tc>
        <w:tc>
          <w:tcPr>
            <w:tcW w:w="913" w:type="pct"/>
            <w:vMerge w:val="continue"/>
            <w:vAlign w:val="center"/>
          </w:tcPr>
          <w:p>
            <w:pPr>
              <w:spacing w:line="360" w:lineRule="auto"/>
              <w:jc w:val="center"/>
              <w:rPr>
                <w:rFonts w:cs="宋体" w:asciiTheme="minorEastAsia" w:hAnsiTheme="minorEastAsia" w:eastAsiaTheme="minorEastAsia"/>
                <w:szCs w:val="21"/>
              </w:rPr>
            </w:pPr>
          </w:p>
        </w:tc>
        <w:tc>
          <w:tcPr>
            <w:tcW w:w="913" w:type="pct"/>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12D</w:t>
            </w:r>
          </w:p>
        </w:tc>
        <w:tc>
          <w:tcPr>
            <w:tcW w:w="865" w:type="pct"/>
            <w:vMerge w:val="continue"/>
            <w:vAlign w:val="center"/>
          </w:tcPr>
          <w:p>
            <w:pPr>
              <w:spacing w:line="360" w:lineRule="auto"/>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1" w:type="pct"/>
            <w:vMerge w:val="continue"/>
            <w:vAlign w:val="center"/>
          </w:tcPr>
          <w:p>
            <w:pPr>
              <w:spacing w:line="360" w:lineRule="auto"/>
              <w:jc w:val="center"/>
              <w:rPr>
                <w:rFonts w:cs="宋体" w:asciiTheme="minorEastAsia" w:hAnsiTheme="minorEastAsia" w:eastAsiaTheme="minorEastAsia"/>
                <w:szCs w:val="21"/>
              </w:rPr>
            </w:pPr>
          </w:p>
        </w:tc>
        <w:tc>
          <w:tcPr>
            <w:tcW w:w="1498" w:type="pct"/>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其他</w:t>
            </w:r>
          </w:p>
        </w:tc>
        <w:tc>
          <w:tcPr>
            <w:tcW w:w="913" w:type="pct"/>
            <w:vMerge w:val="continue"/>
            <w:vAlign w:val="center"/>
          </w:tcPr>
          <w:p>
            <w:pPr>
              <w:spacing w:line="360" w:lineRule="auto"/>
              <w:jc w:val="center"/>
              <w:rPr>
                <w:rFonts w:cs="宋体" w:asciiTheme="minorEastAsia" w:hAnsiTheme="minorEastAsia" w:eastAsiaTheme="minorEastAsia"/>
                <w:szCs w:val="21"/>
              </w:rPr>
            </w:pPr>
          </w:p>
        </w:tc>
        <w:tc>
          <w:tcPr>
            <w:tcW w:w="913" w:type="pct"/>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10D</w:t>
            </w:r>
          </w:p>
        </w:tc>
        <w:tc>
          <w:tcPr>
            <w:tcW w:w="865" w:type="pct"/>
            <w:vMerge w:val="continue"/>
            <w:vAlign w:val="center"/>
          </w:tcPr>
          <w:p>
            <w:pPr>
              <w:spacing w:line="360" w:lineRule="auto"/>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309" w:type="pct"/>
            <w:gridSpan w:val="2"/>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铝合金导体电力电缆</w:t>
            </w:r>
          </w:p>
        </w:tc>
        <w:tc>
          <w:tcPr>
            <w:tcW w:w="913" w:type="pct"/>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w:t>
            </w:r>
          </w:p>
        </w:tc>
        <w:tc>
          <w:tcPr>
            <w:tcW w:w="1778" w:type="pct"/>
            <w:gridSpan w:val="2"/>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7D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309" w:type="pct"/>
            <w:gridSpan w:val="2"/>
            <w:vMerge w:val="restart"/>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氧化镁绝缘刚性矿物绝缘电缆</w:t>
            </w:r>
          </w:p>
        </w:tc>
        <w:tc>
          <w:tcPr>
            <w:tcW w:w="913" w:type="pct"/>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＜7</w:t>
            </w:r>
          </w:p>
        </w:tc>
        <w:tc>
          <w:tcPr>
            <w:tcW w:w="1778" w:type="pct"/>
            <w:gridSpan w:val="2"/>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2D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309" w:type="pct"/>
            <w:gridSpan w:val="2"/>
            <w:vMerge w:val="continue"/>
            <w:vAlign w:val="center"/>
          </w:tcPr>
          <w:p>
            <w:pPr>
              <w:spacing w:line="360" w:lineRule="auto"/>
              <w:jc w:val="center"/>
              <w:rPr>
                <w:rFonts w:cs="宋体" w:asciiTheme="minorEastAsia" w:hAnsiTheme="minorEastAsia" w:eastAsiaTheme="minorEastAsia"/>
                <w:szCs w:val="21"/>
              </w:rPr>
            </w:pPr>
          </w:p>
        </w:tc>
        <w:tc>
          <w:tcPr>
            <w:tcW w:w="913" w:type="pct"/>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≥7，且＜12</w:t>
            </w:r>
          </w:p>
        </w:tc>
        <w:tc>
          <w:tcPr>
            <w:tcW w:w="1778" w:type="pct"/>
            <w:gridSpan w:val="2"/>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3D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309" w:type="pct"/>
            <w:gridSpan w:val="2"/>
            <w:vMerge w:val="continue"/>
            <w:vAlign w:val="center"/>
          </w:tcPr>
          <w:p>
            <w:pPr>
              <w:spacing w:line="360" w:lineRule="auto"/>
              <w:jc w:val="center"/>
              <w:rPr>
                <w:rFonts w:cs="宋体" w:asciiTheme="minorEastAsia" w:hAnsiTheme="minorEastAsia" w:eastAsiaTheme="minorEastAsia"/>
                <w:szCs w:val="21"/>
              </w:rPr>
            </w:pPr>
          </w:p>
        </w:tc>
        <w:tc>
          <w:tcPr>
            <w:tcW w:w="913" w:type="pct"/>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≥12，且＜15</w:t>
            </w:r>
          </w:p>
        </w:tc>
        <w:tc>
          <w:tcPr>
            <w:tcW w:w="1778" w:type="pct"/>
            <w:gridSpan w:val="2"/>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4D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309" w:type="pct"/>
            <w:gridSpan w:val="2"/>
            <w:vMerge w:val="continue"/>
            <w:vAlign w:val="center"/>
          </w:tcPr>
          <w:p>
            <w:pPr>
              <w:spacing w:line="360" w:lineRule="auto"/>
              <w:jc w:val="center"/>
              <w:rPr>
                <w:rFonts w:cs="宋体" w:asciiTheme="minorEastAsia" w:hAnsiTheme="minorEastAsia" w:eastAsiaTheme="minorEastAsia"/>
                <w:szCs w:val="21"/>
              </w:rPr>
            </w:pPr>
          </w:p>
        </w:tc>
        <w:tc>
          <w:tcPr>
            <w:tcW w:w="913" w:type="pct"/>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≥15</w:t>
            </w:r>
          </w:p>
        </w:tc>
        <w:tc>
          <w:tcPr>
            <w:tcW w:w="1778" w:type="pct"/>
            <w:gridSpan w:val="2"/>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6D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309" w:type="pct"/>
            <w:gridSpan w:val="2"/>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其他矿物绝缘电缆</w:t>
            </w:r>
          </w:p>
        </w:tc>
        <w:tc>
          <w:tcPr>
            <w:tcW w:w="913" w:type="pct"/>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w:t>
            </w:r>
          </w:p>
        </w:tc>
        <w:tc>
          <w:tcPr>
            <w:tcW w:w="1778" w:type="pct"/>
            <w:gridSpan w:val="2"/>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15D</w:t>
            </w:r>
          </w:p>
        </w:tc>
      </w:tr>
    </w:tbl>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注：D为电缆外径。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检查数量：按每个检验批的梯架、托盘或槽盒的弯头数量各抽查10%，且各不得少于1个弯头。</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检查方法：观察检查并用尺量检查</w:t>
      </w:r>
    </w:p>
    <w:p>
      <w:pPr>
        <w:pStyle w:val="4"/>
        <w:spacing w:before="120" w:beforeLines="50" w:after="120" w:afterLines="50"/>
        <w:ind w:left="3570"/>
        <w:jc w:val="both"/>
        <w:rPr>
          <w:rFonts w:asciiTheme="minorEastAsia" w:hAnsiTheme="minorEastAsia" w:eastAsiaTheme="minorEastAsia"/>
          <w:sz w:val="21"/>
          <w:szCs w:val="21"/>
        </w:rPr>
      </w:pPr>
      <w:r>
        <w:t>Ⅱ</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一般项目</w:t>
      </w:r>
    </w:p>
    <w:p>
      <w:pPr>
        <w:pStyle w:val="41"/>
        <w:numPr>
          <w:ilvl w:val="0"/>
          <w:numId w:val="64"/>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当直线段钢制或塑料梯架、托盘和槽盒长度超过</w:t>
      </w:r>
      <w:r>
        <w:rPr>
          <w:rFonts w:hint="eastAsia" w:asciiTheme="minorEastAsia" w:hAnsiTheme="minorEastAsia" w:eastAsiaTheme="minorEastAsia"/>
          <w:color w:val="000000"/>
          <w:szCs w:val="21"/>
        </w:rPr>
        <w:t>30</w:t>
      </w:r>
      <w:r>
        <w:rPr>
          <w:rFonts w:hint="eastAsia" w:cs="仿宋" w:asciiTheme="minorEastAsia" w:hAnsiTheme="minorEastAsia" w:eastAsiaTheme="minorEastAsia"/>
          <w:color w:val="000000"/>
          <w:spacing w:val="0"/>
          <w:w w:val="15"/>
          <w:kern w:val="0"/>
          <w:szCs w:val="21"/>
          <w:fitText w:val="42" w:id="47988484"/>
        </w:rPr>
        <w:t xml:space="preserve">　 </w:t>
      </w:r>
      <w:r>
        <w:rPr>
          <w:rFonts w:hint="eastAsia" w:cs="仿宋" w:asciiTheme="minorEastAsia" w:hAnsiTheme="minorEastAsia" w:eastAsiaTheme="minorEastAsia"/>
          <w:color w:val="000000"/>
          <w:spacing w:val="-17"/>
          <w:w w:val="15"/>
          <w:kern w:val="0"/>
          <w:szCs w:val="21"/>
          <w:fitText w:val="42" w:id="47988484"/>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，铝合金或玻璃钢制梯架、托盘和槽盒长度超过</w:t>
      </w:r>
      <w:r>
        <w:rPr>
          <w:rFonts w:hint="eastAsia" w:asciiTheme="minorEastAsia" w:hAnsiTheme="minorEastAsia" w:eastAsiaTheme="minorEastAsia"/>
          <w:color w:val="000000"/>
          <w:szCs w:val="21"/>
        </w:rPr>
        <w:t>15</w:t>
      </w:r>
      <w:r>
        <w:rPr>
          <w:rFonts w:hint="eastAsia" w:cs="仿宋" w:asciiTheme="minorEastAsia" w:hAnsiTheme="minorEastAsia" w:eastAsiaTheme="minorEastAsia"/>
          <w:color w:val="000000"/>
          <w:spacing w:val="0"/>
          <w:w w:val="15"/>
          <w:kern w:val="0"/>
          <w:szCs w:val="21"/>
          <w:fitText w:val="42" w:id="1456823830"/>
        </w:rPr>
        <w:t xml:space="preserve">　 </w:t>
      </w:r>
      <w:r>
        <w:rPr>
          <w:rFonts w:hint="eastAsia" w:cs="仿宋" w:asciiTheme="minorEastAsia" w:hAnsiTheme="minorEastAsia" w:eastAsiaTheme="minorEastAsia"/>
          <w:color w:val="000000"/>
          <w:spacing w:val="-17"/>
          <w:w w:val="15"/>
          <w:kern w:val="0"/>
          <w:szCs w:val="21"/>
          <w:fitText w:val="42" w:id="1456823830"/>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时，应设置伸缩节；当梯架、托盘和槽盒跨越建筑物变形缝处时，应设置补偿装置，并增加标识。</w:t>
      </w:r>
    </w:p>
    <w:p>
      <w:pPr>
        <w:pStyle w:val="41"/>
        <w:spacing w:line="360" w:lineRule="auto"/>
        <w:ind w:left="640" w:firstLine="0" w:firstLineChars="0"/>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pPr>
        <w:pStyle w:val="41"/>
        <w:spacing w:line="360" w:lineRule="auto"/>
        <w:ind w:left="640" w:firstLine="0" w:firstLineChars="0"/>
        <w:rPr>
          <w:rFonts w:asciiTheme="minorEastAsia" w:hAnsiTheme="minorEastAsia" w:eastAsiaTheme="minorEastAsia"/>
          <w:szCs w:val="21"/>
        </w:rPr>
      </w:pPr>
      <w:r>
        <w:rPr>
          <w:rFonts w:hint="eastAsia" w:asciiTheme="minorEastAsia" w:hAnsiTheme="minorEastAsia" w:eastAsiaTheme="minorEastAsia"/>
          <w:szCs w:val="21"/>
        </w:rPr>
        <w:t>检查方法：观察检查并用尺量检查。</w:t>
      </w:r>
    </w:p>
    <w:p>
      <w:pPr>
        <w:pStyle w:val="41"/>
        <w:numPr>
          <w:ilvl w:val="0"/>
          <w:numId w:val="64"/>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梯架、托盘和槽盒与支架间及与连接板的固定螺栓应紧固无遗漏、防松装置齐全，螺母应位于梯架、托盘和槽盒外侧；当铝合金梯架、托盘和槽盒与钢支架固定时，应有相互间绝缘的防电化学腐蚀措施。</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检查数量：按每个检验批的梯架或托盘或槽盒的固定点数量各抽查10%，且各不得少于2个点。</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pPr>
        <w:pStyle w:val="41"/>
        <w:numPr>
          <w:ilvl w:val="0"/>
          <w:numId w:val="64"/>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当设计无要求时，梯架、托盘、槽盒及支架安装应符合下列规定：</w:t>
      </w:r>
    </w:p>
    <w:p>
      <w:pPr>
        <w:pStyle w:val="41"/>
        <w:numPr>
          <w:ilvl w:val="1"/>
          <w:numId w:val="6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电缆梯架、托盘和槽盒宜敷设在易燃易爆气体管道和热力管道的下方，与各类管道的最小净距应符合本规范表5</w:t>
      </w:r>
      <w:r>
        <w:rPr>
          <w:rFonts w:asciiTheme="minorEastAsia" w:hAnsiTheme="minorEastAsia" w:eastAsiaTheme="minorEastAsia"/>
          <w:szCs w:val="21"/>
        </w:rPr>
        <w:t>.1.10</w:t>
      </w:r>
      <w:r>
        <w:rPr>
          <w:rFonts w:hint="eastAsia" w:asciiTheme="minorEastAsia" w:hAnsiTheme="minorEastAsia" w:eastAsiaTheme="minorEastAsia"/>
          <w:szCs w:val="21"/>
        </w:rPr>
        <w:t>的规定。</w:t>
      </w:r>
    </w:p>
    <w:p>
      <w:pPr>
        <w:pStyle w:val="41"/>
        <w:numPr>
          <w:ilvl w:val="1"/>
          <w:numId w:val="6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配线槽盒与水管同侧上下敷设时，宜安装在水管的上方；与热水管、蒸</w:t>
      </w:r>
      <w:r>
        <w:rPr>
          <w:rFonts w:hint="eastAsia" w:asciiTheme="minorEastAsia" w:hAnsiTheme="minorEastAsia" w:eastAsiaTheme="minorEastAsia"/>
          <w:color w:val="000000"/>
          <w:szCs w:val="21"/>
        </w:rPr>
        <w:t>汽管</w:t>
      </w:r>
      <w:r>
        <w:rPr>
          <w:rFonts w:hint="eastAsia" w:asciiTheme="minorEastAsia" w:hAnsiTheme="minorEastAsia" w:eastAsiaTheme="minorEastAsia"/>
          <w:szCs w:val="21"/>
        </w:rPr>
        <w:t>平行上下敷设时，应敷设在热水管、蒸</w:t>
      </w:r>
      <w:r>
        <w:rPr>
          <w:rFonts w:hint="eastAsia" w:asciiTheme="minorEastAsia" w:hAnsiTheme="minorEastAsia" w:eastAsiaTheme="minorEastAsia"/>
          <w:color w:val="000000"/>
          <w:szCs w:val="21"/>
        </w:rPr>
        <w:t>汽管</w:t>
      </w:r>
      <w:r>
        <w:rPr>
          <w:rFonts w:hint="eastAsia" w:asciiTheme="minorEastAsia" w:hAnsiTheme="minorEastAsia" w:eastAsiaTheme="minorEastAsia"/>
          <w:szCs w:val="21"/>
        </w:rPr>
        <w:t>的下方，当有困难时，可敷设在热水管、蒸</w:t>
      </w:r>
      <w:r>
        <w:rPr>
          <w:rFonts w:hint="eastAsia" w:asciiTheme="minorEastAsia" w:hAnsiTheme="minorEastAsia" w:eastAsiaTheme="minorEastAsia"/>
          <w:color w:val="000000"/>
          <w:szCs w:val="21"/>
        </w:rPr>
        <w:t>汽管</w:t>
      </w:r>
      <w:r>
        <w:rPr>
          <w:rFonts w:hint="eastAsia" w:asciiTheme="minorEastAsia" w:hAnsiTheme="minorEastAsia" w:eastAsiaTheme="minorEastAsia"/>
          <w:szCs w:val="21"/>
        </w:rPr>
        <w:t>的上方；相互间的最小面离宜符合本规范表5</w:t>
      </w:r>
      <w:r>
        <w:rPr>
          <w:rFonts w:asciiTheme="minorEastAsia" w:hAnsiTheme="minorEastAsia" w:eastAsiaTheme="minorEastAsia"/>
          <w:szCs w:val="21"/>
        </w:rPr>
        <w:t>.1.10</w:t>
      </w:r>
      <w:r>
        <w:rPr>
          <w:rFonts w:hint="eastAsia" w:asciiTheme="minorEastAsia" w:hAnsiTheme="minorEastAsia" w:eastAsiaTheme="minorEastAsia"/>
          <w:szCs w:val="21"/>
        </w:rPr>
        <w:t>的规定</w:t>
      </w:r>
    </w:p>
    <w:p>
      <w:pPr>
        <w:pStyle w:val="41"/>
        <w:numPr>
          <w:ilvl w:val="1"/>
          <w:numId w:val="6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敷设在电气竖井内穿楼板处和穿越不同防火区的梯架、托盘和槽盒，应有防火隔堵措施，封堵应严密、可靠。</w:t>
      </w:r>
    </w:p>
    <w:p>
      <w:pPr>
        <w:pStyle w:val="41"/>
        <w:numPr>
          <w:ilvl w:val="1"/>
          <w:numId w:val="6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敷设在电气竖井内的电缆梯架或托盘，其固定支架不应安装在固定电缆的横担上，且每隔3层～5层应设置承重支架。</w:t>
      </w:r>
    </w:p>
    <w:p>
      <w:pPr>
        <w:pStyle w:val="41"/>
        <w:numPr>
          <w:ilvl w:val="1"/>
          <w:numId w:val="6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对于敷设在室外的梯架、托盘和槽盒，槽盒安装应有坡度，当进入室内或配电箱（柜）时应有防雨水措施，槽盒盖板安装应满足防水要求，槽盒底部应有泄水孔。</w:t>
      </w:r>
    </w:p>
    <w:p>
      <w:pPr>
        <w:pStyle w:val="41"/>
        <w:numPr>
          <w:ilvl w:val="1"/>
          <w:numId w:val="6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承力建筑钢结构构件上不得熔焊支架，且不得热加工开孔。</w:t>
      </w:r>
    </w:p>
    <w:p>
      <w:pPr>
        <w:pStyle w:val="41"/>
        <w:numPr>
          <w:ilvl w:val="1"/>
          <w:numId w:val="6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水平安装的支架间距宜为</w:t>
      </w:r>
      <w:r>
        <w:rPr>
          <w:rFonts w:hint="eastAsia" w:asciiTheme="minorEastAsia" w:hAnsiTheme="minorEastAsia" w:eastAsiaTheme="minorEastAsia"/>
          <w:color w:val="000000"/>
          <w:szCs w:val="21"/>
        </w:rPr>
        <w:t>1.5</w:t>
      </w:r>
      <w:r>
        <w:rPr>
          <w:rFonts w:hint="eastAsia" w:cs="仿宋" w:asciiTheme="minorEastAsia" w:hAnsiTheme="minorEastAsia" w:eastAsiaTheme="minorEastAsia"/>
          <w:color w:val="000000"/>
          <w:spacing w:val="0"/>
          <w:w w:val="15"/>
          <w:kern w:val="0"/>
          <w:szCs w:val="21"/>
          <w:fitText w:val="42" w:id="100809858"/>
        </w:rPr>
        <w:t xml:space="preserve">　 </w:t>
      </w:r>
      <w:r>
        <w:rPr>
          <w:rFonts w:hint="eastAsia" w:cs="仿宋" w:asciiTheme="minorEastAsia" w:hAnsiTheme="minorEastAsia" w:eastAsiaTheme="minorEastAsia"/>
          <w:color w:val="000000"/>
          <w:spacing w:val="-17"/>
          <w:w w:val="15"/>
          <w:kern w:val="0"/>
          <w:szCs w:val="21"/>
          <w:fitText w:val="42" w:id="100809858"/>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3.0</w:t>
      </w:r>
      <w:r>
        <w:rPr>
          <w:rFonts w:hint="eastAsia" w:cs="仿宋" w:asciiTheme="minorEastAsia" w:hAnsiTheme="minorEastAsia" w:eastAsiaTheme="minorEastAsia"/>
          <w:color w:val="000000"/>
          <w:spacing w:val="0"/>
          <w:w w:val="15"/>
          <w:kern w:val="0"/>
          <w:szCs w:val="21"/>
          <w:fitText w:val="42" w:id="44442257"/>
        </w:rPr>
        <w:t xml:space="preserve">　 </w:t>
      </w:r>
      <w:r>
        <w:rPr>
          <w:rFonts w:hint="eastAsia" w:cs="仿宋" w:asciiTheme="minorEastAsia" w:hAnsiTheme="minorEastAsia" w:eastAsiaTheme="minorEastAsia"/>
          <w:color w:val="000000"/>
          <w:spacing w:val="-17"/>
          <w:w w:val="15"/>
          <w:kern w:val="0"/>
          <w:szCs w:val="21"/>
          <w:fitText w:val="42" w:id="44442257"/>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，垂直安装的支架间距不应大于</w:t>
      </w:r>
      <w:r>
        <w:rPr>
          <w:rFonts w:hint="eastAsia" w:asciiTheme="minorEastAsia" w:hAnsiTheme="minorEastAsia" w:eastAsiaTheme="minorEastAsia"/>
          <w:color w:val="000000"/>
          <w:szCs w:val="21"/>
        </w:rPr>
        <w:t>2</w:t>
      </w:r>
      <w:r>
        <w:rPr>
          <w:rFonts w:hint="eastAsia" w:cs="仿宋" w:asciiTheme="minorEastAsia" w:hAnsiTheme="minorEastAsia" w:eastAsiaTheme="minorEastAsia"/>
          <w:color w:val="000000"/>
          <w:spacing w:val="0"/>
          <w:w w:val="15"/>
          <w:kern w:val="0"/>
          <w:szCs w:val="21"/>
          <w:fitText w:val="42" w:id="1073547835"/>
        </w:rPr>
        <w:t xml:space="preserve">　 </w:t>
      </w:r>
      <w:r>
        <w:rPr>
          <w:rFonts w:hint="eastAsia" w:cs="仿宋" w:asciiTheme="minorEastAsia" w:hAnsiTheme="minorEastAsia" w:eastAsiaTheme="minorEastAsia"/>
          <w:color w:val="000000"/>
          <w:spacing w:val="-17"/>
          <w:w w:val="15"/>
          <w:kern w:val="0"/>
          <w:szCs w:val="21"/>
          <w:fitText w:val="42" w:id="1073547835"/>
        </w:rPr>
        <w:t>　</w:t>
      </w:r>
      <w:r>
        <w:rPr>
          <w:rFonts w:hint="eastAsia" w:asciiTheme="minorEastAsia" w:hAnsiTheme="minorEastAsia" w:eastAsiaTheme="minorEastAsia"/>
          <w:color w:val="000000"/>
          <w:szCs w:val="21"/>
        </w:rPr>
        <w:t>m。</w:t>
      </w:r>
    </w:p>
    <w:p>
      <w:pPr>
        <w:pStyle w:val="41"/>
        <w:numPr>
          <w:ilvl w:val="1"/>
          <w:numId w:val="6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采用金属吊架固定时，圆钢直径不得小于</w:t>
      </w:r>
      <w:r>
        <w:rPr>
          <w:rFonts w:hint="eastAsia" w:asciiTheme="minorEastAsia" w:hAnsiTheme="minorEastAsia" w:eastAsiaTheme="minorEastAsia"/>
          <w:color w:val="000000"/>
          <w:szCs w:val="21"/>
        </w:rPr>
        <w:t>8</w:t>
      </w:r>
      <w:r>
        <w:rPr>
          <w:rFonts w:hint="eastAsia" w:cs="仿宋" w:asciiTheme="minorEastAsia" w:hAnsiTheme="minorEastAsia" w:eastAsiaTheme="minorEastAsia"/>
          <w:color w:val="000000"/>
          <w:spacing w:val="0"/>
          <w:w w:val="15"/>
          <w:kern w:val="0"/>
          <w:szCs w:val="21"/>
          <w:fitText w:val="42" w:id="377177267"/>
        </w:rPr>
        <w:t xml:space="preserve">　 </w:t>
      </w:r>
      <w:r>
        <w:rPr>
          <w:rFonts w:hint="eastAsia" w:cs="仿宋" w:asciiTheme="minorEastAsia" w:hAnsiTheme="minorEastAsia" w:eastAsiaTheme="minorEastAsia"/>
          <w:color w:val="000000"/>
          <w:spacing w:val="-17"/>
          <w:w w:val="15"/>
          <w:kern w:val="0"/>
          <w:szCs w:val="21"/>
          <w:fitText w:val="42" w:id="377177267"/>
        </w:rPr>
        <w:t>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，并应有防晃支架，在分支处或端部</w:t>
      </w:r>
      <w:r>
        <w:rPr>
          <w:rFonts w:hint="eastAsia" w:asciiTheme="minorEastAsia" w:hAnsiTheme="minorEastAsia" w:eastAsiaTheme="minorEastAsia"/>
          <w:color w:val="000000"/>
          <w:szCs w:val="21"/>
        </w:rPr>
        <w:t>0.3</w:t>
      </w:r>
      <w:r>
        <w:rPr>
          <w:rFonts w:hint="eastAsia" w:cs="仿宋" w:asciiTheme="minorEastAsia" w:hAnsiTheme="minorEastAsia" w:eastAsiaTheme="minorEastAsia"/>
          <w:color w:val="000000"/>
          <w:spacing w:val="0"/>
          <w:w w:val="15"/>
          <w:kern w:val="0"/>
          <w:szCs w:val="21"/>
          <w:fitText w:val="42" w:id="1443508323"/>
        </w:rPr>
        <w:t xml:space="preserve">　 </w:t>
      </w:r>
      <w:r>
        <w:rPr>
          <w:rFonts w:hint="eastAsia" w:cs="仿宋" w:asciiTheme="minorEastAsia" w:hAnsiTheme="minorEastAsia" w:eastAsiaTheme="minorEastAsia"/>
          <w:color w:val="000000"/>
          <w:spacing w:val="-17"/>
          <w:w w:val="15"/>
          <w:kern w:val="0"/>
          <w:szCs w:val="21"/>
          <w:fitText w:val="42" w:id="1443508323"/>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0.5</w:t>
      </w:r>
      <w:r>
        <w:rPr>
          <w:rFonts w:hint="eastAsia" w:cs="仿宋" w:asciiTheme="minorEastAsia" w:hAnsiTheme="minorEastAsia" w:eastAsiaTheme="minorEastAsia"/>
          <w:color w:val="000000"/>
          <w:spacing w:val="0"/>
          <w:w w:val="15"/>
          <w:kern w:val="0"/>
          <w:szCs w:val="21"/>
          <w:fitText w:val="42" w:id="1855355391"/>
        </w:rPr>
        <w:t xml:space="preserve">　 </w:t>
      </w:r>
      <w:r>
        <w:rPr>
          <w:rFonts w:hint="eastAsia" w:cs="仿宋" w:asciiTheme="minorEastAsia" w:hAnsiTheme="minorEastAsia" w:eastAsiaTheme="minorEastAsia"/>
          <w:color w:val="000000"/>
          <w:spacing w:val="-17"/>
          <w:w w:val="15"/>
          <w:kern w:val="0"/>
          <w:szCs w:val="21"/>
          <w:fitText w:val="42" w:id="1855355391"/>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处应有固定支架。</w:t>
      </w:r>
    </w:p>
    <w:p>
      <w:pPr>
        <w:pStyle w:val="41"/>
        <w:numPr>
          <w:ilvl w:val="1"/>
          <w:numId w:val="6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内径不小于</w:t>
      </w:r>
      <w:r>
        <w:rPr>
          <w:rFonts w:hint="eastAsia" w:asciiTheme="minorEastAsia" w:hAnsiTheme="minorEastAsia" w:eastAsiaTheme="minorEastAsia"/>
          <w:color w:val="000000"/>
          <w:szCs w:val="21"/>
        </w:rPr>
        <w:t>60 mm</w:t>
      </w:r>
      <w:r>
        <w:rPr>
          <w:rFonts w:hint="eastAsia" w:asciiTheme="minorEastAsia" w:hAnsiTheme="minorEastAsia" w:eastAsiaTheme="minorEastAsia"/>
          <w:szCs w:val="21"/>
        </w:rPr>
        <w:t>的电气配管及重力不小于</w:t>
      </w:r>
      <w:r>
        <w:rPr>
          <w:rFonts w:hint="eastAsia" w:asciiTheme="minorEastAsia" w:hAnsiTheme="minorEastAsia" w:eastAsiaTheme="minorEastAsia"/>
          <w:color w:val="000000"/>
          <w:szCs w:val="21"/>
        </w:rPr>
        <w:t>150 N/m</w:t>
      </w:r>
      <w:r>
        <w:rPr>
          <w:rFonts w:hint="eastAsia" w:asciiTheme="minorEastAsia" w:hAnsiTheme="minorEastAsia" w:eastAsiaTheme="minorEastAsia"/>
          <w:szCs w:val="21"/>
        </w:rPr>
        <w:t>的电缆梯架、电缆槽盒、母线槽均应进行抗震设防。</w:t>
      </w:r>
    </w:p>
    <w:p>
      <w:pPr>
        <w:pStyle w:val="41"/>
        <w:numPr>
          <w:ilvl w:val="1"/>
          <w:numId w:val="6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当采用硬母线敷设且直线段长度大于</w:t>
      </w:r>
      <w:r>
        <w:rPr>
          <w:rFonts w:hint="eastAsia" w:asciiTheme="minorEastAsia" w:hAnsiTheme="minorEastAsia" w:eastAsiaTheme="minorEastAsia"/>
          <w:color w:val="000000"/>
          <w:szCs w:val="21"/>
        </w:rPr>
        <w:t>80</w:t>
      </w:r>
      <w:r>
        <w:rPr>
          <w:rFonts w:hint="eastAsia" w:cs="仿宋" w:asciiTheme="minorEastAsia" w:hAnsiTheme="minorEastAsia" w:eastAsiaTheme="minorEastAsia"/>
          <w:color w:val="000000"/>
          <w:spacing w:val="0"/>
          <w:w w:val="15"/>
          <w:kern w:val="0"/>
          <w:szCs w:val="21"/>
          <w:fitText w:val="42" w:id="445077156"/>
        </w:rPr>
        <w:t xml:space="preserve">　 </w:t>
      </w:r>
      <w:r>
        <w:rPr>
          <w:rFonts w:hint="eastAsia" w:cs="仿宋" w:asciiTheme="minorEastAsia" w:hAnsiTheme="minorEastAsia" w:eastAsiaTheme="minorEastAsia"/>
          <w:color w:val="000000"/>
          <w:spacing w:val="-17"/>
          <w:w w:val="15"/>
          <w:kern w:val="0"/>
          <w:szCs w:val="21"/>
          <w:fitText w:val="42" w:id="445077156"/>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时，应每</w:t>
      </w:r>
      <w:r>
        <w:rPr>
          <w:rFonts w:hint="eastAsia" w:asciiTheme="minorEastAsia" w:hAnsiTheme="minorEastAsia" w:eastAsiaTheme="minorEastAsia"/>
          <w:color w:val="000000"/>
          <w:szCs w:val="21"/>
        </w:rPr>
        <w:t>50</w:t>
      </w:r>
      <w:r>
        <w:rPr>
          <w:rFonts w:hint="eastAsia" w:cs="仿宋" w:asciiTheme="minorEastAsia" w:hAnsiTheme="minorEastAsia" w:eastAsiaTheme="minorEastAsia"/>
          <w:color w:val="000000"/>
          <w:spacing w:val="0"/>
          <w:w w:val="15"/>
          <w:kern w:val="0"/>
          <w:szCs w:val="21"/>
          <w:fitText w:val="42" w:id="1910580089"/>
        </w:rPr>
        <w:t xml:space="preserve">　 </w:t>
      </w:r>
      <w:r>
        <w:rPr>
          <w:rFonts w:hint="eastAsia" w:cs="仿宋" w:asciiTheme="minorEastAsia" w:hAnsiTheme="minorEastAsia" w:eastAsiaTheme="minorEastAsia"/>
          <w:color w:val="000000"/>
          <w:spacing w:val="-17"/>
          <w:w w:val="15"/>
          <w:kern w:val="0"/>
          <w:szCs w:val="21"/>
          <w:fitText w:val="42" w:id="1910580089"/>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设置伸缩节；</w:t>
      </w:r>
    </w:p>
    <w:p>
      <w:pPr>
        <w:pStyle w:val="41"/>
        <w:numPr>
          <w:ilvl w:val="1"/>
          <w:numId w:val="6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电缆梯架、电缆槽盒、母线槽在抗震缝两侧应设置伸缩节；</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检查数量：第1款～第5款全数检查，其余按每个检验批的支架总数抽查10%，且各不得少于1处并应覆盖支架的安装形式</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检查方法：观察检查并用尺量和卡尺检查。</w:t>
      </w:r>
    </w:p>
    <w:p>
      <w:pPr>
        <w:pStyle w:val="41"/>
        <w:numPr>
          <w:ilvl w:val="0"/>
          <w:numId w:val="64"/>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支吊架设置应符合设计或产品技术文件要求，支吊架安装应牢固、无明显扭曲；与预埋件焊接固定时，焊缝应饱满；膨胀螺栓固定时，螺栓应选用适配、防松零件齐全、连接紧固。</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检查数量：按每个检验批的支架总数抽查10%，且各不得少于1处，并应覆盖支架的安装形式。</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pPr>
        <w:pStyle w:val="41"/>
        <w:numPr>
          <w:ilvl w:val="0"/>
          <w:numId w:val="64"/>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金属支架应进行防腐，位于室外及潮湿场所的应按设计要求做处理。</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检查数量：按每个检验批的金属支架总数抽查10%，且不得少于1处。</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pPr>
        <w:pStyle w:val="41"/>
        <w:numPr>
          <w:ilvl w:val="0"/>
          <w:numId w:val="64"/>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梯架、托盘和槽盒梯架、托盘和槽盒应紧贴建筑物表面，固定牢靠，横平竖直，布置合理，盖板无翘角，水平或垂直敷设直线部分的平直程度和垂直度允许偏差不应超过</w:t>
      </w:r>
      <w:r>
        <w:rPr>
          <w:rFonts w:hint="eastAsia" w:asciiTheme="minorEastAsia" w:hAnsiTheme="minorEastAsia" w:eastAsiaTheme="minorEastAsia"/>
          <w:color w:val="000000"/>
          <w:szCs w:val="21"/>
        </w:rPr>
        <w:t>5 mm</w:t>
      </w:r>
      <w:r>
        <w:rPr>
          <w:rFonts w:hint="eastAsia" w:asciiTheme="minorEastAsia" w:hAnsiTheme="minorEastAsia" w:eastAsiaTheme="minorEastAsia"/>
          <w:szCs w:val="21"/>
        </w:rPr>
        <w:t>，接口严密整齐，拐角、转角、丁字连接、转弯连接正确严实，槽盒内外无污染。</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检查数量：全部检查。</w:t>
      </w:r>
    </w:p>
    <w:p>
      <w:pPr>
        <w:pStyle w:val="41"/>
        <w:spacing w:line="360" w:lineRule="auto"/>
      </w:pPr>
      <w:r>
        <w:rPr>
          <w:rFonts w:hint="eastAsia" w:asciiTheme="minorEastAsia" w:hAnsiTheme="minorEastAsia" w:eastAsiaTheme="minorEastAsia"/>
          <w:szCs w:val="21"/>
        </w:rPr>
        <w:t>检查方法：观察及尺具检查。</w:t>
      </w:r>
    </w:p>
    <w:p>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103" w:name="_Toc137216235"/>
      <w:bookmarkStart w:id="104" w:name="_Toc136868041"/>
      <w:bookmarkStart w:id="105" w:name="_Toc136869076"/>
      <w:bookmarkStart w:id="106" w:name="_Toc124168144"/>
      <w:r>
        <w:rPr>
          <w:rFonts w:hint="eastAsia" w:asciiTheme="minorEastAsia" w:hAnsiTheme="minorEastAsia" w:eastAsiaTheme="minorEastAsia"/>
          <w:sz w:val="24"/>
          <w:szCs w:val="24"/>
        </w:rPr>
        <w:t>5</w:t>
      </w:r>
      <w:r>
        <w:rPr>
          <w:rFonts w:asciiTheme="minorEastAsia" w:hAnsiTheme="minorEastAsia" w:eastAsiaTheme="minorEastAsia"/>
          <w:sz w:val="24"/>
          <w:szCs w:val="24"/>
        </w:rPr>
        <w:t xml:space="preserve">.3 </w:t>
      </w:r>
      <w:r>
        <w:rPr>
          <w:rFonts w:hint="eastAsia" w:asciiTheme="minorEastAsia" w:hAnsiTheme="minorEastAsia" w:eastAsiaTheme="minorEastAsia"/>
          <w:sz w:val="24"/>
          <w:szCs w:val="24"/>
        </w:rPr>
        <w:t>导管敷设</w:t>
      </w:r>
      <w:bookmarkEnd w:id="103"/>
      <w:bookmarkEnd w:id="104"/>
      <w:bookmarkEnd w:id="105"/>
      <w:bookmarkEnd w:id="106"/>
    </w:p>
    <w:p>
      <w:pPr>
        <w:pStyle w:val="4"/>
        <w:spacing w:before="120" w:beforeLines="50" w:after="120" w:afterLines="50"/>
        <w:ind w:left="3570"/>
        <w:jc w:val="both"/>
        <w:rPr>
          <w:rFonts w:asciiTheme="minorEastAsia" w:hAnsiTheme="minorEastAsia" w:eastAsiaTheme="minorEastAsia"/>
          <w:sz w:val="21"/>
          <w:szCs w:val="21"/>
        </w:rPr>
      </w:pPr>
      <w:r>
        <w:t>I</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主控项目</w:t>
      </w:r>
    </w:p>
    <w:p>
      <w:pPr>
        <w:pStyle w:val="41"/>
        <w:numPr>
          <w:ilvl w:val="0"/>
          <w:numId w:val="6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金属导管应与保护导体可靠连接，并应符合下列规定：</w:t>
      </w:r>
    </w:p>
    <w:p>
      <w:pPr>
        <w:pStyle w:val="41"/>
        <w:numPr>
          <w:ilvl w:val="1"/>
          <w:numId w:val="6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镀锌钢导管、可弯曲金属导管和金属柔性导管不得熔焊连接；</w:t>
      </w:r>
    </w:p>
    <w:p>
      <w:pPr>
        <w:pStyle w:val="41"/>
        <w:numPr>
          <w:ilvl w:val="1"/>
          <w:numId w:val="6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当非镀锌钢导管采用螺纹连接时，连接处的两端应熔焊焊接保护联结导体；</w:t>
      </w:r>
    </w:p>
    <w:p>
      <w:pPr>
        <w:pStyle w:val="41"/>
        <w:numPr>
          <w:ilvl w:val="1"/>
          <w:numId w:val="6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镀锌钢导管、可弯曲金属导管和金属柔性导管连接处的两端宜采用专用接地卡固定保护联结导体。</w:t>
      </w:r>
    </w:p>
    <w:p>
      <w:pPr>
        <w:pStyle w:val="41"/>
        <w:numPr>
          <w:ilvl w:val="1"/>
          <w:numId w:val="6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机械连接的金属导管，管与管、管与盒（箱）体的连接配件应选用配套部件，其连接应符合产品技术文件要求，当连接处的接触电阻值符合现行国家标准</w:t>
      </w:r>
      <w:r>
        <w:rPr>
          <w:rFonts w:hint="eastAsia" w:asciiTheme="minorEastAsia" w:hAnsiTheme="minorEastAsia" w:eastAsiaTheme="minorEastAsia"/>
          <w:color w:val="000000"/>
          <w:szCs w:val="21"/>
        </w:rPr>
        <w:t>《电缆管理用导管系统 第1部分：通用要求》GB/T</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20041.1-2015</w:t>
      </w:r>
      <w:r>
        <w:rPr>
          <w:rFonts w:hint="eastAsia" w:asciiTheme="minorEastAsia" w:hAnsiTheme="minorEastAsia" w:eastAsiaTheme="minorEastAsia"/>
          <w:szCs w:val="21"/>
        </w:rPr>
        <w:t>的相关要求时，连接处可不设置保护</w:t>
      </w:r>
      <w:r>
        <w:rPr>
          <w:rFonts w:hint="eastAsia" w:asciiTheme="minorEastAsia" w:hAnsiTheme="minorEastAsia" w:eastAsiaTheme="minorEastAsia"/>
          <w:color w:val="000000"/>
          <w:szCs w:val="21"/>
        </w:rPr>
        <w:t>联结</w:t>
      </w:r>
      <w:r>
        <w:rPr>
          <w:rFonts w:hint="eastAsia" w:asciiTheme="minorEastAsia" w:hAnsiTheme="minorEastAsia" w:eastAsiaTheme="minorEastAsia"/>
          <w:szCs w:val="21"/>
        </w:rPr>
        <w:t>导体，但导管不应作为保护导体的接续导体；</w:t>
      </w:r>
    </w:p>
    <w:p>
      <w:pPr>
        <w:pStyle w:val="41"/>
        <w:numPr>
          <w:ilvl w:val="1"/>
          <w:numId w:val="6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金属导管与金属梯架、托盘、槽盒连接时，镀锌材质的连接端宜用专用接地卡固定保护联结导体，非镀锌材质的连接处应熔焊焊接保护联结导体；</w:t>
      </w:r>
    </w:p>
    <w:p>
      <w:pPr>
        <w:pStyle w:val="41"/>
        <w:numPr>
          <w:ilvl w:val="1"/>
          <w:numId w:val="6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以专用接地卡固定的保护联结导体应为铜芯软导线，截面积不应小于</w:t>
      </w:r>
      <w:r>
        <w:rPr>
          <w:rFonts w:hint="eastAsia" w:asciiTheme="minorEastAsia" w:hAnsiTheme="minorEastAsia" w:eastAsiaTheme="minorEastAsia"/>
          <w:color w:val="000000"/>
          <w:szCs w:val="21"/>
        </w:rPr>
        <w:t>4</w:t>
      </w:r>
      <w:r>
        <w:rPr>
          <w:rFonts w:hint="eastAsia" w:cs="仿宋" w:asciiTheme="minorEastAsia" w:hAnsiTheme="minorEastAsia" w:eastAsiaTheme="minorEastAsia"/>
          <w:color w:val="000000"/>
          <w:spacing w:val="0"/>
          <w:w w:val="15"/>
          <w:kern w:val="0"/>
          <w:szCs w:val="21"/>
          <w:fitText w:val="42" w:id="543586312"/>
        </w:rPr>
        <w:t xml:space="preserve">　 </w:t>
      </w:r>
      <w:r>
        <w:rPr>
          <w:rFonts w:hint="eastAsia" w:cs="仿宋" w:asciiTheme="minorEastAsia" w:hAnsiTheme="minorEastAsia" w:eastAsiaTheme="minorEastAsia"/>
          <w:color w:val="000000"/>
          <w:spacing w:val="-17"/>
          <w:w w:val="15"/>
          <w:kern w:val="0"/>
          <w:szCs w:val="21"/>
          <w:fitText w:val="42" w:id="543586312"/>
        </w:rPr>
        <w:t>　</w:t>
      </w:r>
      <w:r>
        <w:rPr>
          <w:rFonts w:hint="eastAsia" w:asciiTheme="minorEastAsia" w:hAnsiTheme="minorEastAsia" w:eastAsiaTheme="minorEastAsia"/>
          <w:color w:val="000000"/>
          <w:szCs w:val="21"/>
        </w:rPr>
        <w:t>mm</w:t>
      </w:r>
      <w:r>
        <w:rPr>
          <w:rFonts w:cs="Calibri" w:asciiTheme="minorEastAsia" w:hAnsiTheme="minorEastAsia" w:eastAsiaTheme="minorEastAsia"/>
          <w:color w:val="000000"/>
          <w:szCs w:val="21"/>
        </w:rPr>
        <w:t>²</w:t>
      </w:r>
      <w:r>
        <w:rPr>
          <w:rFonts w:hint="eastAsia" w:cs="仿宋_GB2312" w:asciiTheme="minorEastAsia" w:hAnsiTheme="minorEastAsia" w:eastAsiaTheme="minorEastAsia"/>
          <w:szCs w:val="21"/>
        </w:rPr>
        <w:t>；以熔焊焊接</w:t>
      </w:r>
      <w:r>
        <w:rPr>
          <w:rFonts w:hint="eastAsia" w:asciiTheme="minorEastAsia" w:hAnsiTheme="minorEastAsia" w:eastAsiaTheme="minorEastAsia"/>
          <w:szCs w:val="21"/>
        </w:rPr>
        <w:t>的保护联结导体宜为圆钢，直径不应小于</w:t>
      </w:r>
      <w:r>
        <w:rPr>
          <w:rFonts w:hint="eastAsia" w:asciiTheme="minorEastAsia" w:hAnsiTheme="minorEastAsia" w:eastAsiaTheme="minorEastAsia"/>
          <w:color w:val="000000"/>
          <w:szCs w:val="21"/>
        </w:rPr>
        <w:t>6</w:t>
      </w:r>
      <w:r>
        <w:rPr>
          <w:rFonts w:hint="eastAsia" w:cs="仿宋" w:asciiTheme="minorEastAsia" w:hAnsiTheme="minorEastAsia" w:eastAsiaTheme="minorEastAsia"/>
          <w:color w:val="000000"/>
          <w:spacing w:val="0"/>
          <w:w w:val="15"/>
          <w:kern w:val="0"/>
          <w:szCs w:val="21"/>
          <w:fitText w:val="42" w:id="454240108"/>
        </w:rPr>
        <w:t xml:space="preserve">　 </w:t>
      </w:r>
      <w:r>
        <w:rPr>
          <w:rFonts w:hint="eastAsia" w:cs="仿宋" w:asciiTheme="minorEastAsia" w:hAnsiTheme="minorEastAsia" w:eastAsiaTheme="minorEastAsia"/>
          <w:color w:val="000000"/>
          <w:spacing w:val="-17"/>
          <w:w w:val="15"/>
          <w:kern w:val="0"/>
          <w:szCs w:val="21"/>
          <w:fitText w:val="42" w:id="454240108"/>
        </w:rPr>
        <w:t>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，其搭接长度应为圆钢直径的6倍。</w:t>
      </w:r>
    </w:p>
    <w:p>
      <w:pPr>
        <w:pStyle w:val="41"/>
        <w:numPr>
          <w:ilvl w:val="1"/>
          <w:numId w:val="6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接地卡采用热镀锌工艺，箱、柜、盒、管与管连接处应设置跨接地线，其跨接地线采用专用接地卡压接截面积不小于</w:t>
      </w:r>
      <w:r>
        <w:rPr>
          <w:rFonts w:hint="eastAsia" w:asciiTheme="minorEastAsia" w:hAnsiTheme="minorEastAsia" w:eastAsiaTheme="minorEastAsia"/>
          <w:color w:val="000000"/>
          <w:szCs w:val="21"/>
        </w:rPr>
        <w:t>4</w:t>
      </w:r>
      <w:r>
        <w:rPr>
          <w:rFonts w:hint="eastAsia" w:cs="仿宋" w:asciiTheme="minorEastAsia" w:hAnsiTheme="minorEastAsia" w:eastAsiaTheme="minorEastAsia"/>
          <w:color w:val="000000"/>
          <w:spacing w:val="0"/>
          <w:w w:val="15"/>
          <w:kern w:val="0"/>
          <w:szCs w:val="21"/>
          <w:fitText w:val="42" w:id="1016021493"/>
        </w:rPr>
        <w:t xml:space="preserve">　 </w:t>
      </w:r>
      <w:r>
        <w:rPr>
          <w:rFonts w:hint="eastAsia" w:cs="仿宋" w:asciiTheme="minorEastAsia" w:hAnsiTheme="minorEastAsia" w:eastAsiaTheme="minorEastAsia"/>
          <w:color w:val="000000"/>
          <w:spacing w:val="-17"/>
          <w:w w:val="15"/>
          <w:kern w:val="0"/>
          <w:szCs w:val="21"/>
          <w:fitText w:val="42" w:id="1016021493"/>
        </w:rPr>
        <w:t>　</w:t>
      </w:r>
      <w:r>
        <w:rPr>
          <w:rFonts w:hint="eastAsia" w:asciiTheme="minorEastAsia" w:hAnsiTheme="minorEastAsia" w:eastAsiaTheme="minorEastAsia"/>
          <w:color w:val="000000"/>
          <w:szCs w:val="21"/>
        </w:rPr>
        <w:t>mm²</w:t>
      </w:r>
      <w:r>
        <w:rPr>
          <w:rFonts w:hint="eastAsia" w:asciiTheme="minorEastAsia" w:hAnsiTheme="minorEastAsia" w:eastAsiaTheme="minorEastAsia"/>
          <w:szCs w:val="21"/>
        </w:rPr>
        <w:t>的双色软制导线，导线两端应搪锡并折回头处理。</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检查数量：按每个检验批的导管连接头总数抽查10%，且各不得少于1处，并应能覆盖不同的检查内容。</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检查方法：施工时观察检查并查阅隐蔽工程检查记录。</w:t>
      </w:r>
    </w:p>
    <w:p>
      <w:pPr>
        <w:pStyle w:val="41"/>
        <w:numPr>
          <w:ilvl w:val="0"/>
          <w:numId w:val="6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钢导管不得采用对口熔焊连接；镀锌钢导管或壁厚小于或等于</w:t>
      </w:r>
      <w:r>
        <w:rPr>
          <w:rFonts w:hint="eastAsia" w:asciiTheme="minorEastAsia" w:hAnsiTheme="minorEastAsia" w:eastAsiaTheme="minorEastAsia"/>
          <w:color w:val="000000"/>
          <w:szCs w:val="21"/>
        </w:rPr>
        <w:t>2</w:t>
      </w:r>
      <w:r>
        <w:rPr>
          <w:rFonts w:hint="eastAsia" w:cs="仿宋" w:asciiTheme="minorEastAsia" w:hAnsiTheme="minorEastAsia" w:eastAsiaTheme="minorEastAsia"/>
          <w:color w:val="000000"/>
          <w:spacing w:val="0"/>
          <w:w w:val="15"/>
          <w:kern w:val="0"/>
          <w:szCs w:val="21"/>
          <w:fitText w:val="42" w:id="1738151696"/>
        </w:rPr>
        <w:t xml:space="preserve">　 </w:t>
      </w:r>
      <w:r>
        <w:rPr>
          <w:rFonts w:hint="eastAsia" w:cs="仿宋" w:asciiTheme="minorEastAsia" w:hAnsiTheme="minorEastAsia" w:eastAsiaTheme="minorEastAsia"/>
          <w:color w:val="000000"/>
          <w:spacing w:val="-17"/>
          <w:w w:val="15"/>
          <w:kern w:val="0"/>
          <w:szCs w:val="21"/>
          <w:fitText w:val="42" w:id="1738151696"/>
        </w:rPr>
        <w:t>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的钢导管，不得采用套管熔焊连接。</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检查数量：按每个检验批的钢导管连接头总数抽查20%，并应能覆盖不同的连接方式，且各不得少于1处。</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检查方法：施工时观察检查。</w:t>
      </w:r>
    </w:p>
    <w:p>
      <w:pPr>
        <w:pStyle w:val="41"/>
        <w:numPr>
          <w:ilvl w:val="0"/>
          <w:numId w:val="6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当导管在砌体上剔槽埋设时，应采用强度等级不小于M10的水泥砂浆抹面保护，保护层厚度不应小于</w:t>
      </w:r>
      <w:r>
        <w:rPr>
          <w:rFonts w:hint="eastAsia" w:asciiTheme="minorEastAsia" w:hAnsiTheme="minorEastAsia" w:eastAsiaTheme="minorEastAsia"/>
          <w:color w:val="000000"/>
          <w:szCs w:val="21"/>
        </w:rPr>
        <w:t>15</w:t>
      </w:r>
      <w:r>
        <w:rPr>
          <w:rFonts w:hint="eastAsia" w:cs="仿宋" w:asciiTheme="minorEastAsia" w:hAnsiTheme="minorEastAsia" w:eastAsiaTheme="minorEastAsia"/>
          <w:color w:val="000000"/>
          <w:spacing w:val="0"/>
          <w:w w:val="15"/>
          <w:kern w:val="0"/>
          <w:szCs w:val="21"/>
          <w:fitText w:val="42" w:id="1521502472"/>
        </w:rPr>
        <w:t xml:space="preserve">　 </w:t>
      </w:r>
      <w:r>
        <w:rPr>
          <w:rFonts w:hint="eastAsia" w:cs="仿宋" w:asciiTheme="minorEastAsia" w:hAnsiTheme="minorEastAsia" w:eastAsiaTheme="minorEastAsia"/>
          <w:color w:val="000000"/>
          <w:spacing w:val="-17"/>
          <w:w w:val="15"/>
          <w:kern w:val="0"/>
          <w:szCs w:val="21"/>
          <w:fitText w:val="42" w:id="1521502472"/>
        </w:rPr>
        <w:t>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，未经设计同意，不得打凿墙体和在墙体上横向剔槽。</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检查数量：按每个检验批的配管回路数量抽查20%，且不得少于1个回路。</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检查方法：观察检查并用尺量检查，查阅隐蔽工程检查记录。</w:t>
      </w:r>
    </w:p>
    <w:p>
      <w:pPr>
        <w:pStyle w:val="41"/>
        <w:numPr>
          <w:ilvl w:val="0"/>
          <w:numId w:val="6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导管穿越密闭或防护密闭隔墙时，应设置预埋套管，预埋套管的制作和安装应符合设计要求，套管两端伸出墙面的长度宜为</w:t>
      </w:r>
      <w:r>
        <w:rPr>
          <w:rFonts w:hint="eastAsia" w:asciiTheme="minorEastAsia" w:hAnsiTheme="minorEastAsia" w:eastAsiaTheme="minorEastAsia"/>
          <w:color w:val="000000"/>
          <w:szCs w:val="21"/>
        </w:rPr>
        <w:t>30</w:t>
      </w:r>
      <w:r>
        <w:rPr>
          <w:rFonts w:hint="eastAsia" w:cs="仿宋" w:asciiTheme="minorEastAsia" w:hAnsiTheme="minorEastAsia" w:eastAsiaTheme="minorEastAsia"/>
          <w:color w:val="000000"/>
          <w:spacing w:val="0"/>
          <w:w w:val="15"/>
          <w:kern w:val="0"/>
          <w:szCs w:val="21"/>
          <w:fitText w:val="42" w:id="872429375"/>
        </w:rPr>
        <w:t xml:space="preserve">　 </w:t>
      </w:r>
      <w:r>
        <w:rPr>
          <w:rFonts w:hint="eastAsia" w:cs="仿宋" w:asciiTheme="minorEastAsia" w:hAnsiTheme="minorEastAsia" w:eastAsiaTheme="minorEastAsia"/>
          <w:color w:val="000000"/>
          <w:spacing w:val="-17"/>
          <w:w w:val="15"/>
          <w:kern w:val="0"/>
          <w:szCs w:val="21"/>
          <w:fitText w:val="42" w:id="872429375"/>
        </w:rPr>
        <w:t>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50</w:t>
      </w:r>
      <w:r>
        <w:rPr>
          <w:rFonts w:hint="eastAsia" w:cs="仿宋" w:asciiTheme="minorEastAsia" w:hAnsiTheme="minorEastAsia" w:eastAsiaTheme="minorEastAsia"/>
          <w:color w:val="000000"/>
          <w:spacing w:val="0"/>
          <w:w w:val="15"/>
          <w:kern w:val="0"/>
          <w:szCs w:val="21"/>
          <w:fitText w:val="42" w:id="2090225494"/>
        </w:rPr>
        <w:t xml:space="preserve">　 </w:t>
      </w:r>
      <w:r>
        <w:rPr>
          <w:rFonts w:hint="eastAsia" w:cs="仿宋" w:asciiTheme="minorEastAsia" w:hAnsiTheme="minorEastAsia" w:eastAsiaTheme="minorEastAsia"/>
          <w:color w:val="000000"/>
          <w:spacing w:val="-17"/>
          <w:w w:val="15"/>
          <w:kern w:val="0"/>
          <w:szCs w:val="21"/>
          <w:fitText w:val="42" w:id="2090225494"/>
        </w:rPr>
        <w:t>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，导管穿越密闭穿墙套管的两侧应设置过线盒，并应做好封堵。</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检查数量：按套管数量抽查20%，且不得少于1个。</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检查方法：观察检查，查阅隐蔽工程检查记录。</w:t>
      </w:r>
    </w:p>
    <w:p>
      <w:pPr>
        <w:pStyle w:val="4"/>
        <w:spacing w:before="120" w:beforeLines="50" w:after="120" w:afterLines="50"/>
        <w:ind w:left="3570"/>
        <w:jc w:val="both"/>
        <w:rPr>
          <w:rFonts w:asciiTheme="minorEastAsia" w:hAnsiTheme="minorEastAsia" w:eastAsiaTheme="minorEastAsia"/>
          <w:sz w:val="21"/>
          <w:szCs w:val="21"/>
        </w:rPr>
      </w:pPr>
      <w:r>
        <w:t>Ⅱ</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一般项目</w:t>
      </w:r>
    </w:p>
    <w:p>
      <w:pPr>
        <w:pStyle w:val="41"/>
        <w:numPr>
          <w:ilvl w:val="0"/>
          <w:numId w:val="6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导管的弯曲半径应符合下列规定：</w:t>
      </w:r>
    </w:p>
    <w:p>
      <w:pPr>
        <w:pStyle w:val="41"/>
        <w:numPr>
          <w:ilvl w:val="1"/>
          <w:numId w:val="6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明配导管的弯曲半径不宜小于管外径的6倍，当两个接线盒间只有一个弯曲时，其弯曲半径不宜小于管外径的4倍；</w:t>
      </w:r>
    </w:p>
    <w:p>
      <w:pPr>
        <w:pStyle w:val="41"/>
        <w:numPr>
          <w:ilvl w:val="1"/>
          <w:numId w:val="6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埋设于混凝土内的导管的弯曲半径不宜小于管外径的6倍，当直埋于地下时，其弯曲半径不宜小于管外径的10倍；</w:t>
      </w:r>
    </w:p>
    <w:p>
      <w:pPr>
        <w:pStyle w:val="41"/>
        <w:numPr>
          <w:ilvl w:val="1"/>
          <w:numId w:val="6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电缆导管的弯曲半径不应小于电缆最小允许弯曲半径，电缆最小允许弯曲半径应符合表</w:t>
      </w:r>
      <w:r>
        <w:rPr>
          <w:rFonts w:asciiTheme="minorEastAsia" w:hAnsiTheme="minorEastAsia" w:eastAsiaTheme="minorEastAsia"/>
          <w:szCs w:val="21"/>
        </w:rPr>
        <w:t>5.2.2</w:t>
      </w:r>
      <w:r>
        <w:rPr>
          <w:rFonts w:hint="eastAsia" w:asciiTheme="minorEastAsia" w:hAnsiTheme="minorEastAsia" w:eastAsiaTheme="minorEastAsia"/>
          <w:szCs w:val="21"/>
        </w:rPr>
        <w:t>的规定。</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检查数量：按每个检验批的导管弯头总数抽查10%，且各不得少于1个弯头，并应覆盖不同规格和不同敷设方式的导管。</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检查方法：观察检查并用尺量检查，查阅隐蔽工程检查记录。</w:t>
      </w:r>
    </w:p>
    <w:p>
      <w:pPr>
        <w:pStyle w:val="41"/>
        <w:numPr>
          <w:ilvl w:val="0"/>
          <w:numId w:val="6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导管支吊架安装应符合下列规定：</w:t>
      </w:r>
    </w:p>
    <w:p>
      <w:pPr>
        <w:pStyle w:val="41"/>
        <w:numPr>
          <w:ilvl w:val="1"/>
          <w:numId w:val="7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除设计要求外，承力建筑钢结构构件上不得熔焊导管支架，且不得热加工开孔；</w:t>
      </w:r>
    </w:p>
    <w:p>
      <w:pPr>
        <w:pStyle w:val="41"/>
        <w:numPr>
          <w:ilvl w:val="1"/>
          <w:numId w:val="7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当导管采用金属吊架固定时，圆钢直径不得小于</w:t>
      </w:r>
      <w:r>
        <w:rPr>
          <w:rFonts w:hint="eastAsia" w:asciiTheme="minorEastAsia" w:hAnsiTheme="minorEastAsia" w:eastAsiaTheme="minorEastAsia"/>
          <w:color w:val="000000"/>
          <w:szCs w:val="21"/>
        </w:rPr>
        <w:t>8</w:t>
      </w:r>
      <w:r>
        <w:rPr>
          <w:rFonts w:hint="eastAsia" w:cs="仿宋" w:asciiTheme="minorEastAsia" w:hAnsiTheme="minorEastAsia" w:eastAsiaTheme="minorEastAsia"/>
          <w:color w:val="000000"/>
          <w:spacing w:val="0"/>
          <w:w w:val="15"/>
          <w:kern w:val="0"/>
          <w:szCs w:val="21"/>
          <w:fitText w:val="42" w:id="1611148728"/>
        </w:rPr>
        <w:t xml:space="preserve">　 </w:t>
      </w:r>
      <w:r>
        <w:rPr>
          <w:rFonts w:hint="eastAsia" w:cs="仿宋" w:asciiTheme="minorEastAsia" w:hAnsiTheme="minorEastAsia" w:eastAsiaTheme="minorEastAsia"/>
          <w:color w:val="000000"/>
          <w:spacing w:val="-17"/>
          <w:w w:val="15"/>
          <w:kern w:val="0"/>
          <w:szCs w:val="21"/>
          <w:fitText w:val="42" w:id="1611148728"/>
        </w:rPr>
        <w:t>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，并应设置防晃支架，管路末端接线盒，单独进行固定，在距离盒（箱）、分支处或端部</w:t>
      </w:r>
      <w:r>
        <w:rPr>
          <w:rFonts w:hint="eastAsia" w:asciiTheme="minorEastAsia" w:hAnsiTheme="minorEastAsia" w:eastAsiaTheme="minorEastAsia"/>
          <w:color w:val="000000"/>
          <w:szCs w:val="21"/>
        </w:rPr>
        <w:t>0.3</w:t>
      </w:r>
      <w:r>
        <w:rPr>
          <w:rFonts w:hint="eastAsia" w:cs="仿宋" w:asciiTheme="minorEastAsia" w:hAnsiTheme="minorEastAsia" w:eastAsiaTheme="minorEastAsia"/>
          <w:color w:val="000000"/>
          <w:spacing w:val="0"/>
          <w:w w:val="15"/>
          <w:kern w:val="0"/>
          <w:szCs w:val="21"/>
          <w:fitText w:val="42" w:id="199982901"/>
        </w:rPr>
        <w:t xml:space="preserve">　 </w:t>
      </w:r>
      <w:r>
        <w:rPr>
          <w:rFonts w:hint="eastAsia" w:cs="仿宋" w:asciiTheme="minorEastAsia" w:hAnsiTheme="minorEastAsia" w:eastAsiaTheme="minorEastAsia"/>
          <w:color w:val="000000"/>
          <w:spacing w:val="-17"/>
          <w:w w:val="15"/>
          <w:kern w:val="0"/>
          <w:szCs w:val="21"/>
          <w:fitText w:val="42" w:id="199982901"/>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0.5</w:t>
      </w:r>
      <w:r>
        <w:rPr>
          <w:rFonts w:hint="eastAsia" w:cs="仿宋" w:asciiTheme="minorEastAsia" w:hAnsiTheme="minorEastAsia" w:eastAsiaTheme="minorEastAsia"/>
          <w:color w:val="000000"/>
          <w:spacing w:val="0"/>
          <w:w w:val="15"/>
          <w:kern w:val="0"/>
          <w:szCs w:val="21"/>
          <w:fitText w:val="42" w:id="1406536790"/>
        </w:rPr>
        <w:t xml:space="preserve">　 </w:t>
      </w:r>
      <w:r>
        <w:rPr>
          <w:rFonts w:hint="eastAsia" w:cs="仿宋" w:asciiTheme="minorEastAsia" w:hAnsiTheme="minorEastAsia" w:eastAsiaTheme="minorEastAsia"/>
          <w:color w:val="000000"/>
          <w:spacing w:val="-17"/>
          <w:w w:val="15"/>
          <w:kern w:val="0"/>
          <w:szCs w:val="21"/>
          <w:fitText w:val="42" w:id="1406536790"/>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处应设置固定支架；</w:t>
      </w:r>
    </w:p>
    <w:p>
      <w:pPr>
        <w:pStyle w:val="41"/>
        <w:numPr>
          <w:ilvl w:val="1"/>
          <w:numId w:val="7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金属支架应进行防腐，位于室外及潮湿场所的应按设计要求做处理；</w:t>
      </w:r>
    </w:p>
    <w:p>
      <w:pPr>
        <w:pStyle w:val="41"/>
        <w:numPr>
          <w:ilvl w:val="1"/>
          <w:numId w:val="7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导管支架应安装牢固、无明显扭曲。</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检查数量：第1款全数检查，第2款～第4款按每个检验批的支吊架总数抽查10%，且各不得少于1处。</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检查方法：观察检查并用尺量检查。</w:t>
      </w:r>
    </w:p>
    <w:p>
      <w:pPr>
        <w:pStyle w:val="41"/>
        <w:numPr>
          <w:ilvl w:val="0"/>
          <w:numId w:val="6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除设计要求外，对于</w:t>
      </w:r>
      <w:r>
        <w:rPr>
          <w:rFonts w:hint="eastAsia" w:asciiTheme="minorEastAsia" w:hAnsiTheme="minorEastAsia" w:eastAsiaTheme="minorEastAsia"/>
          <w:color w:val="000000"/>
          <w:szCs w:val="21"/>
        </w:rPr>
        <w:t>暗</w:t>
      </w:r>
      <w:r>
        <w:rPr>
          <w:rFonts w:hint="eastAsia" w:asciiTheme="minorEastAsia" w:hAnsiTheme="minorEastAsia" w:eastAsiaTheme="minorEastAsia"/>
          <w:szCs w:val="21"/>
        </w:rPr>
        <w:t>配的导管，导管表面埋设深度与建筑物、构筑物表面的距离不应小于</w:t>
      </w:r>
      <w:r>
        <w:rPr>
          <w:rFonts w:hint="eastAsia" w:asciiTheme="minorEastAsia" w:hAnsiTheme="minorEastAsia" w:eastAsiaTheme="minorEastAsia"/>
          <w:color w:val="000000"/>
          <w:szCs w:val="21"/>
        </w:rPr>
        <w:t>15</w:t>
      </w:r>
      <w:r>
        <w:rPr>
          <w:rFonts w:hint="eastAsia" w:cs="仿宋" w:asciiTheme="minorEastAsia" w:hAnsiTheme="minorEastAsia" w:eastAsiaTheme="minorEastAsia"/>
          <w:color w:val="000000"/>
          <w:spacing w:val="0"/>
          <w:w w:val="15"/>
          <w:kern w:val="0"/>
          <w:szCs w:val="21"/>
          <w:fitText w:val="42" w:id="810223507"/>
        </w:rPr>
        <w:t xml:space="preserve">　 </w:t>
      </w:r>
      <w:r>
        <w:rPr>
          <w:rFonts w:hint="eastAsia" w:cs="仿宋" w:asciiTheme="minorEastAsia" w:hAnsiTheme="minorEastAsia" w:eastAsiaTheme="minorEastAsia"/>
          <w:color w:val="000000"/>
          <w:spacing w:val="-17"/>
          <w:w w:val="15"/>
          <w:kern w:val="0"/>
          <w:szCs w:val="21"/>
          <w:fitText w:val="42" w:id="810223507"/>
        </w:rPr>
        <w:t>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检查数量：按每个检验批的配管回路数量抽查10%，且不得少于1个回路。</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检查方法：观察检查并用尺量检查。</w:t>
      </w:r>
    </w:p>
    <w:p>
      <w:pPr>
        <w:pStyle w:val="41"/>
        <w:numPr>
          <w:ilvl w:val="0"/>
          <w:numId w:val="6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进入配电（控制）柜、台、箱内的导管管口，当箱底无封板时，管口应高出柜、台、箱、盘的基础面</w:t>
      </w:r>
      <w:r>
        <w:rPr>
          <w:rFonts w:hint="eastAsia" w:asciiTheme="minorEastAsia" w:hAnsiTheme="minorEastAsia" w:eastAsiaTheme="minorEastAsia"/>
          <w:color w:val="000000"/>
          <w:szCs w:val="21"/>
        </w:rPr>
        <w:t>50</w:t>
      </w:r>
      <w:r>
        <w:rPr>
          <w:rFonts w:hint="eastAsia" w:cs="仿宋" w:asciiTheme="minorEastAsia" w:hAnsiTheme="minorEastAsia" w:eastAsiaTheme="minorEastAsia"/>
          <w:color w:val="000000"/>
          <w:spacing w:val="0"/>
          <w:w w:val="15"/>
          <w:kern w:val="0"/>
          <w:szCs w:val="21"/>
          <w:fitText w:val="42" w:id="465575840"/>
        </w:rPr>
        <w:t xml:space="preserve">　 </w:t>
      </w:r>
      <w:r>
        <w:rPr>
          <w:rFonts w:hint="eastAsia" w:cs="仿宋" w:asciiTheme="minorEastAsia" w:hAnsiTheme="minorEastAsia" w:eastAsiaTheme="minorEastAsia"/>
          <w:color w:val="000000"/>
          <w:spacing w:val="-17"/>
          <w:w w:val="15"/>
          <w:kern w:val="0"/>
          <w:szCs w:val="21"/>
          <w:fitText w:val="42" w:id="465575840"/>
        </w:rPr>
        <w:t>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80</w:t>
      </w:r>
      <w:r>
        <w:rPr>
          <w:rFonts w:hint="eastAsia" w:cs="仿宋" w:asciiTheme="minorEastAsia" w:hAnsiTheme="minorEastAsia" w:eastAsiaTheme="minorEastAsia"/>
          <w:color w:val="000000"/>
          <w:spacing w:val="0"/>
          <w:w w:val="15"/>
          <w:kern w:val="0"/>
          <w:szCs w:val="21"/>
          <w:fitText w:val="42" w:id="704073961"/>
        </w:rPr>
        <w:t xml:space="preserve">　 </w:t>
      </w:r>
      <w:r>
        <w:rPr>
          <w:rFonts w:hint="eastAsia" w:cs="仿宋" w:asciiTheme="minorEastAsia" w:hAnsiTheme="minorEastAsia" w:eastAsiaTheme="minorEastAsia"/>
          <w:color w:val="000000"/>
          <w:spacing w:val="-17"/>
          <w:w w:val="15"/>
          <w:kern w:val="0"/>
          <w:szCs w:val="21"/>
          <w:fitText w:val="42" w:id="704073961"/>
        </w:rPr>
        <w:t>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，柜、台、箱的进出口应做封堵，且应封堵严密。</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检查数量：按每个检验批的落地式柜、台、箱、盘总数抽查10%，且不得少于1台。</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检查方法：观察检查并用尺量检查，查阅隐蔽工程检查记录。</w:t>
      </w:r>
    </w:p>
    <w:p>
      <w:pPr>
        <w:pStyle w:val="41"/>
        <w:numPr>
          <w:ilvl w:val="0"/>
          <w:numId w:val="6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室外导管敷设应符合下列规定：</w:t>
      </w:r>
    </w:p>
    <w:p>
      <w:pPr>
        <w:pStyle w:val="41"/>
        <w:numPr>
          <w:ilvl w:val="1"/>
          <w:numId w:val="7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对于埋地敷设的钢导管，埋设深度应符合设计要求，钢导管的壁厚应大于</w:t>
      </w:r>
      <w:r>
        <w:rPr>
          <w:rFonts w:hint="eastAsia" w:asciiTheme="minorEastAsia" w:hAnsiTheme="minorEastAsia" w:eastAsiaTheme="minorEastAsia"/>
          <w:color w:val="000000"/>
          <w:szCs w:val="21"/>
        </w:rPr>
        <w:t>2</w:t>
      </w:r>
      <w:r>
        <w:rPr>
          <w:rFonts w:hint="eastAsia" w:cs="仿宋" w:asciiTheme="minorEastAsia" w:hAnsiTheme="minorEastAsia" w:eastAsiaTheme="minorEastAsia"/>
          <w:color w:val="000000"/>
          <w:spacing w:val="0"/>
          <w:w w:val="15"/>
          <w:kern w:val="0"/>
          <w:szCs w:val="21"/>
          <w:fitText w:val="42" w:id="1019749723"/>
        </w:rPr>
        <w:t xml:space="preserve">　 </w:t>
      </w:r>
      <w:r>
        <w:rPr>
          <w:rFonts w:hint="eastAsia" w:cs="仿宋" w:asciiTheme="minorEastAsia" w:hAnsiTheme="minorEastAsia" w:eastAsiaTheme="minorEastAsia"/>
          <w:color w:val="000000"/>
          <w:spacing w:val="-17"/>
          <w:w w:val="15"/>
          <w:kern w:val="0"/>
          <w:szCs w:val="21"/>
          <w:fitText w:val="42" w:id="1019749723"/>
        </w:rPr>
        <w:t>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w:t>
      </w:r>
    </w:p>
    <w:p>
      <w:pPr>
        <w:pStyle w:val="41"/>
        <w:numPr>
          <w:ilvl w:val="1"/>
          <w:numId w:val="7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导管的管口不应敞口垂直向上，导管管口应在盒、箱内或导管端部设置防水弯，并应经防水的可弯曲或柔性导管弯成滴水弧状后引入设备接线盒；</w:t>
      </w:r>
    </w:p>
    <w:p>
      <w:pPr>
        <w:pStyle w:val="41"/>
        <w:numPr>
          <w:ilvl w:val="1"/>
          <w:numId w:val="7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由箱式变电所或落地式配电箱引向建筑物的导管，建筑物一侧的导管管口应设在建筑物内；</w:t>
      </w:r>
    </w:p>
    <w:p>
      <w:pPr>
        <w:pStyle w:val="41"/>
        <w:numPr>
          <w:ilvl w:val="1"/>
          <w:numId w:val="7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导管的管口在穿入绝缘导线、电缆后应做密封处理。</w:t>
      </w:r>
    </w:p>
    <w:p>
      <w:pPr>
        <w:pStyle w:val="41"/>
        <w:numPr>
          <w:ilvl w:val="1"/>
          <w:numId w:val="7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导管配管前，除埋入混凝土中的非镀锌钢导管的外壁外，应确认其他场所的非镀锌钢导管内、外壁均已做防腐处理；</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检查数量：按每个检验批各种敷设形式的总数抽查20%，且各不得少于1处。</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检查方法：观察检查并用尺量检查，查阅隐蔽工程检查记录。</w:t>
      </w:r>
    </w:p>
    <w:p>
      <w:pPr>
        <w:pStyle w:val="41"/>
        <w:numPr>
          <w:ilvl w:val="0"/>
          <w:numId w:val="6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明配的电气导管应符合下列规定：</w:t>
      </w:r>
    </w:p>
    <w:p>
      <w:pPr>
        <w:pStyle w:val="41"/>
        <w:numPr>
          <w:ilvl w:val="1"/>
          <w:numId w:val="7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导管应排列整齐、横平竖直，固定点间距均匀、安装牢固；</w:t>
      </w:r>
    </w:p>
    <w:p>
      <w:pPr>
        <w:pStyle w:val="41"/>
        <w:numPr>
          <w:ilvl w:val="1"/>
          <w:numId w:val="7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在距终端、弯头中点或柜、台、箱、盘等边缘</w:t>
      </w:r>
      <w:r>
        <w:rPr>
          <w:rFonts w:hint="eastAsia" w:asciiTheme="minorEastAsia" w:hAnsiTheme="minorEastAsia" w:eastAsiaTheme="minorEastAsia"/>
          <w:color w:val="000000"/>
          <w:szCs w:val="21"/>
        </w:rPr>
        <w:t>150</w:t>
      </w:r>
      <w:r>
        <w:rPr>
          <w:rFonts w:hint="eastAsia" w:cs="仿宋" w:asciiTheme="minorEastAsia" w:hAnsiTheme="minorEastAsia" w:eastAsiaTheme="minorEastAsia"/>
          <w:color w:val="000000"/>
          <w:spacing w:val="0"/>
          <w:w w:val="15"/>
          <w:kern w:val="0"/>
          <w:szCs w:val="21"/>
          <w:fitText w:val="42" w:id="552936351"/>
        </w:rPr>
        <w:t xml:space="preserve">　 </w:t>
      </w:r>
      <w:r>
        <w:rPr>
          <w:rFonts w:hint="eastAsia" w:cs="仿宋" w:asciiTheme="minorEastAsia" w:hAnsiTheme="minorEastAsia" w:eastAsiaTheme="minorEastAsia"/>
          <w:color w:val="000000"/>
          <w:spacing w:val="-17"/>
          <w:w w:val="15"/>
          <w:kern w:val="0"/>
          <w:szCs w:val="21"/>
          <w:fitText w:val="42" w:id="552936351"/>
        </w:rPr>
        <w:t>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300</w:t>
      </w:r>
      <w:r>
        <w:rPr>
          <w:rFonts w:hint="eastAsia" w:cs="仿宋" w:asciiTheme="minorEastAsia" w:hAnsiTheme="minorEastAsia" w:eastAsiaTheme="minorEastAsia"/>
          <w:color w:val="000000"/>
          <w:spacing w:val="0"/>
          <w:w w:val="15"/>
          <w:kern w:val="0"/>
          <w:szCs w:val="21"/>
          <w:fitText w:val="42" w:id="751247289"/>
        </w:rPr>
        <w:t xml:space="preserve">　 </w:t>
      </w:r>
      <w:r>
        <w:rPr>
          <w:rFonts w:hint="eastAsia" w:cs="仿宋" w:asciiTheme="minorEastAsia" w:hAnsiTheme="minorEastAsia" w:eastAsiaTheme="minorEastAsia"/>
          <w:color w:val="000000"/>
          <w:spacing w:val="-17"/>
          <w:w w:val="15"/>
          <w:kern w:val="0"/>
          <w:szCs w:val="21"/>
          <w:fitText w:val="42" w:id="751247289"/>
        </w:rPr>
        <w:t>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范围内应设有固定管卡，中间直线段固定管卡间的最大距离应符合表</w:t>
      </w:r>
      <w:r>
        <w:rPr>
          <w:rFonts w:asciiTheme="minorEastAsia" w:hAnsiTheme="minorEastAsia" w:eastAsiaTheme="minorEastAsia"/>
          <w:szCs w:val="21"/>
        </w:rPr>
        <w:t>5.3.10</w:t>
      </w:r>
      <w:r>
        <w:rPr>
          <w:rFonts w:hint="eastAsia" w:asciiTheme="minorEastAsia" w:hAnsiTheme="minorEastAsia" w:eastAsiaTheme="minorEastAsia"/>
          <w:szCs w:val="21"/>
        </w:rPr>
        <w:t>的规定；</w:t>
      </w:r>
    </w:p>
    <w:p>
      <w:pPr>
        <w:pStyle w:val="41"/>
        <w:numPr>
          <w:ilvl w:val="1"/>
          <w:numId w:val="7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明</w:t>
      </w:r>
      <w:r>
        <w:rPr>
          <w:rFonts w:hint="eastAsia" w:asciiTheme="minorEastAsia" w:hAnsiTheme="minorEastAsia" w:eastAsiaTheme="minorEastAsia"/>
          <w:color w:val="000000"/>
          <w:szCs w:val="21"/>
        </w:rPr>
        <w:t>配</w:t>
      </w:r>
      <w:r>
        <w:rPr>
          <w:rFonts w:hint="eastAsia" w:asciiTheme="minorEastAsia" w:hAnsiTheme="minorEastAsia" w:eastAsiaTheme="minorEastAsia"/>
          <w:szCs w:val="21"/>
        </w:rPr>
        <w:t>管采用的接线或过渡盒（箱）应选用明装盒（箱）。</w:t>
      </w:r>
    </w:p>
    <w:p>
      <w:pPr>
        <w:pStyle w:val="41"/>
        <w:spacing w:line="360" w:lineRule="auto"/>
        <w:jc w:val="center"/>
        <w:rPr>
          <w:rFonts w:ascii="黑体" w:hAnsi="黑体" w:eastAsia="黑体"/>
          <w:szCs w:val="21"/>
        </w:rPr>
      </w:pPr>
      <w:r>
        <w:rPr>
          <w:rFonts w:hint="eastAsia" w:ascii="黑体" w:hAnsi="黑体" w:eastAsia="黑体"/>
          <w:szCs w:val="21"/>
        </w:rPr>
        <w:t>表</w:t>
      </w:r>
      <w:r>
        <w:rPr>
          <w:rFonts w:ascii="黑体" w:hAnsi="黑体" w:eastAsia="黑体"/>
          <w:szCs w:val="21"/>
        </w:rPr>
        <w:t xml:space="preserve">5.3.10 </w:t>
      </w:r>
      <w:r>
        <w:rPr>
          <w:rFonts w:hint="eastAsia" w:ascii="黑体" w:hAnsi="黑体" w:eastAsia="黑体"/>
          <w:szCs w:val="21"/>
        </w:rPr>
        <w:t>管间的最大距离</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2930"/>
        <w:gridCol w:w="964"/>
        <w:gridCol w:w="964"/>
        <w:gridCol w:w="96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610" w:type="dxa"/>
            <w:vMerge w:val="restart"/>
            <w:vAlign w:val="center"/>
          </w:tcPr>
          <w:p>
            <w:pPr>
              <w:spacing w:line="360" w:lineRule="auto"/>
              <w:jc w:val="center"/>
              <w:rPr>
                <w:rFonts w:cs="Calibri" w:asciiTheme="minorEastAsia" w:hAnsiTheme="minorEastAsia" w:eastAsiaTheme="minorEastAsia"/>
                <w:szCs w:val="21"/>
              </w:rPr>
            </w:pPr>
            <w:r>
              <w:rPr>
                <w:rFonts w:hint="eastAsia" w:cs="Calibri" w:asciiTheme="minorEastAsia" w:hAnsiTheme="minorEastAsia" w:eastAsiaTheme="minorEastAsia"/>
                <w:szCs w:val="21"/>
              </w:rPr>
              <w:t>敷设方式</w:t>
            </w:r>
          </w:p>
        </w:tc>
        <w:tc>
          <w:tcPr>
            <w:tcW w:w="2930" w:type="dxa"/>
            <w:vMerge w:val="restart"/>
            <w:vAlign w:val="center"/>
          </w:tcPr>
          <w:p>
            <w:pPr>
              <w:spacing w:line="360" w:lineRule="auto"/>
              <w:jc w:val="center"/>
              <w:rPr>
                <w:rFonts w:cs="Calibri" w:asciiTheme="minorEastAsia" w:hAnsiTheme="minorEastAsia" w:eastAsiaTheme="minorEastAsia"/>
                <w:szCs w:val="21"/>
              </w:rPr>
            </w:pPr>
            <w:r>
              <w:rPr>
                <w:rFonts w:hint="eastAsia" w:cs="Calibri" w:asciiTheme="minorEastAsia" w:hAnsiTheme="minorEastAsia" w:eastAsiaTheme="minorEastAsia"/>
                <w:szCs w:val="21"/>
              </w:rPr>
              <w:t>导管种类</w:t>
            </w:r>
          </w:p>
        </w:tc>
        <w:tc>
          <w:tcPr>
            <w:tcW w:w="3856" w:type="dxa"/>
            <w:gridSpan w:val="4"/>
            <w:vAlign w:val="center"/>
          </w:tcPr>
          <w:p>
            <w:pPr>
              <w:spacing w:line="360" w:lineRule="auto"/>
              <w:jc w:val="center"/>
              <w:rPr>
                <w:rFonts w:cs="Calibri" w:asciiTheme="minorEastAsia" w:hAnsiTheme="minorEastAsia" w:eastAsiaTheme="minorEastAsia"/>
                <w:szCs w:val="21"/>
              </w:rPr>
            </w:pPr>
            <w:r>
              <w:rPr>
                <w:rFonts w:hint="eastAsia" w:cs="Calibri" w:asciiTheme="minorEastAsia" w:hAnsiTheme="minorEastAsia" w:eastAsiaTheme="minorEastAsia"/>
                <w:szCs w:val="21"/>
              </w:rPr>
              <w:t>导管直径（mm）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610" w:type="dxa"/>
            <w:vMerge w:val="continue"/>
            <w:vAlign w:val="center"/>
          </w:tcPr>
          <w:p>
            <w:pPr>
              <w:spacing w:line="360" w:lineRule="auto"/>
              <w:jc w:val="center"/>
              <w:rPr>
                <w:rFonts w:cs="Calibri" w:asciiTheme="minorEastAsia" w:hAnsiTheme="minorEastAsia" w:eastAsiaTheme="minorEastAsia"/>
                <w:szCs w:val="21"/>
              </w:rPr>
            </w:pPr>
          </w:p>
        </w:tc>
        <w:tc>
          <w:tcPr>
            <w:tcW w:w="2930" w:type="dxa"/>
            <w:vMerge w:val="continue"/>
            <w:vAlign w:val="center"/>
          </w:tcPr>
          <w:p>
            <w:pPr>
              <w:spacing w:line="360" w:lineRule="auto"/>
              <w:jc w:val="center"/>
              <w:rPr>
                <w:rFonts w:cs="Calibri" w:asciiTheme="minorEastAsia" w:hAnsiTheme="minorEastAsia" w:eastAsiaTheme="minorEastAsia"/>
                <w:szCs w:val="21"/>
              </w:rPr>
            </w:pPr>
          </w:p>
        </w:tc>
        <w:tc>
          <w:tcPr>
            <w:tcW w:w="964" w:type="dxa"/>
            <w:vAlign w:val="center"/>
          </w:tcPr>
          <w:p>
            <w:pPr>
              <w:spacing w:line="360" w:lineRule="auto"/>
              <w:jc w:val="center"/>
              <w:rPr>
                <w:rFonts w:cs="Calibri" w:asciiTheme="minorEastAsia" w:hAnsiTheme="minorEastAsia" w:eastAsiaTheme="minorEastAsia"/>
                <w:szCs w:val="21"/>
              </w:rPr>
            </w:pPr>
            <w:r>
              <w:rPr>
                <w:rFonts w:hint="eastAsia" w:cs="Calibri" w:asciiTheme="minorEastAsia" w:hAnsiTheme="minorEastAsia" w:eastAsiaTheme="minorEastAsia"/>
                <w:szCs w:val="21"/>
              </w:rPr>
              <w:t>15～20</w:t>
            </w:r>
          </w:p>
        </w:tc>
        <w:tc>
          <w:tcPr>
            <w:tcW w:w="964" w:type="dxa"/>
            <w:vAlign w:val="center"/>
          </w:tcPr>
          <w:p>
            <w:pPr>
              <w:spacing w:line="360" w:lineRule="auto"/>
              <w:jc w:val="center"/>
              <w:rPr>
                <w:rFonts w:cs="Calibri" w:asciiTheme="minorEastAsia" w:hAnsiTheme="minorEastAsia" w:eastAsiaTheme="minorEastAsia"/>
                <w:szCs w:val="21"/>
              </w:rPr>
            </w:pPr>
            <w:r>
              <w:rPr>
                <w:rFonts w:hint="eastAsia" w:cs="Calibri" w:asciiTheme="minorEastAsia" w:hAnsiTheme="minorEastAsia" w:eastAsiaTheme="minorEastAsia"/>
                <w:szCs w:val="21"/>
              </w:rPr>
              <w:t>25～32</w:t>
            </w:r>
          </w:p>
        </w:tc>
        <w:tc>
          <w:tcPr>
            <w:tcW w:w="964" w:type="dxa"/>
            <w:vAlign w:val="center"/>
          </w:tcPr>
          <w:p>
            <w:pPr>
              <w:spacing w:line="360" w:lineRule="auto"/>
              <w:jc w:val="center"/>
              <w:rPr>
                <w:rFonts w:cs="Calibri" w:asciiTheme="minorEastAsia" w:hAnsiTheme="minorEastAsia" w:eastAsiaTheme="minorEastAsia"/>
                <w:szCs w:val="21"/>
              </w:rPr>
            </w:pPr>
            <w:r>
              <w:rPr>
                <w:rFonts w:hint="eastAsia" w:cs="Calibri" w:asciiTheme="minorEastAsia" w:hAnsiTheme="minorEastAsia" w:eastAsiaTheme="minorEastAsia"/>
                <w:szCs w:val="21"/>
              </w:rPr>
              <w:t>40～50</w:t>
            </w:r>
          </w:p>
        </w:tc>
        <w:tc>
          <w:tcPr>
            <w:tcW w:w="964" w:type="dxa"/>
            <w:vAlign w:val="center"/>
          </w:tcPr>
          <w:p>
            <w:pPr>
              <w:spacing w:line="360" w:lineRule="auto"/>
              <w:jc w:val="center"/>
              <w:rPr>
                <w:rFonts w:cs="Calibri" w:asciiTheme="minorEastAsia" w:hAnsiTheme="minorEastAsia" w:eastAsiaTheme="minorEastAsia"/>
                <w:szCs w:val="21"/>
              </w:rPr>
            </w:pPr>
            <w:r>
              <w:rPr>
                <w:rFonts w:hint="eastAsia" w:cs="Calibri" w:asciiTheme="minorEastAsia" w:hAnsiTheme="minorEastAsia" w:eastAsiaTheme="minorEastAsia"/>
                <w:szCs w:val="21"/>
              </w:rPr>
              <w:t>65以上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610" w:type="dxa"/>
            <w:vMerge w:val="continue"/>
            <w:vAlign w:val="center"/>
          </w:tcPr>
          <w:p>
            <w:pPr>
              <w:spacing w:line="360" w:lineRule="auto"/>
              <w:jc w:val="center"/>
              <w:rPr>
                <w:rFonts w:cs="Calibri" w:asciiTheme="minorEastAsia" w:hAnsiTheme="minorEastAsia" w:eastAsiaTheme="minorEastAsia"/>
                <w:szCs w:val="21"/>
              </w:rPr>
            </w:pPr>
          </w:p>
        </w:tc>
        <w:tc>
          <w:tcPr>
            <w:tcW w:w="2930" w:type="dxa"/>
            <w:vMerge w:val="continue"/>
            <w:vAlign w:val="center"/>
          </w:tcPr>
          <w:p>
            <w:pPr>
              <w:spacing w:line="360" w:lineRule="auto"/>
              <w:jc w:val="center"/>
              <w:rPr>
                <w:rFonts w:cs="Calibri" w:asciiTheme="minorEastAsia" w:hAnsiTheme="minorEastAsia" w:eastAsiaTheme="minorEastAsia"/>
                <w:szCs w:val="21"/>
              </w:rPr>
            </w:pPr>
          </w:p>
        </w:tc>
        <w:tc>
          <w:tcPr>
            <w:tcW w:w="3856" w:type="dxa"/>
            <w:gridSpan w:val="4"/>
            <w:vAlign w:val="center"/>
          </w:tcPr>
          <w:p>
            <w:pPr>
              <w:spacing w:line="360" w:lineRule="auto"/>
              <w:jc w:val="center"/>
              <w:rPr>
                <w:rFonts w:cs="Calibri" w:asciiTheme="minorEastAsia" w:hAnsiTheme="minorEastAsia" w:eastAsiaTheme="minorEastAsia"/>
                <w:szCs w:val="21"/>
              </w:rPr>
            </w:pPr>
            <w:r>
              <w:rPr>
                <w:rFonts w:hint="eastAsia" w:cs="Calibri" w:asciiTheme="minorEastAsia" w:hAnsiTheme="minorEastAsia" w:eastAsiaTheme="minorEastAsia"/>
                <w:szCs w:val="21"/>
              </w:rPr>
              <w:t>管卡间最大距离（m）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610" w:type="dxa"/>
            <w:vMerge w:val="restart"/>
            <w:vAlign w:val="center"/>
          </w:tcPr>
          <w:p>
            <w:pPr>
              <w:spacing w:line="360" w:lineRule="auto"/>
              <w:jc w:val="center"/>
              <w:rPr>
                <w:rFonts w:cs="Calibri" w:asciiTheme="minorEastAsia" w:hAnsiTheme="minorEastAsia" w:eastAsiaTheme="minorEastAsia"/>
                <w:szCs w:val="21"/>
              </w:rPr>
            </w:pPr>
            <w:r>
              <w:rPr>
                <w:rFonts w:hint="eastAsia" w:cs="Calibri" w:asciiTheme="minorEastAsia" w:hAnsiTheme="minorEastAsia" w:eastAsiaTheme="minorEastAsia"/>
                <w:szCs w:val="21"/>
              </w:rPr>
              <w:t>支架或</w:t>
            </w:r>
          </w:p>
          <w:p>
            <w:pPr>
              <w:spacing w:line="360" w:lineRule="auto"/>
              <w:jc w:val="center"/>
              <w:rPr>
                <w:rFonts w:cs="Calibri" w:asciiTheme="minorEastAsia" w:hAnsiTheme="minorEastAsia" w:eastAsiaTheme="minorEastAsia"/>
                <w:szCs w:val="21"/>
              </w:rPr>
            </w:pPr>
            <w:r>
              <w:rPr>
                <w:rFonts w:hint="eastAsia" w:cs="Calibri" w:asciiTheme="minorEastAsia" w:hAnsiTheme="minorEastAsia" w:eastAsiaTheme="minorEastAsia"/>
                <w:szCs w:val="21"/>
              </w:rPr>
              <w:t>沿墙明敷</w:t>
            </w:r>
          </w:p>
        </w:tc>
        <w:tc>
          <w:tcPr>
            <w:tcW w:w="2930" w:type="dxa"/>
            <w:vAlign w:val="center"/>
          </w:tcPr>
          <w:p>
            <w:pPr>
              <w:spacing w:line="360" w:lineRule="auto"/>
              <w:jc w:val="center"/>
              <w:rPr>
                <w:rFonts w:cs="Calibri" w:asciiTheme="minorEastAsia" w:hAnsiTheme="minorEastAsia" w:eastAsiaTheme="minorEastAsia"/>
                <w:szCs w:val="21"/>
              </w:rPr>
            </w:pPr>
            <w:r>
              <w:rPr>
                <w:rFonts w:hint="eastAsia" w:cs="Calibri" w:asciiTheme="minorEastAsia" w:hAnsiTheme="minorEastAsia" w:eastAsiaTheme="minorEastAsia"/>
                <w:szCs w:val="21"/>
              </w:rPr>
              <w:t>壁厚</w:t>
            </w:r>
            <w:r>
              <w:rPr>
                <w:rFonts w:hint="eastAsia" w:cs="Arial" w:asciiTheme="minorEastAsia" w:hAnsiTheme="minorEastAsia" w:eastAsiaTheme="minorEastAsia"/>
                <w:szCs w:val="21"/>
              </w:rPr>
              <w:t>&gt;</w:t>
            </w:r>
            <w:r>
              <w:rPr>
                <w:rFonts w:hint="eastAsia" w:cs="Calibri" w:asciiTheme="minorEastAsia" w:hAnsiTheme="minorEastAsia" w:eastAsiaTheme="minorEastAsia"/>
                <w:color w:val="000000"/>
                <w:szCs w:val="21"/>
              </w:rPr>
              <w:t>2</w:t>
            </w:r>
            <w:r>
              <w:rPr>
                <w:rFonts w:hint="eastAsia" w:cs="仿宋" w:asciiTheme="minorEastAsia" w:hAnsiTheme="minorEastAsia" w:eastAsiaTheme="minorEastAsia"/>
                <w:color w:val="000000"/>
                <w:spacing w:val="0"/>
                <w:w w:val="15"/>
                <w:kern w:val="0"/>
                <w:szCs w:val="21"/>
                <w:fitText w:val="42" w:id="1436038956"/>
              </w:rPr>
              <w:t xml:space="preserve">　 </w:t>
            </w:r>
            <w:r>
              <w:rPr>
                <w:rFonts w:hint="eastAsia" w:cs="仿宋" w:asciiTheme="minorEastAsia" w:hAnsiTheme="minorEastAsia" w:eastAsiaTheme="minorEastAsia"/>
                <w:color w:val="000000"/>
                <w:spacing w:val="-17"/>
                <w:w w:val="15"/>
                <w:kern w:val="0"/>
                <w:szCs w:val="21"/>
                <w:fitText w:val="42" w:id="1436038956"/>
              </w:rPr>
              <w:t>　</w:t>
            </w:r>
            <w:r>
              <w:rPr>
                <w:rFonts w:hint="eastAsia" w:cs="Calibri" w:asciiTheme="minorEastAsia" w:hAnsiTheme="minorEastAsia" w:eastAsiaTheme="minorEastAsia"/>
                <w:color w:val="000000"/>
                <w:szCs w:val="21"/>
              </w:rPr>
              <w:t>mm</w:t>
            </w:r>
            <w:r>
              <w:rPr>
                <w:rFonts w:hint="eastAsia" w:cs="Calibri" w:asciiTheme="minorEastAsia" w:hAnsiTheme="minorEastAsia" w:eastAsiaTheme="minorEastAsia"/>
                <w:szCs w:val="21"/>
              </w:rPr>
              <w:t>刚性钢导管</w:t>
            </w:r>
          </w:p>
        </w:tc>
        <w:tc>
          <w:tcPr>
            <w:tcW w:w="964" w:type="dxa"/>
            <w:vAlign w:val="center"/>
          </w:tcPr>
          <w:p>
            <w:pPr>
              <w:spacing w:line="360" w:lineRule="auto"/>
              <w:jc w:val="center"/>
              <w:rPr>
                <w:rFonts w:cs="Calibri" w:asciiTheme="minorEastAsia" w:hAnsiTheme="minorEastAsia" w:eastAsiaTheme="minorEastAsia"/>
                <w:szCs w:val="21"/>
              </w:rPr>
            </w:pPr>
            <w:r>
              <w:rPr>
                <w:rFonts w:hint="eastAsia" w:cs="Calibri" w:asciiTheme="minorEastAsia" w:hAnsiTheme="minorEastAsia" w:eastAsiaTheme="minorEastAsia"/>
                <w:szCs w:val="21"/>
              </w:rPr>
              <w:t>1.5</w:t>
            </w:r>
          </w:p>
        </w:tc>
        <w:tc>
          <w:tcPr>
            <w:tcW w:w="964" w:type="dxa"/>
            <w:vAlign w:val="center"/>
          </w:tcPr>
          <w:p>
            <w:pPr>
              <w:spacing w:line="360" w:lineRule="auto"/>
              <w:jc w:val="center"/>
              <w:rPr>
                <w:rFonts w:cs="Calibri" w:asciiTheme="minorEastAsia" w:hAnsiTheme="minorEastAsia" w:eastAsiaTheme="minorEastAsia"/>
                <w:szCs w:val="21"/>
              </w:rPr>
            </w:pPr>
            <w:r>
              <w:rPr>
                <w:rFonts w:hint="eastAsia" w:cs="Calibri" w:asciiTheme="minorEastAsia" w:hAnsiTheme="minorEastAsia" w:eastAsiaTheme="minorEastAsia"/>
                <w:szCs w:val="21"/>
              </w:rPr>
              <w:t>2.0</w:t>
            </w:r>
          </w:p>
        </w:tc>
        <w:tc>
          <w:tcPr>
            <w:tcW w:w="964" w:type="dxa"/>
            <w:vAlign w:val="center"/>
          </w:tcPr>
          <w:p>
            <w:pPr>
              <w:spacing w:line="360" w:lineRule="auto"/>
              <w:jc w:val="center"/>
              <w:rPr>
                <w:rFonts w:cs="Calibri" w:asciiTheme="minorEastAsia" w:hAnsiTheme="minorEastAsia" w:eastAsiaTheme="minorEastAsia"/>
                <w:szCs w:val="21"/>
              </w:rPr>
            </w:pPr>
            <w:r>
              <w:rPr>
                <w:rFonts w:hint="eastAsia" w:cs="Calibri" w:asciiTheme="minorEastAsia" w:hAnsiTheme="minorEastAsia" w:eastAsiaTheme="minorEastAsia"/>
                <w:szCs w:val="21"/>
              </w:rPr>
              <w:t>2.5</w:t>
            </w:r>
          </w:p>
        </w:tc>
        <w:tc>
          <w:tcPr>
            <w:tcW w:w="964" w:type="dxa"/>
            <w:vAlign w:val="center"/>
          </w:tcPr>
          <w:p>
            <w:pPr>
              <w:spacing w:line="360" w:lineRule="auto"/>
              <w:jc w:val="center"/>
              <w:rPr>
                <w:rFonts w:cs="Calibri" w:asciiTheme="minorEastAsia" w:hAnsiTheme="minorEastAsia" w:eastAsiaTheme="minorEastAsia"/>
                <w:szCs w:val="21"/>
              </w:rPr>
            </w:pPr>
            <w:r>
              <w:rPr>
                <w:rFonts w:hint="eastAsia" w:cs="Calibri" w:asciiTheme="minorEastAsia" w:hAnsiTheme="minorEastAsia" w:eastAsiaTheme="minorEastAsia"/>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610" w:type="dxa"/>
            <w:vMerge w:val="continue"/>
            <w:vAlign w:val="center"/>
          </w:tcPr>
          <w:p>
            <w:pPr>
              <w:spacing w:line="360" w:lineRule="auto"/>
              <w:jc w:val="center"/>
              <w:rPr>
                <w:rFonts w:cs="Calibri" w:asciiTheme="minorEastAsia" w:hAnsiTheme="minorEastAsia" w:eastAsiaTheme="minorEastAsia"/>
                <w:szCs w:val="21"/>
              </w:rPr>
            </w:pPr>
          </w:p>
        </w:tc>
        <w:tc>
          <w:tcPr>
            <w:tcW w:w="2930" w:type="dxa"/>
            <w:vAlign w:val="center"/>
          </w:tcPr>
          <w:p>
            <w:pPr>
              <w:spacing w:line="360" w:lineRule="auto"/>
              <w:jc w:val="center"/>
              <w:rPr>
                <w:rFonts w:cs="Calibri" w:asciiTheme="minorEastAsia" w:hAnsiTheme="minorEastAsia" w:eastAsiaTheme="minorEastAsia"/>
                <w:szCs w:val="21"/>
              </w:rPr>
            </w:pPr>
            <w:r>
              <w:rPr>
                <w:rFonts w:hint="eastAsia" w:cs="Calibri" w:asciiTheme="minorEastAsia" w:hAnsiTheme="minorEastAsia" w:eastAsiaTheme="minorEastAsia"/>
                <w:szCs w:val="21"/>
              </w:rPr>
              <w:t>壁厚</w:t>
            </w:r>
            <w:r>
              <w:rPr>
                <w:rFonts w:hint="eastAsia" w:cs="Arial" w:asciiTheme="minorEastAsia" w:hAnsiTheme="minorEastAsia" w:eastAsiaTheme="minorEastAsia"/>
                <w:szCs w:val="21"/>
              </w:rPr>
              <w:t>≤</w:t>
            </w:r>
            <w:r>
              <w:rPr>
                <w:rFonts w:hint="eastAsia" w:cs="Calibri" w:asciiTheme="minorEastAsia" w:hAnsiTheme="minorEastAsia" w:eastAsiaTheme="minorEastAsia"/>
                <w:color w:val="000000"/>
                <w:szCs w:val="21"/>
              </w:rPr>
              <w:t>2</w:t>
            </w:r>
            <w:r>
              <w:rPr>
                <w:rFonts w:hint="eastAsia" w:cs="仿宋" w:asciiTheme="minorEastAsia" w:hAnsiTheme="minorEastAsia" w:eastAsiaTheme="minorEastAsia"/>
                <w:color w:val="000000"/>
                <w:spacing w:val="0"/>
                <w:w w:val="15"/>
                <w:kern w:val="0"/>
                <w:szCs w:val="21"/>
                <w:fitText w:val="42" w:id="838822538"/>
              </w:rPr>
              <w:t xml:space="preserve">　 </w:t>
            </w:r>
            <w:r>
              <w:rPr>
                <w:rFonts w:hint="eastAsia" w:cs="仿宋" w:asciiTheme="minorEastAsia" w:hAnsiTheme="minorEastAsia" w:eastAsiaTheme="minorEastAsia"/>
                <w:color w:val="000000"/>
                <w:spacing w:val="-17"/>
                <w:w w:val="15"/>
                <w:kern w:val="0"/>
                <w:szCs w:val="21"/>
                <w:fitText w:val="42" w:id="838822538"/>
              </w:rPr>
              <w:t>　</w:t>
            </w:r>
            <w:r>
              <w:rPr>
                <w:rFonts w:hint="eastAsia" w:cs="Calibri" w:asciiTheme="minorEastAsia" w:hAnsiTheme="minorEastAsia" w:eastAsiaTheme="minorEastAsia"/>
                <w:color w:val="000000"/>
                <w:szCs w:val="21"/>
              </w:rPr>
              <w:t>mm</w:t>
            </w:r>
            <w:r>
              <w:rPr>
                <w:rFonts w:hint="eastAsia" w:cs="Calibri" w:asciiTheme="minorEastAsia" w:hAnsiTheme="minorEastAsia" w:eastAsiaTheme="minorEastAsia"/>
                <w:szCs w:val="21"/>
              </w:rPr>
              <w:t>刚性钢导管</w:t>
            </w:r>
          </w:p>
        </w:tc>
        <w:tc>
          <w:tcPr>
            <w:tcW w:w="964" w:type="dxa"/>
            <w:vAlign w:val="center"/>
          </w:tcPr>
          <w:p>
            <w:pPr>
              <w:spacing w:line="360" w:lineRule="auto"/>
              <w:jc w:val="center"/>
              <w:rPr>
                <w:rFonts w:cs="Calibri" w:asciiTheme="minorEastAsia" w:hAnsiTheme="minorEastAsia" w:eastAsiaTheme="minorEastAsia"/>
                <w:szCs w:val="21"/>
              </w:rPr>
            </w:pPr>
            <w:r>
              <w:rPr>
                <w:rFonts w:hint="eastAsia" w:cs="Calibri" w:asciiTheme="minorEastAsia" w:hAnsiTheme="minorEastAsia" w:eastAsiaTheme="minorEastAsia"/>
                <w:szCs w:val="21"/>
              </w:rPr>
              <w:t>1.0</w:t>
            </w:r>
          </w:p>
        </w:tc>
        <w:tc>
          <w:tcPr>
            <w:tcW w:w="964" w:type="dxa"/>
            <w:vAlign w:val="center"/>
          </w:tcPr>
          <w:p>
            <w:pPr>
              <w:spacing w:line="360" w:lineRule="auto"/>
              <w:jc w:val="center"/>
              <w:rPr>
                <w:rFonts w:cs="Calibri" w:asciiTheme="minorEastAsia" w:hAnsiTheme="minorEastAsia" w:eastAsiaTheme="minorEastAsia"/>
                <w:szCs w:val="21"/>
              </w:rPr>
            </w:pPr>
            <w:r>
              <w:rPr>
                <w:rFonts w:hint="eastAsia" w:cs="Calibri" w:asciiTheme="minorEastAsia" w:hAnsiTheme="minorEastAsia" w:eastAsiaTheme="minorEastAsia"/>
                <w:szCs w:val="21"/>
              </w:rPr>
              <w:t>1.5</w:t>
            </w:r>
          </w:p>
        </w:tc>
        <w:tc>
          <w:tcPr>
            <w:tcW w:w="964" w:type="dxa"/>
            <w:vAlign w:val="center"/>
          </w:tcPr>
          <w:p>
            <w:pPr>
              <w:spacing w:line="360" w:lineRule="auto"/>
              <w:jc w:val="center"/>
              <w:rPr>
                <w:rFonts w:cs="Calibri" w:asciiTheme="minorEastAsia" w:hAnsiTheme="minorEastAsia" w:eastAsiaTheme="minorEastAsia"/>
                <w:szCs w:val="21"/>
              </w:rPr>
            </w:pPr>
            <w:r>
              <w:rPr>
                <w:rFonts w:hint="eastAsia" w:cs="Calibri" w:asciiTheme="minorEastAsia" w:hAnsiTheme="minorEastAsia" w:eastAsiaTheme="minorEastAsia"/>
                <w:szCs w:val="21"/>
              </w:rPr>
              <w:t>2.0</w:t>
            </w:r>
          </w:p>
        </w:tc>
        <w:tc>
          <w:tcPr>
            <w:tcW w:w="964" w:type="dxa"/>
            <w:vAlign w:val="center"/>
          </w:tcPr>
          <w:p>
            <w:pPr>
              <w:spacing w:line="360" w:lineRule="auto"/>
              <w:jc w:val="center"/>
              <w:rPr>
                <w:rFonts w:cs="Calibri" w:asciiTheme="minorEastAsia" w:hAnsiTheme="minorEastAsia" w:eastAsiaTheme="minorEastAsia"/>
                <w:szCs w:val="21"/>
              </w:rPr>
            </w:pPr>
            <w:r>
              <w:rPr>
                <w:rFonts w:hint="eastAsia" w:cs="Calibri" w:asciiTheme="minorEastAsia" w:hAnsiTheme="minorEastAsia" w:eastAsia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610" w:type="dxa"/>
            <w:vMerge w:val="continue"/>
            <w:vAlign w:val="center"/>
          </w:tcPr>
          <w:p>
            <w:pPr>
              <w:spacing w:line="360" w:lineRule="auto"/>
              <w:jc w:val="center"/>
              <w:rPr>
                <w:rFonts w:cs="Calibri" w:asciiTheme="minorEastAsia" w:hAnsiTheme="minorEastAsia" w:eastAsiaTheme="minorEastAsia"/>
                <w:szCs w:val="21"/>
              </w:rPr>
            </w:pPr>
          </w:p>
        </w:tc>
        <w:tc>
          <w:tcPr>
            <w:tcW w:w="2930" w:type="dxa"/>
            <w:vAlign w:val="center"/>
          </w:tcPr>
          <w:p>
            <w:pPr>
              <w:spacing w:line="360" w:lineRule="auto"/>
              <w:jc w:val="center"/>
              <w:rPr>
                <w:rFonts w:cs="Calibri" w:asciiTheme="minorEastAsia" w:hAnsiTheme="minorEastAsia" w:eastAsiaTheme="minorEastAsia"/>
                <w:szCs w:val="21"/>
              </w:rPr>
            </w:pPr>
            <w:r>
              <w:rPr>
                <w:rFonts w:hint="eastAsia" w:cs="Calibri" w:asciiTheme="minorEastAsia" w:hAnsiTheme="minorEastAsia" w:eastAsiaTheme="minorEastAsia"/>
                <w:szCs w:val="21"/>
              </w:rPr>
              <w:t>刚性塑料导管</w:t>
            </w:r>
          </w:p>
        </w:tc>
        <w:tc>
          <w:tcPr>
            <w:tcW w:w="964" w:type="dxa"/>
            <w:vAlign w:val="center"/>
          </w:tcPr>
          <w:p>
            <w:pPr>
              <w:spacing w:line="360" w:lineRule="auto"/>
              <w:jc w:val="center"/>
              <w:rPr>
                <w:rFonts w:cs="Calibri" w:asciiTheme="minorEastAsia" w:hAnsiTheme="minorEastAsia" w:eastAsiaTheme="minorEastAsia"/>
                <w:szCs w:val="21"/>
              </w:rPr>
            </w:pPr>
            <w:r>
              <w:rPr>
                <w:rFonts w:hint="eastAsia" w:cs="Calibri" w:asciiTheme="minorEastAsia" w:hAnsiTheme="minorEastAsia" w:eastAsiaTheme="minorEastAsia"/>
                <w:szCs w:val="21"/>
              </w:rPr>
              <w:t>1.0</w:t>
            </w:r>
          </w:p>
        </w:tc>
        <w:tc>
          <w:tcPr>
            <w:tcW w:w="964" w:type="dxa"/>
            <w:vAlign w:val="center"/>
          </w:tcPr>
          <w:p>
            <w:pPr>
              <w:spacing w:line="360" w:lineRule="auto"/>
              <w:jc w:val="center"/>
              <w:rPr>
                <w:rFonts w:cs="Calibri" w:asciiTheme="minorEastAsia" w:hAnsiTheme="minorEastAsia" w:eastAsiaTheme="minorEastAsia"/>
                <w:szCs w:val="21"/>
              </w:rPr>
            </w:pPr>
            <w:r>
              <w:rPr>
                <w:rFonts w:hint="eastAsia" w:cs="Calibri" w:asciiTheme="minorEastAsia" w:hAnsiTheme="minorEastAsia" w:eastAsiaTheme="minorEastAsia"/>
                <w:szCs w:val="21"/>
              </w:rPr>
              <w:t>1.5</w:t>
            </w:r>
          </w:p>
        </w:tc>
        <w:tc>
          <w:tcPr>
            <w:tcW w:w="964" w:type="dxa"/>
            <w:vAlign w:val="center"/>
          </w:tcPr>
          <w:p>
            <w:pPr>
              <w:spacing w:line="360" w:lineRule="auto"/>
              <w:jc w:val="center"/>
              <w:rPr>
                <w:rFonts w:cs="Calibri" w:asciiTheme="minorEastAsia" w:hAnsiTheme="minorEastAsia" w:eastAsiaTheme="minorEastAsia"/>
                <w:szCs w:val="21"/>
              </w:rPr>
            </w:pPr>
            <w:r>
              <w:rPr>
                <w:rFonts w:hint="eastAsia" w:cs="Calibri" w:asciiTheme="minorEastAsia" w:hAnsiTheme="minorEastAsia" w:eastAsiaTheme="minorEastAsia"/>
                <w:szCs w:val="21"/>
              </w:rPr>
              <w:t>2.0</w:t>
            </w:r>
          </w:p>
        </w:tc>
        <w:tc>
          <w:tcPr>
            <w:tcW w:w="964" w:type="dxa"/>
            <w:vAlign w:val="center"/>
          </w:tcPr>
          <w:p>
            <w:pPr>
              <w:spacing w:line="360" w:lineRule="auto"/>
              <w:jc w:val="center"/>
              <w:rPr>
                <w:rFonts w:cs="Calibri" w:asciiTheme="minorEastAsia" w:hAnsiTheme="minorEastAsia" w:eastAsiaTheme="minorEastAsia"/>
                <w:szCs w:val="21"/>
              </w:rPr>
            </w:pPr>
            <w:r>
              <w:rPr>
                <w:rFonts w:hint="eastAsia" w:cs="Calibri" w:asciiTheme="minorEastAsia" w:hAnsiTheme="minorEastAsia" w:eastAsiaTheme="minorEastAsia"/>
                <w:szCs w:val="21"/>
              </w:rPr>
              <w:t>2.0</w:t>
            </w:r>
          </w:p>
        </w:tc>
      </w:tr>
    </w:tbl>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检查数量：按每个检验批的导管固定点或盒（箱）的总数各抽查20%，且各不得少于1处。</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检查方法：观察检查并用尺量检查。</w:t>
      </w:r>
    </w:p>
    <w:p>
      <w:pPr>
        <w:pStyle w:val="41"/>
        <w:numPr>
          <w:ilvl w:val="0"/>
          <w:numId w:val="6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塑料导管敷设应符合下列规定：</w:t>
      </w:r>
    </w:p>
    <w:p>
      <w:pPr>
        <w:pStyle w:val="41"/>
        <w:numPr>
          <w:ilvl w:val="1"/>
          <w:numId w:val="7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管口应平整光滑，管与管、管与盒（箱）等器件采用插入法连接时，应采用专用连接件、固定件，连接处结合面应涂专用胶合剂，接口应牢固密封；</w:t>
      </w:r>
    </w:p>
    <w:p>
      <w:pPr>
        <w:pStyle w:val="41"/>
        <w:numPr>
          <w:ilvl w:val="1"/>
          <w:numId w:val="7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直埋于地下或楼板内的刚性塑料导管，在穿出地面或楼板易受机械损伤的一段应采取保护措施；</w:t>
      </w:r>
    </w:p>
    <w:p>
      <w:pPr>
        <w:pStyle w:val="41"/>
        <w:numPr>
          <w:ilvl w:val="1"/>
          <w:numId w:val="7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当设计无要求时，埋设在墙内或混凝土内的塑料导管应采用中型及以上的导管；</w:t>
      </w:r>
    </w:p>
    <w:p>
      <w:pPr>
        <w:pStyle w:val="41"/>
        <w:numPr>
          <w:ilvl w:val="1"/>
          <w:numId w:val="7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沿建筑物、构筑物表面和在支架上敷设的刚性塑料导管，应按设计要求装设温度补偿装置。</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检查数量：第2款、第4款全数检查，其余按每个检验批的接头或导管数量各抽查10%，且各不得少于1处。</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检查方法：观察检查和手感检查，查阅隐蔽工程检查记录，核查材料合格证明文件和材料进场验收记录。</w:t>
      </w:r>
    </w:p>
    <w:p>
      <w:pPr>
        <w:pStyle w:val="41"/>
        <w:numPr>
          <w:ilvl w:val="0"/>
          <w:numId w:val="6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可弯曲金属导管及柔性导管敷设应符合下列规定：</w:t>
      </w:r>
    </w:p>
    <w:p>
      <w:pPr>
        <w:pStyle w:val="41"/>
        <w:numPr>
          <w:ilvl w:val="1"/>
          <w:numId w:val="74"/>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刚性导管与电气设备器具间可采用可弯曲金属导管或柔性金属导管等做过渡连接，其两端应有专用接头，连接可靠、密封良好。刚性导管经可弯曲金属导管或柔性导管与电气设备、器具连接时，柔性导管的长度在动力工程中不宜大于</w:t>
      </w:r>
      <w:r>
        <w:rPr>
          <w:rFonts w:hint="eastAsia" w:asciiTheme="minorEastAsia" w:hAnsiTheme="minorEastAsia" w:eastAsiaTheme="minorEastAsia"/>
          <w:color w:val="000000"/>
          <w:szCs w:val="21"/>
        </w:rPr>
        <w:t>0.8</w:t>
      </w:r>
      <w:r>
        <w:rPr>
          <w:rFonts w:hint="eastAsia" w:cs="仿宋" w:asciiTheme="minorEastAsia" w:hAnsiTheme="minorEastAsia" w:eastAsiaTheme="minorEastAsia"/>
          <w:color w:val="000000"/>
          <w:spacing w:val="0"/>
          <w:w w:val="15"/>
          <w:kern w:val="0"/>
          <w:szCs w:val="21"/>
          <w:fitText w:val="42" w:id="1361325883"/>
        </w:rPr>
        <w:t xml:space="preserve">　 </w:t>
      </w:r>
      <w:r>
        <w:rPr>
          <w:rFonts w:hint="eastAsia" w:cs="仿宋" w:asciiTheme="minorEastAsia" w:hAnsiTheme="minorEastAsia" w:eastAsiaTheme="minorEastAsia"/>
          <w:color w:val="000000"/>
          <w:spacing w:val="-17"/>
          <w:w w:val="15"/>
          <w:kern w:val="0"/>
          <w:szCs w:val="21"/>
          <w:fitText w:val="42" w:id="1361325883"/>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在照明工程中不宜大于</w:t>
      </w:r>
      <w:r>
        <w:rPr>
          <w:rFonts w:hint="eastAsia" w:asciiTheme="minorEastAsia" w:hAnsiTheme="minorEastAsia" w:eastAsiaTheme="minorEastAsia"/>
          <w:color w:val="000000"/>
          <w:szCs w:val="21"/>
        </w:rPr>
        <w:t>1.2</w:t>
      </w:r>
      <w:r>
        <w:rPr>
          <w:rFonts w:hint="eastAsia" w:cs="仿宋" w:asciiTheme="minorEastAsia" w:hAnsiTheme="minorEastAsia" w:eastAsiaTheme="minorEastAsia"/>
          <w:color w:val="000000"/>
          <w:spacing w:val="0"/>
          <w:w w:val="15"/>
          <w:kern w:val="0"/>
          <w:szCs w:val="21"/>
          <w:fitText w:val="42" w:id="1217139075"/>
        </w:rPr>
        <w:t xml:space="preserve">　 </w:t>
      </w:r>
      <w:r>
        <w:rPr>
          <w:rFonts w:hint="eastAsia" w:cs="仿宋" w:asciiTheme="minorEastAsia" w:hAnsiTheme="minorEastAsia" w:eastAsiaTheme="minorEastAsia"/>
          <w:color w:val="000000"/>
          <w:spacing w:val="-17"/>
          <w:w w:val="15"/>
          <w:kern w:val="0"/>
          <w:szCs w:val="21"/>
          <w:fitText w:val="42" w:id="1217139075"/>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，弱电工程中不宜大于</w:t>
      </w: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.0</w:t>
      </w:r>
      <w:r>
        <w:rPr>
          <w:rFonts w:hint="eastAsia" w:cs="仿宋" w:asciiTheme="minorEastAsia" w:hAnsiTheme="minorEastAsia" w:eastAsiaTheme="minorEastAsia"/>
          <w:color w:val="000000"/>
          <w:spacing w:val="0"/>
          <w:w w:val="15"/>
          <w:kern w:val="0"/>
          <w:szCs w:val="21"/>
          <w:fitText w:val="42" w:id="473912620"/>
        </w:rPr>
        <w:t xml:space="preserve">　 </w:t>
      </w:r>
      <w:r>
        <w:rPr>
          <w:rFonts w:hint="eastAsia" w:cs="仿宋" w:asciiTheme="minorEastAsia" w:hAnsiTheme="minorEastAsia" w:eastAsiaTheme="minorEastAsia"/>
          <w:color w:val="000000"/>
          <w:spacing w:val="-17"/>
          <w:w w:val="15"/>
          <w:kern w:val="0"/>
          <w:szCs w:val="21"/>
          <w:fitText w:val="42" w:id="473912620"/>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w:t>
      </w:r>
    </w:p>
    <w:p>
      <w:pPr>
        <w:pStyle w:val="41"/>
        <w:numPr>
          <w:ilvl w:val="1"/>
          <w:numId w:val="74"/>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可弯曲金属导管或柔性导管与刚性导管或电气设备、器具间的连接应采用专用接头；防液型可弯曲金属导管或柔性导管的连接处应密封良好，防液覆盖层应完整无损。</w:t>
      </w:r>
    </w:p>
    <w:p>
      <w:pPr>
        <w:pStyle w:val="41"/>
        <w:numPr>
          <w:ilvl w:val="1"/>
          <w:numId w:val="74"/>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当可弯曲金属导管有可能受重物压力或明显机械撞击时，应采取保护措施。</w:t>
      </w:r>
    </w:p>
    <w:p>
      <w:pPr>
        <w:pStyle w:val="41"/>
        <w:numPr>
          <w:ilvl w:val="1"/>
          <w:numId w:val="74"/>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明配的金属、非金属柔性导管固定点间距应均匀，不应大于</w:t>
      </w:r>
      <w:r>
        <w:rPr>
          <w:rFonts w:hint="eastAsia" w:asciiTheme="minorEastAsia" w:hAnsiTheme="minorEastAsia" w:eastAsiaTheme="minorEastAsia"/>
          <w:color w:val="000000"/>
          <w:szCs w:val="21"/>
        </w:rPr>
        <w:t>1 m</w:t>
      </w:r>
      <w:r>
        <w:rPr>
          <w:rFonts w:hint="eastAsia" w:asciiTheme="minorEastAsia" w:hAnsiTheme="minorEastAsia" w:eastAsiaTheme="minorEastAsia"/>
          <w:szCs w:val="21"/>
        </w:rPr>
        <w:t>，管卡与设备、器具、弯头中点、管端等边缘的距离应小于</w:t>
      </w:r>
      <w:r>
        <w:rPr>
          <w:rFonts w:hint="eastAsia" w:asciiTheme="minorEastAsia" w:hAnsiTheme="minorEastAsia" w:eastAsiaTheme="minorEastAsia"/>
          <w:color w:val="000000"/>
          <w:szCs w:val="21"/>
        </w:rPr>
        <w:t>0.3</w:t>
      </w:r>
      <w:r>
        <w:rPr>
          <w:rFonts w:hint="eastAsia" w:cs="仿宋" w:asciiTheme="minorEastAsia" w:hAnsiTheme="minorEastAsia" w:eastAsiaTheme="minorEastAsia"/>
          <w:color w:val="000000"/>
          <w:spacing w:val="0"/>
          <w:w w:val="15"/>
          <w:kern w:val="0"/>
          <w:szCs w:val="21"/>
          <w:fitText w:val="42" w:id="1428039854"/>
        </w:rPr>
        <w:t xml:space="preserve">　 </w:t>
      </w:r>
      <w:r>
        <w:rPr>
          <w:rFonts w:hint="eastAsia" w:cs="仿宋" w:asciiTheme="minorEastAsia" w:hAnsiTheme="minorEastAsia" w:eastAsiaTheme="minorEastAsia"/>
          <w:color w:val="000000"/>
          <w:spacing w:val="-17"/>
          <w:w w:val="15"/>
          <w:kern w:val="0"/>
          <w:szCs w:val="21"/>
          <w:fitText w:val="42" w:id="1428039854"/>
        </w:rPr>
        <w:t>　</w:t>
      </w:r>
      <w:r>
        <w:rPr>
          <w:rFonts w:hint="eastAsia" w:asciiTheme="minorEastAsia" w:hAnsiTheme="minorEastAsia" w:eastAsiaTheme="minorEastAsia"/>
          <w:color w:val="000000"/>
          <w:szCs w:val="21"/>
        </w:rPr>
        <w:t>m。</w:t>
      </w:r>
    </w:p>
    <w:p>
      <w:pPr>
        <w:pStyle w:val="41"/>
        <w:numPr>
          <w:ilvl w:val="1"/>
          <w:numId w:val="74"/>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可弯曲金属导管和金属柔性导管不应做保护导体的接续导体。</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第1款、第2款、第5款按每个检验批的导管连接点或导管总数抽查10%，且各不得少于1处；第3款全数检查；第4款按每个检验批的导管固定点总数抽查10%，且各不得少于1处并应能覆盖不同的导管和不同的固定部位。</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检查方法：观察检查并用尺量检查，查阅隐蔽工程检查记录。</w:t>
      </w:r>
    </w:p>
    <w:p>
      <w:pPr>
        <w:pStyle w:val="41"/>
        <w:numPr>
          <w:ilvl w:val="0"/>
          <w:numId w:val="6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符合下列条件时，管路应在便于接线处装设接线盒：</w:t>
      </w:r>
    </w:p>
    <w:p>
      <w:pPr>
        <w:pStyle w:val="41"/>
        <w:numPr>
          <w:ilvl w:val="1"/>
          <w:numId w:val="75"/>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管路长度每超过</w:t>
      </w:r>
      <w:r>
        <w:rPr>
          <w:rFonts w:hint="eastAsia" w:asciiTheme="minorEastAsia" w:hAnsiTheme="minorEastAsia" w:eastAsiaTheme="minorEastAsia"/>
          <w:color w:val="000000"/>
          <w:szCs w:val="21"/>
        </w:rPr>
        <w:t>30</w:t>
      </w:r>
      <w:r>
        <w:rPr>
          <w:rFonts w:hint="eastAsia" w:cs="仿宋" w:asciiTheme="minorEastAsia" w:hAnsiTheme="minorEastAsia" w:eastAsiaTheme="minorEastAsia"/>
          <w:color w:val="000000"/>
          <w:spacing w:val="0"/>
          <w:w w:val="15"/>
          <w:kern w:val="0"/>
          <w:szCs w:val="21"/>
          <w:fitText w:val="42" w:id="297017114"/>
        </w:rPr>
        <w:t xml:space="preserve">　 </w:t>
      </w:r>
      <w:r>
        <w:rPr>
          <w:rFonts w:hint="eastAsia" w:cs="仿宋" w:asciiTheme="minorEastAsia" w:hAnsiTheme="minorEastAsia" w:eastAsiaTheme="minorEastAsia"/>
          <w:color w:val="000000"/>
          <w:spacing w:val="-17"/>
          <w:w w:val="15"/>
          <w:kern w:val="0"/>
          <w:szCs w:val="21"/>
          <w:fitText w:val="42" w:id="297017114"/>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且无弯曲时；</w:t>
      </w:r>
    </w:p>
    <w:p>
      <w:pPr>
        <w:pStyle w:val="41"/>
        <w:numPr>
          <w:ilvl w:val="1"/>
          <w:numId w:val="75"/>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管路长度每超过</w:t>
      </w:r>
      <w:r>
        <w:rPr>
          <w:rFonts w:hint="eastAsia" w:asciiTheme="minorEastAsia" w:hAnsiTheme="minorEastAsia" w:eastAsiaTheme="minorEastAsia"/>
          <w:color w:val="000000"/>
          <w:szCs w:val="21"/>
        </w:rPr>
        <w:t>20</w:t>
      </w:r>
      <w:r>
        <w:rPr>
          <w:rFonts w:hint="eastAsia" w:cs="仿宋" w:asciiTheme="minorEastAsia" w:hAnsiTheme="minorEastAsia" w:eastAsiaTheme="minorEastAsia"/>
          <w:color w:val="000000"/>
          <w:spacing w:val="0"/>
          <w:w w:val="15"/>
          <w:kern w:val="0"/>
          <w:szCs w:val="21"/>
          <w:fitText w:val="42" w:id="1476740313"/>
        </w:rPr>
        <w:t xml:space="preserve">　 </w:t>
      </w:r>
      <w:r>
        <w:rPr>
          <w:rFonts w:hint="eastAsia" w:cs="仿宋" w:asciiTheme="minorEastAsia" w:hAnsiTheme="minorEastAsia" w:eastAsiaTheme="minorEastAsia"/>
          <w:color w:val="000000"/>
          <w:spacing w:val="-17"/>
          <w:w w:val="15"/>
          <w:kern w:val="0"/>
          <w:szCs w:val="21"/>
          <w:fitText w:val="42" w:id="1476740313"/>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且有1个弯曲时；</w:t>
      </w:r>
    </w:p>
    <w:p>
      <w:pPr>
        <w:pStyle w:val="41"/>
        <w:numPr>
          <w:ilvl w:val="1"/>
          <w:numId w:val="75"/>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管路长度每超过</w:t>
      </w:r>
      <w:r>
        <w:rPr>
          <w:rFonts w:hint="eastAsia" w:asciiTheme="minorEastAsia" w:hAnsiTheme="minorEastAsia" w:eastAsiaTheme="minorEastAsia"/>
          <w:color w:val="000000"/>
          <w:szCs w:val="21"/>
        </w:rPr>
        <w:t>10</w:t>
      </w:r>
      <w:r>
        <w:rPr>
          <w:rFonts w:hint="eastAsia" w:cs="仿宋" w:asciiTheme="minorEastAsia" w:hAnsiTheme="minorEastAsia" w:eastAsiaTheme="minorEastAsia"/>
          <w:color w:val="000000"/>
          <w:spacing w:val="0"/>
          <w:w w:val="15"/>
          <w:kern w:val="0"/>
          <w:szCs w:val="21"/>
          <w:fitText w:val="42" w:id="20191716"/>
        </w:rPr>
        <w:t xml:space="preserve">　 </w:t>
      </w:r>
      <w:r>
        <w:rPr>
          <w:rFonts w:hint="eastAsia" w:cs="仿宋" w:asciiTheme="minorEastAsia" w:hAnsiTheme="minorEastAsia" w:eastAsiaTheme="minorEastAsia"/>
          <w:color w:val="000000"/>
          <w:spacing w:val="-17"/>
          <w:w w:val="15"/>
          <w:kern w:val="0"/>
          <w:szCs w:val="21"/>
          <w:fitText w:val="42" w:id="20191716"/>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且有2个弯曲时；</w:t>
      </w:r>
    </w:p>
    <w:p>
      <w:pPr>
        <w:pStyle w:val="41"/>
        <w:numPr>
          <w:ilvl w:val="1"/>
          <w:numId w:val="75"/>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管路长度每超过</w:t>
      </w:r>
      <w:r>
        <w:rPr>
          <w:rFonts w:hint="eastAsia" w:asciiTheme="minorEastAsia" w:hAnsiTheme="minorEastAsia" w:eastAsiaTheme="minorEastAsia"/>
          <w:color w:val="000000"/>
          <w:szCs w:val="21"/>
        </w:rPr>
        <w:t>8</w:t>
      </w:r>
      <w:r>
        <w:rPr>
          <w:rFonts w:hint="eastAsia" w:cs="仿宋" w:asciiTheme="minorEastAsia" w:hAnsiTheme="minorEastAsia" w:eastAsiaTheme="minorEastAsia"/>
          <w:color w:val="000000"/>
          <w:spacing w:val="0"/>
          <w:w w:val="15"/>
          <w:kern w:val="0"/>
          <w:szCs w:val="21"/>
          <w:fitText w:val="42" w:id="249509617"/>
        </w:rPr>
        <w:t xml:space="preserve">　 </w:t>
      </w:r>
      <w:r>
        <w:rPr>
          <w:rFonts w:hint="eastAsia" w:cs="仿宋" w:asciiTheme="minorEastAsia" w:hAnsiTheme="minorEastAsia" w:eastAsiaTheme="minorEastAsia"/>
          <w:color w:val="000000"/>
          <w:spacing w:val="-17"/>
          <w:w w:val="15"/>
          <w:kern w:val="0"/>
          <w:szCs w:val="21"/>
          <w:fitText w:val="42" w:id="249509617"/>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且有3个弯曲时。</w:t>
      </w:r>
    </w:p>
    <w:p>
      <w:pPr>
        <w:pStyle w:val="41"/>
        <w:numPr>
          <w:ilvl w:val="0"/>
          <w:numId w:val="6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导管敷设应符合下列规定：</w:t>
      </w:r>
    </w:p>
    <w:p>
      <w:pPr>
        <w:pStyle w:val="41"/>
        <w:numPr>
          <w:ilvl w:val="1"/>
          <w:numId w:val="7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导管不应穿过设备基础；导管穿越外墙时应设置防水套管，且应做好防水处理（应采取止水措施）；</w:t>
      </w:r>
    </w:p>
    <w:p>
      <w:pPr>
        <w:pStyle w:val="41"/>
        <w:numPr>
          <w:ilvl w:val="1"/>
          <w:numId w:val="7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钢导管或刚性塑料导管跨越建筑物变形缝处应设置补偿装置，钢导管两端应跨接保护导体；</w:t>
      </w:r>
    </w:p>
    <w:p>
      <w:pPr>
        <w:pStyle w:val="41"/>
        <w:numPr>
          <w:ilvl w:val="1"/>
          <w:numId w:val="7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除埋设于混凝土内的钢导管内壁应防腐处理，防腐处理应到位。外壁可不防腐处理外，其余场所敷设的钢导管内、外壁均应做防腐处理；</w:t>
      </w:r>
    </w:p>
    <w:p>
      <w:pPr>
        <w:pStyle w:val="41"/>
        <w:numPr>
          <w:ilvl w:val="1"/>
          <w:numId w:val="7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导管与热水管、蒸</w:t>
      </w:r>
      <w:r>
        <w:rPr>
          <w:rFonts w:hint="eastAsia" w:asciiTheme="minorEastAsia" w:hAnsiTheme="minorEastAsia" w:eastAsiaTheme="minorEastAsia"/>
          <w:color w:val="000000"/>
          <w:szCs w:val="21"/>
        </w:rPr>
        <w:t>汽管</w:t>
      </w:r>
      <w:r>
        <w:rPr>
          <w:rFonts w:hint="eastAsia" w:asciiTheme="minorEastAsia" w:hAnsiTheme="minorEastAsia" w:eastAsiaTheme="minorEastAsia"/>
          <w:szCs w:val="21"/>
        </w:rPr>
        <w:t>平行敷设时，宜敷设在热水管、蒸</w:t>
      </w:r>
      <w:r>
        <w:rPr>
          <w:rFonts w:hint="eastAsia" w:asciiTheme="minorEastAsia" w:hAnsiTheme="minorEastAsia" w:eastAsiaTheme="minorEastAsia"/>
          <w:color w:val="000000"/>
          <w:szCs w:val="21"/>
        </w:rPr>
        <w:t>汽管</w:t>
      </w:r>
      <w:r>
        <w:rPr>
          <w:rFonts w:hint="eastAsia" w:asciiTheme="minorEastAsia" w:hAnsiTheme="minorEastAsia" w:eastAsiaTheme="minorEastAsia"/>
          <w:szCs w:val="21"/>
        </w:rPr>
        <w:t>的下面，当有困难时，可敷设在其上面；相互间的最小距离宜符合表5</w:t>
      </w:r>
      <w:r>
        <w:rPr>
          <w:rFonts w:asciiTheme="minorEastAsia" w:hAnsiTheme="minorEastAsia" w:eastAsiaTheme="minorEastAsia"/>
          <w:szCs w:val="21"/>
        </w:rPr>
        <w:t>.3.14</w:t>
      </w:r>
      <w:r>
        <w:rPr>
          <w:rFonts w:hint="eastAsia" w:asciiTheme="minorEastAsia" w:hAnsiTheme="minorEastAsia" w:eastAsiaTheme="minorEastAsia"/>
          <w:szCs w:val="21"/>
        </w:rPr>
        <w:t>的规定。</w:t>
      </w:r>
    </w:p>
    <w:p>
      <w:pPr>
        <w:pStyle w:val="41"/>
        <w:numPr>
          <w:ilvl w:val="1"/>
          <w:numId w:val="7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管路沿地面敷设时，跨接处宜有保护措施。</w:t>
      </w:r>
    </w:p>
    <w:p>
      <w:pPr>
        <w:pStyle w:val="41"/>
        <w:spacing w:line="360" w:lineRule="auto"/>
        <w:ind w:left="424" w:firstLine="840" w:firstLineChars="400"/>
        <w:rPr>
          <w:rFonts w:asciiTheme="minorEastAsia" w:hAnsiTheme="minorEastAsia" w:eastAsiaTheme="minorEastAsia"/>
          <w:szCs w:val="21"/>
        </w:rPr>
      </w:pPr>
      <w:r>
        <w:rPr>
          <w:rFonts w:hint="eastAsia" w:asciiTheme="minorEastAsia" w:hAnsiTheme="minorEastAsia" w:eastAsiaTheme="minorEastAsia"/>
          <w:szCs w:val="21"/>
        </w:rPr>
        <w:t>表5</w:t>
      </w:r>
      <w:r>
        <w:rPr>
          <w:rFonts w:asciiTheme="minorEastAsia" w:hAnsiTheme="minorEastAsia" w:eastAsiaTheme="minorEastAsia"/>
          <w:szCs w:val="21"/>
        </w:rPr>
        <w:t xml:space="preserve">.3.14  </w:t>
      </w:r>
      <w:r>
        <w:rPr>
          <w:rFonts w:hint="eastAsia" w:asciiTheme="minorEastAsia" w:hAnsiTheme="minorEastAsia" w:eastAsiaTheme="minorEastAsia"/>
          <w:szCs w:val="21"/>
        </w:rPr>
        <w:t>导管或配线槽盒与热水管、蒸</w:t>
      </w:r>
      <w:r>
        <w:rPr>
          <w:rFonts w:hint="eastAsia" w:asciiTheme="minorEastAsia" w:hAnsiTheme="minorEastAsia" w:eastAsiaTheme="minorEastAsia"/>
          <w:color w:val="000000"/>
          <w:szCs w:val="21"/>
        </w:rPr>
        <w:t>汽管</w:t>
      </w:r>
      <w:r>
        <w:rPr>
          <w:rFonts w:hint="eastAsia" w:asciiTheme="minorEastAsia" w:hAnsiTheme="minorEastAsia" w:eastAsiaTheme="minorEastAsia"/>
          <w:szCs w:val="21"/>
        </w:rPr>
        <w:t>间的最小距离</w:t>
      </w:r>
    </w:p>
    <w:tbl>
      <w:tblPr>
        <w:tblStyle w:val="28"/>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9"/>
        <w:gridCol w:w="1900"/>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9" w:type="dxa"/>
            <w:vMerge w:val="restart"/>
            <w:vAlign w:val="center"/>
          </w:tcPr>
          <w:p>
            <w:pPr>
              <w:pStyle w:val="41"/>
              <w:spacing w:line="360" w:lineRule="auto"/>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导管或配线槽盒的敷设位置</w:t>
            </w:r>
          </w:p>
        </w:tc>
        <w:tc>
          <w:tcPr>
            <w:tcW w:w="3940" w:type="dxa"/>
            <w:gridSpan w:val="2"/>
            <w:vAlign w:val="center"/>
          </w:tcPr>
          <w:p>
            <w:pPr>
              <w:pStyle w:val="41"/>
              <w:spacing w:line="360" w:lineRule="auto"/>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管道种类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9" w:type="dxa"/>
            <w:vMerge w:val="continue"/>
            <w:vAlign w:val="center"/>
          </w:tcPr>
          <w:p>
            <w:pPr>
              <w:pStyle w:val="41"/>
              <w:spacing w:line="360" w:lineRule="auto"/>
              <w:ind w:firstLine="0" w:firstLineChars="0"/>
              <w:jc w:val="center"/>
              <w:rPr>
                <w:rFonts w:asciiTheme="minorEastAsia" w:hAnsiTheme="minorEastAsia" w:eastAsiaTheme="minorEastAsia"/>
                <w:szCs w:val="21"/>
              </w:rPr>
            </w:pPr>
          </w:p>
        </w:tc>
        <w:tc>
          <w:tcPr>
            <w:tcW w:w="1900" w:type="dxa"/>
            <w:vAlign w:val="center"/>
          </w:tcPr>
          <w:p>
            <w:pPr>
              <w:pStyle w:val="41"/>
              <w:spacing w:line="360" w:lineRule="auto"/>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热水</w:t>
            </w:r>
          </w:p>
        </w:tc>
        <w:tc>
          <w:tcPr>
            <w:tcW w:w="2040" w:type="dxa"/>
            <w:vAlign w:val="center"/>
          </w:tcPr>
          <w:p>
            <w:pPr>
              <w:pStyle w:val="41"/>
              <w:spacing w:line="360" w:lineRule="auto"/>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蒸汽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9" w:type="dxa"/>
            <w:vAlign w:val="center"/>
          </w:tcPr>
          <w:p>
            <w:pPr>
              <w:pStyle w:val="41"/>
              <w:spacing w:line="360" w:lineRule="auto"/>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在热水、蒸汽管道上面平行敷设</w:t>
            </w:r>
          </w:p>
        </w:tc>
        <w:tc>
          <w:tcPr>
            <w:tcW w:w="1900" w:type="dxa"/>
            <w:vAlign w:val="center"/>
          </w:tcPr>
          <w:p>
            <w:pPr>
              <w:pStyle w:val="41"/>
              <w:spacing w:line="360" w:lineRule="auto"/>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00</w:t>
            </w:r>
          </w:p>
        </w:tc>
        <w:tc>
          <w:tcPr>
            <w:tcW w:w="2040" w:type="dxa"/>
            <w:vAlign w:val="center"/>
          </w:tcPr>
          <w:p>
            <w:pPr>
              <w:pStyle w:val="41"/>
              <w:spacing w:line="360" w:lineRule="auto"/>
              <w:ind w:firstLine="0" w:firstLineChars="0"/>
              <w:jc w:val="center"/>
              <w:rPr>
                <w:rFonts w:asciiTheme="minorEastAsia" w:hAnsiTheme="minorEastAsia" w:eastAsiaTheme="minorEastAsia"/>
                <w:szCs w:val="21"/>
              </w:rPr>
            </w:pPr>
            <w:r>
              <w:rPr>
                <w:rFonts w:hint="eastAsia" w:asciiTheme="minorEastAsia" w:hAnsiTheme="minorEastAsia" w:eastAsiaTheme="minorEastAsia"/>
                <w:color w:val="000000"/>
                <w:szCs w:val="21"/>
              </w:rPr>
              <w:t>1</w:t>
            </w:r>
            <w:r>
              <w:rPr>
                <w:rFonts w:asciiTheme="minorEastAsia" w:hAnsiTheme="minorEastAsia" w:eastAsiaTheme="minorEastAsia"/>
                <w:color w:val="00000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9" w:type="dxa"/>
            <w:vAlign w:val="center"/>
          </w:tcPr>
          <w:p>
            <w:pPr>
              <w:pStyle w:val="41"/>
              <w:spacing w:line="360" w:lineRule="auto"/>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在热水、蒸汽管道下面或水平平行敷设</w:t>
            </w:r>
          </w:p>
        </w:tc>
        <w:tc>
          <w:tcPr>
            <w:tcW w:w="1900" w:type="dxa"/>
            <w:vAlign w:val="center"/>
          </w:tcPr>
          <w:p>
            <w:pPr>
              <w:pStyle w:val="41"/>
              <w:spacing w:line="360" w:lineRule="auto"/>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00</w:t>
            </w:r>
          </w:p>
        </w:tc>
        <w:tc>
          <w:tcPr>
            <w:tcW w:w="2040" w:type="dxa"/>
            <w:vAlign w:val="center"/>
          </w:tcPr>
          <w:p>
            <w:pPr>
              <w:pStyle w:val="41"/>
              <w:spacing w:line="360" w:lineRule="auto"/>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9" w:type="dxa"/>
            <w:vAlign w:val="center"/>
          </w:tcPr>
          <w:p>
            <w:pPr>
              <w:pStyle w:val="41"/>
              <w:spacing w:line="360" w:lineRule="auto"/>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与热水、蒸汽管道交叉敷设</w:t>
            </w:r>
          </w:p>
        </w:tc>
        <w:tc>
          <w:tcPr>
            <w:tcW w:w="3940" w:type="dxa"/>
            <w:gridSpan w:val="2"/>
            <w:vAlign w:val="center"/>
          </w:tcPr>
          <w:p>
            <w:pPr>
              <w:pStyle w:val="41"/>
              <w:spacing w:line="360" w:lineRule="auto"/>
              <w:ind w:firstLine="0" w:firstLineChars="0"/>
              <w:jc w:val="center"/>
              <w:rPr>
                <w:rFonts w:asciiTheme="minorEastAsia" w:hAnsiTheme="minorEastAsia" w:eastAsiaTheme="minorEastAsia"/>
                <w:szCs w:val="21"/>
              </w:rPr>
            </w:pPr>
            <w:r>
              <w:rPr>
                <w:rFonts w:hint="eastAsia" w:asciiTheme="minorEastAsia" w:hAnsiTheme="minorEastAsia" w:eastAsiaTheme="minorEastAsia"/>
                <w:szCs w:val="21"/>
              </w:rPr>
              <w:t>不小于其平行的净距</w:t>
            </w:r>
          </w:p>
        </w:tc>
      </w:tr>
    </w:tbl>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检查数量：第1款、第2款全数检查，第3款、第4款按每个检验批的导管总数抽查10%，且各不得少于1根（处），并应覆盖不同的敷设场所及不同规格的导管。</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检查方法：观察检查并查阅隐蔽工程检查记录。</w:t>
      </w:r>
    </w:p>
    <w:p>
      <w:pPr>
        <w:pStyle w:val="41"/>
        <w:numPr>
          <w:ilvl w:val="0"/>
          <w:numId w:val="6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城市轨道交通工程导管敷设应符合下列要求：</w:t>
      </w:r>
    </w:p>
    <w:p>
      <w:pPr>
        <w:pStyle w:val="41"/>
        <w:numPr>
          <w:ilvl w:val="1"/>
          <w:numId w:val="77"/>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导管宜采用镀锌钢导管，镀锌层厚度应符合设计要求；</w:t>
      </w:r>
    </w:p>
    <w:p>
      <w:pPr>
        <w:pStyle w:val="41"/>
        <w:numPr>
          <w:ilvl w:val="1"/>
          <w:numId w:val="77"/>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隧道敷设导管固定点间距设计无要求时不应大于1米，且固定方式不得采用塑料胀栓；</w:t>
      </w:r>
    </w:p>
    <w:p>
      <w:pPr>
        <w:pStyle w:val="41"/>
        <w:numPr>
          <w:ilvl w:val="1"/>
          <w:numId w:val="77"/>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隧道钢导管暗敷道床内时，引出导管在隧道壁应采用膨胀螺栓固定；</w:t>
      </w:r>
    </w:p>
    <w:p>
      <w:pPr>
        <w:pStyle w:val="41"/>
        <w:numPr>
          <w:ilvl w:val="1"/>
          <w:numId w:val="77"/>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隧道壁采用预埋槽道形式时，钢导管固定形式应满足设计要求。</w:t>
      </w:r>
    </w:p>
    <w:p>
      <w:pPr>
        <w:pStyle w:val="41"/>
        <w:numPr>
          <w:ilvl w:val="1"/>
          <w:numId w:val="77"/>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导线应在接线盒内采用焊接、压接、接线端子可靠连接；</w:t>
      </w:r>
    </w:p>
    <w:p>
      <w:pPr>
        <w:pStyle w:val="41"/>
        <w:numPr>
          <w:ilvl w:val="1"/>
          <w:numId w:val="77"/>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可弯曲金属电气导管应入盒、盒外侧应套锁母，内侧应装护口；</w:t>
      </w:r>
    </w:p>
    <w:p>
      <w:pPr>
        <w:pStyle w:val="41"/>
        <w:numPr>
          <w:ilvl w:val="1"/>
          <w:numId w:val="77"/>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各类接线箱、接线盒、控制板的安装应符合设计要求；</w:t>
      </w:r>
    </w:p>
    <w:p>
      <w:pPr>
        <w:pStyle w:val="41"/>
        <w:numPr>
          <w:ilvl w:val="1"/>
          <w:numId w:val="77"/>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各类接线箱</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盒</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的安装应平整、牢固，面盖板开合灵活，外形和表面应完好；</w:t>
      </w:r>
    </w:p>
    <w:p>
      <w:pPr>
        <w:pStyle w:val="41"/>
        <w:numPr>
          <w:ilvl w:val="1"/>
          <w:numId w:val="77"/>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区间场所中设置的接线盒和导线的接头需要进行防腐蚀和防潮处理；接线盒是系统部件之间电气连接的主要配件，为保障系统部件整体电气连接的可靠性，接线盒的IP防护等级应与系统部件</w:t>
      </w:r>
      <w:r>
        <w:rPr>
          <w:rFonts w:hint="eastAsia" w:asciiTheme="minorEastAsia" w:hAnsiTheme="minorEastAsia" w:eastAsiaTheme="minorEastAsia"/>
          <w:color w:val="000000"/>
          <w:szCs w:val="21"/>
        </w:rPr>
        <w:t>等</w:t>
      </w:r>
      <w:r>
        <w:rPr>
          <w:rFonts w:hint="eastAsia" w:asciiTheme="minorEastAsia" w:hAnsiTheme="minorEastAsia" w:eastAsiaTheme="minorEastAsia"/>
          <w:szCs w:val="21"/>
        </w:rPr>
        <w:t>同要求。</w:t>
      </w:r>
    </w:p>
    <w:p>
      <w:pPr>
        <w:pStyle w:val="41"/>
        <w:numPr>
          <w:ilvl w:val="0"/>
          <w:numId w:val="6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套接紧定式（JDG）钢导管敷设应符合下列要求：</w:t>
      </w:r>
    </w:p>
    <w:p>
      <w:pPr>
        <w:pStyle w:val="41"/>
        <w:numPr>
          <w:ilvl w:val="1"/>
          <w:numId w:val="7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钢导管不应敷设于建筑物、构筑物的地基或设备混凝土基础内；</w:t>
      </w:r>
    </w:p>
    <w:p>
      <w:pPr>
        <w:pStyle w:val="41"/>
        <w:numPr>
          <w:ilvl w:val="1"/>
          <w:numId w:val="7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导管弯曲敷设时，管材弯曲部分的弧度均匀，不应有皱褶、凹陷、裂纹、死弯现象；</w:t>
      </w:r>
    </w:p>
    <w:p>
      <w:pPr>
        <w:pStyle w:val="41"/>
        <w:numPr>
          <w:ilvl w:val="1"/>
          <w:numId w:val="7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导管经过建筑物的变形缝、伸缩缝处，应采取补偿措施；</w:t>
      </w:r>
    </w:p>
    <w:p>
      <w:pPr>
        <w:pStyle w:val="41"/>
        <w:numPr>
          <w:ilvl w:val="1"/>
          <w:numId w:val="7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导管明敷设时，固定点与终端、弯头中点、电气器具或盒（箱）体边缘的距离为150～</w:t>
      </w:r>
      <w:r>
        <w:rPr>
          <w:rFonts w:hint="eastAsia" w:asciiTheme="minorEastAsia" w:hAnsiTheme="minorEastAsia" w:eastAsiaTheme="minorEastAsia"/>
          <w:color w:val="000000"/>
          <w:szCs w:val="21"/>
        </w:rPr>
        <w:t>300</w:t>
      </w:r>
      <w:r>
        <w:rPr>
          <w:rFonts w:hint="eastAsia" w:cs="仿宋" w:asciiTheme="minorEastAsia" w:hAnsiTheme="minorEastAsia" w:eastAsiaTheme="minorEastAsia"/>
          <w:color w:val="000000"/>
          <w:spacing w:val="0"/>
          <w:w w:val="15"/>
          <w:kern w:val="0"/>
          <w:szCs w:val="21"/>
          <w:fitText w:val="42" w:id="62985211"/>
        </w:rPr>
        <w:t xml:space="preserve">　 </w:t>
      </w:r>
      <w:r>
        <w:rPr>
          <w:rFonts w:hint="eastAsia" w:cs="仿宋" w:asciiTheme="minorEastAsia" w:hAnsiTheme="minorEastAsia" w:eastAsiaTheme="minorEastAsia"/>
          <w:color w:val="000000"/>
          <w:spacing w:val="-17"/>
          <w:w w:val="15"/>
          <w:kern w:val="0"/>
          <w:szCs w:val="21"/>
          <w:fitText w:val="42" w:id="62985211"/>
        </w:rPr>
        <w:t>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w:t>
      </w:r>
    </w:p>
    <w:p>
      <w:pPr>
        <w:pStyle w:val="41"/>
        <w:numPr>
          <w:ilvl w:val="1"/>
          <w:numId w:val="7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套接紧定式导管管路连接处</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管材插入连接件时</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插入部分的管端应保持清洁，且应采取防止外力冲击的有效措施。管路连接处宜涂以电力复合脂等有效的封堵措施。</w:t>
      </w:r>
    </w:p>
    <w:p>
      <w:pPr>
        <w:pStyle w:val="41"/>
        <w:numPr>
          <w:ilvl w:val="0"/>
          <w:numId w:val="6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color w:val="000000"/>
          <w:szCs w:val="21"/>
        </w:rPr>
        <w:t>暗</w:t>
      </w:r>
      <w:r>
        <w:rPr>
          <w:rFonts w:hint="eastAsia" w:asciiTheme="minorEastAsia" w:hAnsiTheme="minorEastAsia" w:eastAsiaTheme="minorEastAsia"/>
          <w:szCs w:val="21"/>
        </w:rPr>
        <w:t>配非镀锌金属导管套管连接时，套管长度为连接管径的1.5倍～3倍；连接管的对口处应在套管长度的中心，焊口应牢固严密。</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检查数量：按每个检验批的导管连接点或导管总数抽查10%，且各不得少于2处。</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检查方法：观察检查并查阅隐蔽工程检查记录。</w:t>
      </w:r>
    </w:p>
    <w:p>
      <w:pPr>
        <w:pStyle w:val="41"/>
        <w:numPr>
          <w:ilvl w:val="0"/>
          <w:numId w:val="67"/>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阻燃型塑料导管及其附件材料，不得在室外高温和易受机械损伤的场所敷设。</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检查数量：按每个检验批的导管总数抽查10%且不得少于1处。</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检查方法：观察检查并查阅记录。</w:t>
      </w:r>
    </w:p>
    <w:p>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107" w:name="_Toc136869077"/>
      <w:bookmarkStart w:id="108" w:name="_Toc137216236"/>
      <w:bookmarkStart w:id="109" w:name="_Toc136868042"/>
      <w:bookmarkStart w:id="110" w:name="_Toc124168147"/>
      <w:r>
        <w:rPr>
          <w:rFonts w:hint="eastAsia" w:asciiTheme="minorEastAsia" w:hAnsiTheme="minorEastAsia" w:eastAsiaTheme="minorEastAsia"/>
          <w:sz w:val="24"/>
          <w:szCs w:val="24"/>
        </w:rPr>
        <w:t>5</w:t>
      </w:r>
      <w:r>
        <w:rPr>
          <w:rFonts w:asciiTheme="minorEastAsia" w:hAnsiTheme="minorEastAsia" w:eastAsiaTheme="minorEastAsia"/>
          <w:sz w:val="24"/>
          <w:szCs w:val="24"/>
        </w:rPr>
        <w:t xml:space="preserve">.4 </w:t>
      </w:r>
      <w:r>
        <w:rPr>
          <w:rFonts w:hint="eastAsia" w:asciiTheme="minorEastAsia" w:hAnsiTheme="minorEastAsia" w:eastAsiaTheme="minorEastAsia"/>
          <w:sz w:val="24"/>
          <w:szCs w:val="24"/>
        </w:rPr>
        <w:t>电缆敷设</w:t>
      </w:r>
      <w:bookmarkEnd w:id="107"/>
      <w:bookmarkEnd w:id="108"/>
      <w:bookmarkEnd w:id="109"/>
      <w:bookmarkEnd w:id="110"/>
    </w:p>
    <w:p>
      <w:pPr>
        <w:pStyle w:val="4"/>
        <w:spacing w:before="120" w:beforeLines="50" w:after="120" w:afterLines="50"/>
        <w:ind w:left="3570"/>
        <w:jc w:val="both"/>
        <w:rPr>
          <w:rFonts w:asciiTheme="minorEastAsia" w:hAnsiTheme="minorEastAsia" w:eastAsiaTheme="minorEastAsia"/>
          <w:sz w:val="21"/>
          <w:szCs w:val="21"/>
        </w:rPr>
      </w:pPr>
      <w:r>
        <w:t>I</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主控项目</w:t>
      </w:r>
    </w:p>
    <w:p>
      <w:pPr>
        <w:pStyle w:val="41"/>
        <w:numPr>
          <w:ilvl w:val="0"/>
          <w:numId w:val="79"/>
        </w:numPr>
        <w:spacing w:line="360" w:lineRule="auto"/>
        <w:ind w:left="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金属电缆支架必须与保护导体可靠连接且固定牢靠。</w:t>
      </w:r>
    </w:p>
    <w:p>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检查数量：明敷的全数检查，暗敷的按每个检验批抽查20%，且不得少于2处。</w:t>
      </w:r>
    </w:p>
    <w:p>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检查方法：观察检查并查阅隐蔽工程检查记录。</w:t>
      </w:r>
    </w:p>
    <w:p>
      <w:pPr>
        <w:pStyle w:val="41"/>
        <w:numPr>
          <w:ilvl w:val="0"/>
          <w:numId w:val="79"/>
        </w:numPr>
        <w:spacing w:line="360" w:lineRule="auto"/>
        <w:ind w:left="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电缆敷设不得存在绞拧、铠装压扁、保护层断裂和表面严重划伤等缺陷。</w:t>
      </w:r>
    </w:p>
    <w:p>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检查数量：全数检查。</w:t>
      </w:r>
    </w:p>
    <w:p>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检查方法：观察检查。</w:t>
      </w:r>
    </w:p>
    <w:p>
      <w:pPr>
        <w:pStyle w:val="41"/>
        <w:numPr>
          <w:ilvl w:val="0"/>
          <w:numId w:val="79"/>
        </w:numPr>
        <w:spacing w:line="360" w:lineRule="auto"/>
        <w:ind w:left="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当电缆敷设存在可能受到机械外力损伤、振动、浸水及腐蚀性或污染物质等损害时，应采取防护措施。</w:t>
      </w:r>
    </w:p>
    <w:p>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检查数量：全数检查。</w:t>
      </w:r>
    </w:p>
    <w:p>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检查方法：观察检查。</w:t>
      </w:r>
    </w:p>
    <w:p>
      <w:pPr>
        <w:pStyle w:val="41"/>
        <w:numPr>
          <w:ilvl w:val="0"/>
          <w:numId w:val="79"/>
        </w:numPr>
        <w:spacing w:line="360" w:lineRule="auto"/>
        <w:ind w:left="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除设计要求外，并联使用的电力电缆的型号、规格、长度应相同。</w:t>
      </w:r>
    </w:p>
    <w:p>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检查数量：全数检查。</w:t>
      </w:r>
    </w:p>
    <w:p>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检查方法：核对设计图观察检查。</w:t>
      </w:r>
    </w:p>
    <w:p>
      <w:pPr>
        <w:pStyle w:val="41"/>
        <w:numPr>
          <w:ilvl w:val="0"/>
          <w:numId w:val="79"/>
        </w:numPr>
        <w:spacing w:line="360" w:lineRule="auto"/>
        <w:ind w:left="0" w:firstLine="0" w:firstLineChars="0"/>
        <w:rPr>
          <w:rFonts w:cs="仿宋" w:asciiTheme="minorEastAsia" w:hAnsiTheme="minorEastAsia" w:eastAsiaTheme="minorEastAsia"/>
          <w:szCs w:val="21"/>
        </w:rPr>
      </w:pPr>
      <w:r>
        <w:rPr>
          <w:rFonts w:hint="eastAsia" w:asciiTheme="minorEastAsia" w:hAnsiTheme="minorEastAsia" w:eastAsiaTheme="minorEastAsia"/>
          <w:szCs w:val="21"/>
        </w:rPr>
        <w:t>交流</w:t>
      </w:r>
      <w:r>
        <w:rPr>
          <w:rFonts w:hint="eastAsia" w:cs="仿宋" w:asciiTheme="minorEastAsia" w:hAnsiTheme="minorEastAsia" w:eastAsiaTheme="minorEastAsia"/>
          <w:szCs w:val="21"/>
        </w:rPr>
        <w:t>单芯电缆或分相后的每相电缆不得单根独穿于钢导管内，且固定用的夹具和支架不应形成闭合磁路。</w:t>
      </w:r>
    </w:p>
    <w:p>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检查数量：全数检查。</w:t>
      </w:r>
    </w:p>
    <w:p>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检查方法：核对设计图观察检查。</w:t>
      </w:r>
    </w:p>
    <w:p>
      <w:pPr>
        <w:pStyle w:val="41"/>
        <w:numPr>
          <w:ilvl w:val="0"/>
          <w:numId w:val="79"/>
        </w:numPr>
        <w:spacing w:line="360" w:lineRule="auto"/>
        <w:ind w:left="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当电缆穿过零序电流互感器时，电缆金属护层和接地线应对地绝缘。对穿过零序电流互感器后制作的电缆头，其电缆接地线应回穿互感器后接地；对尚未穿过零序电流互感器的电缆接地线应在零序电流互感器前直接接地。</w:t>
      </w:r>
    </w:p>
    <w:p>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检查数量：按电缆穿过零序电流互感器的总数抽查5%，且不得少于1处。</w:t>
      </w:r>
    </w:p>
    <w:p>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检查方法：观察检查。</w:t>
      </w:r>
    </w:p>
    <w:p>
      <w:pPr>
        <w:pStyle w:val="4"/>
        <w:spacing w:before="120" w:beforeLines="50" w:after="120" w:afterLines="50"/>
        <w:ind w:left="3570"/>
        <w:jc w:val="both"/>
        <w:rPr>
          <w:rFonts w:asciiTheme="minorEastAsia" w:hAnsiTheme="minorEastAsia" w:eastAsiaTheme="minorEastAsia"/>
          <w:sz w:val="21"/>
          <w:szCs w:val="21"/>
        </w:rPr>
      </w:pPr>
      <w:r>
        <w:t>Ⅱ</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一般项目</w:t>
      </w:r>
    </w:p>
    <w:p>
      <w:pPr>
        <w:pStyle w:val="41"/>
        <w:numPr>
          <w:ilvl w:val="0"/>
          <w:numId w:val="79"/>
        </w:numPr>
        <w:spacing w:line="360" w:lineRule="auto"/>
        <w:ind w:left="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电缆支架安装应符合下列规定：</w:t>
      </w:r>
    </w:p>
    <w:p>
      <w:pPr>
        <w:pStyle w:val="41"/>
        <w:numPr>
          <w:ilvl w:val="1"/>
          <w:numId w:val="80"/>
        </w:num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rPr>
        <w:t>除设计要求外，承力建筑钢结构构件上不得熔焊支架，且不得采用气焊、电焊等热加工开孔；</w:t>
      </w:r>
    </w:p>
    <w:p>
      <w:pPr>
        <w:pStyle w:val="41"/>
        <w:numPr>
          <w:ilvl w:val="1"/>
          <w:numId w:val="80"/>
        </w:num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rPr>
        <w:t>当设计无要求时，电缆支架层间最小距离不应小于表5.4.7-1的规定，层间净距不应小于2倍电缆外径加</w:t>
      </w:r>
      <w:r>
        <w:rPr>
          <w:rFonts w:hint="eastAsia" w:cs="仿宋" w:asciiTheme="minorEastAsia" w:hAnsiTheme="minorEastAsia" w:eastAsiaTheme="minorEastAsia"/>
          <w:color w:val="000000"/>
          <w:szCs w:val="21"/>
        </w:rPr>
        <w:t>10</w:t>
      </w:r>
      <w:r>
        <w:rPr>
          <w:rFonts w:hint="eastAsia" w:cs="仿宋" w:asciiTheme="minorEastAsia" w:hAnsiTheme="minorEastAsia" w:eastAsiaTheme="minorEastAsia"/>
          <w:color w:val="000000"/>
          <w:spacing w:val="0"/>
          <w:w w:val="15"/>
          <w:kern w:val="0"/>
          <w:szCs w:val="21"/>
          <w:fitText w:val="42" w:id="677333772"/>
        </w:rPr>
        <w:t xml:space="preserve">　 </w:t>
      </w:r>
      <w:r>
        <w:rPr>
          <w:rFonts w:hint="eastAsia" w:cs="仿宋" w:asciiTheme="minorEastAsia" w:hAnsiTheme="minorEastAsia" w:eastAsiaTheme="minorEastAsia"/>
          <w:color w:val="000000"/>
          <w:spacing w:val="-17"/>
          <w:w w:val="15"/>
          <w:kern w:val="0"/>
          <w:szCs w:val="21"/>
          <w:fitText w:val="42" w:id="677333772"/>
        </w:rPr>
        <w:t>　</w:t>
      </w:r>
      <w:r>
        <w:rPr>
          <w:rFonts w:hint="eastAsia" w:cs="仿宋" w:asciiTheme="minorEastAsia" w:hAnsiTheme="minorEastAsia" w:eastAsiaTheme="minorEastAsia"/>
          <w:color w:val="000000"/>
          <w:szCs w:val="21"/>
        </w:rPr>
        <w:t>mm</w:t>
      </w:r>
      <w:r>
        <w:rPr>
          <w:rFonts w:hint="eastAsia" w:cs="仿宋" w:asciiTheme="minorEastAsia" w:hAnsiTheme="minorEastAsia" w:eastAsiaTheme="minorEastAsia"/>
          <w:szCs w:val="21"/>
        </w:rPr>
        <w:t>，</w:t>
      </w:r>
      <w:r>
        <w:rPr>
          <w:rFonts w:hint="eastAsia" w:cs="仿宋" w:asciiTheme="minorEastAsia" w:hAnsiTheme="minorEastAsia" w:eastAsiaTheme="minorEastAsia"/>
          <w:color w:val="000000"/>
          <w:szCs w:val="21"/>
        </w:rPr>
        <w:t>35</w:t>
      </w:r>
      <w:r>
        <w:rPr>
          <w:rFonts w:hint="eastAsia" w:cs="仿宋" w:asciiTheme="minorEastAsia" w:hAnsiTheme="minorEastAsia" w:eastAsiaTheme="minorEastAsia"/>
          <w:color w:val="000000"/>
          <w:spacing w:val="0"/>
          <w:w w:val="15"/>
          <w:kern w:val="0"/>
          <w:szCs w:val="21"/>
          <w:fitText w:val="42" w:id="585239659"/>
        </w:rPr>
        <w:t xml:space="preserve">　 </w:t>
      </w:r>
      <w:r>
        <w:rPr>
          <w:rFonts w:hint="eastAsia" w:cs="仿宋" w:asciiTheme="minorEastAsia" w:hAnsiTheme="minorEastAsia" w:eastAsiaTheme="minorEastAsia"/>
          <w:color w:val="000000"/>
          <w:spacing w:val="-17"/>
          <w:w w:val="15"/>
          <w:kern w:val="0"/>
          <w:szCs w:val="21"/>
          <w:fitText w:val="42" w:id="585239659"/>
        </w:rPr>
        <w:t>　</w:t>
      </w:r>
      <w:r>
        <w:rPr>
          <w:rFonts w:hint="eastAsia" w:cs="仿宋" w:asciiTheme="minorEastAsia" w:hAnsiTheme="minorEastAsia" w:eastAsiaTheme="minorEastAsia"/>
          <w:color w:val="000000"/>
          <w:szCs w:val="21"/>
        </w:rPr>
        <w:t>kV</w:t>
      </w:r>
      <w:r>
        <w:rPr>
          <w:rFonts w:hint="eastAsia" w:cs="仿宋" w:asciiTheme="minorEastAsia" w:hAnsiTheme="minorEastAsia" w:eastAsiaTheme="minorEastAsia"/>
          <w:szCs w:val="21"/>
        </w:rPr>
        <w:t>电缆不应小于2倍电缆外径加</w:t>
      </w:r>
      <w:r>
        <w:rPr>
          <w:rFonts w:hint="eastAsia" w:cs="仿宋" w:asciiTheme="minorEastAsia" w:hAnsiTheme="minorEastAsia" w:eastAsiaTheme="minorEastAsia"/>
          <w:color w:val="000000"/>
          <w:szCs w:val="21"/>
        </w:rPr>
        <w:t>50</w:t>
      </w:r>
      <w:r>
        <w:rPr>
          <w:rFonts w:hint="eastAsia" w:cs="仿宋" w:asciiTheme="minorEastAsia" w:hAnsiTheme="minorEastAsia" w:eastAsiaTheme="minorEastAsia"/>
          <w:color w:val="000000"/>
          <w:spacing w:val="0"/>
          <w:w w:val="15"/>
          <w:kern w:val="0"/>
          <w:szCs w:val="21"/>
          <w:fitText w:val="42" w:id="130356235"/>
        </w:rPr>
        <w:t xml:space="preserve">　 </w:t>
      </w:r>
      <w:r>
        <w:rPr>
          <w:rFonts w:hint="eastAsia" w:cs="仿宋" w:asciiTheme="minorEastAsia" w:hAnsiTheme="minorEastAsia" w:eastAsiaTheme="minorEastAsia"/>
          <w:color w:val="000000"/>
          <w:spacing w:val="-17"/>
          <w:w w:val="15"/>
          <w:kern w:val="0"/>
          <w:szCs w:val="21"/>
          <w:fitText w:val="42" w:id="130356235"/>
        </w:rPr>
        <w:t>　</w:t>
      </w:r>
      <w:r>
        <w:rPr>
          <w:rFonts w:hint="eastAsia" w:cs="仿宋" w:asciiTheme="minorEastAsia" w:hAnsiTheme="minorEastAsia" w:eastAsiaTheme="minorEastAsia"/>
          <w:color w:val="000000"/>
          <w:szCs w:val="21"/>
        </w:rPr>
        <w:t>mm</w:t>
      </w:r>
      <w:r>
        <w:rPr>
          <w:rFonts w:hint="eastAsia" w:cs="仿宋" w:asciiTheme="minorEastAsia" w:hAnsiTheme="minorEastAsia" w:eastAsiaTheme="minorEastAsia"/>
          <w:szCs w:val="21"/>
        </w:rPr>
        <w:t>；</w:t>
      </w:r>
    </w:p>
    <w:p>
      <w:pPr>
        <w:spacing w:line="360" w:lineRule="auto"/>
        <w:jc w:val="center"/>
        <w:rPr>
          <w:rFonts w:ascii="黑体" w:hAnsi="黑体" w:eastAsia="黑体" w:cs="仿宋"/>
          <w:szCs w:val="21"/>
        </w:rPr>
      </w:pPr>
      <w:r>
        <w:rPr>
          <w:rFonts w:hint="eastAsia" w:ascii="黑体" w:hAnsi="黑体" w:eastAsia="黑体" w:cs="仿宋"/>
          <w:szCs w:val="21"/>
        </w:rPr>
        <w:t>表5.4.</w:t>
      </w:r>
      <w:r>
        <w:rPr>
          <w:rFonts w:ascii="黑体" w:hAnsi="黑体" w:eastAsia="黑体" w:cs="仿宋"/>
          <w:szCs w:val="21"/>
        </w:rPr>
        <w:t>7</w:t>
      </w:r>
      <w:r>
        <w:rPr>
          <w:rFonts w:hint="eastAsia" w:ascii="黑体" w:hAnsi="黑体" w:eastAsia="黑体" w:cs="仿宋"/>
          <w:szCs w:val="21"/>
        </w:rPr>
        <w:t>-1 电缆支架层间最小距离（mm）</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032"/>
        <w:gridCol w:w="3557"/>
        <w:gridCol w:w="1993"/>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4589" w:type="dxa"/>
            <w:gridSpan w:val="2"/>
            <w:shd w:val="clear" w:color="auto" w:fill="FFFFFF" w:themeFill="background1"/>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电缆种类</w:t>
            </w:r>
          </w:p>
        </w:tc>
        <w:tc>
          <w:tcPr>
            <w:tcW w:w="1993" w:type="dxa"/>
            <w:shd w:val="clear" w:color="auto" w:fill="FFFFFF" w:themeFill="background1"/>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支架上敷设</w:t>
            </w:r>
          </w:p>
        </w:tc>
        <w:tc>
          <w:tcPr>
            <w:tcW w:w="1946" w:type="dxa"/>
            <w:shd w:val="clear" w:color="auto" w:fill="FFFFFF" w:themeFill="background1"/>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梯架、托盘内敷设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4589" w:type="dxa"/>
            <w:gridSpan w:val="2"/>
            <w:shd w:val="clear" w:color="auto" w:fill="FFFFFF" w:themeFill="background1"/>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控制电缆明敷</w:t>
            </w:r>
          </w:p>
        </w:tc>
        <w:tc>
          <w:tcPr>
            <w:tcW w:w="1993" w:type="dxa"/>
            <w:shd w:val="clear" w:color="auto" w:fill="FFFFFF" w:themeFill="background1"/>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120</w:t>
            </w:r>
          </w:p>
        </w:tc>
        <w:tc>
          <w:tcPr>
            <w:tcW w:w="1946" w:type="dxa"/>
            <w:shd w:val="clear" w:color="auto" w:fill="FFFFFF" w:themeFill="background1"/>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032" w:type="dxa"/>
            <w:shd w:val="clear" w:color="auto" w:fill="FFFFFF" w:themeFill="background1"/>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电力电缆明敷</w:t>
            </w:r>
          </w:p>
        </w:tc>
        <w:tc>
          <w:tcPr>
            <w:tcW w:w="3557" w:type="dxa"/>
            <w:shd w:val="clear" w:color="auto" w:fill="FFFFFF" w:themeFill="background1"/>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color w:val="000000"/>
                <w:szCs w:val="21"/>
              </w:rPr>
              <w:t>10</w:t>
            </w:r>
            <w:r>
              <w:rPr>
                <w:rFonts w:hint="eastAsia" w:cs="仿宋" w:asciiTheme="minorEastAsia" w:hAnsiTheme="minorEastAsia" w:eastAsiaTheme="minorEastAsia"/>
                <w:color w:val="000000"/>
                <w:spacing w:val="0"/>
                <w:w w:val="15"/>
                <w:kern w:val="0"/>
                <w:szCs w:val="21"/>
                <w:fitText w:val="42" w:id="1235778665"/>
              </w:rPr>
              <w:t xml:space="preserve">　 </w:t>
            </w:r>
            <w:r>
              <w:rPr>
                <w:rFonts w:hint="eastAsia" w:cs="仿宋" w:asciiTheme="minorEastAsia" w:hAnsiTheme="minorEastAsia" w:eastAsiaTheme="minorEastAsia"/>
                <w:color w:val="000000"/>
                <w:spacing w:val="-17"/>
                <w:w w:val="15"/>
                <w:kern w:val="0"/>
                <w:szCs w:val="21"/>
                <w:fitText w:val="42" w:id="1235778665"/>
              </w:rPr>
              <w:t>　</w:t>
            </w:r>
            <w:r>
              <w:rPr>
                <w:rFonts w:hint="eastAsia" w:cs="仿宋" w:asciiTheme="minorEastAsia" w:hAnsiTheme="minorEastAsia" w:eastAsiaTheme="minorEastAsia"/>
                <w:color w:val="000000"/>
                <w:szCs w:val="21"/>
              </w:rPr>
              <w:t>kV</w:t>
            </w:r>
            <w:r>
              <w:rPr>
                <w:rFonts w:hint="eastAsia" w:cs="仿宋" w:asciiTheme="minorEastAsia" w:hAnsiTheme="minorEastAsia" w:eastAsiaTheme="minorEastAsia"/>
                <w:szCs w:val="21"/>
              </w:rPr>
              <w:t>及以下电力电缆</w:t>
            </w:r>
          </w:p>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（除</w:t>
            </w:r>
            <w:r>
              <w:rPr>
                <w:rFonts w:hint="eastAsia" w:cs="仿宋" w:asciiTheme="minorEastAsia" w:hAnsiTheme="minorEastAsia" w:eastAsiaTheme="minorEastAsia"/>
                <w:color w:val="000000"/>
                <w:szCs w:val="21"/>
              </w:rPr>
              <w:t>6</w:t>
            </w:r>
            <w:r>
              <w:rPr>
                <w:rFonts w:hint="eastAsia" w:cs="仿宋" w:asciiTheme="minorEastAsia" w:hAnsiTheme="minorEastAsia" w:eastAsiaTheme="minorEastAsia"/>
                <w:color w:val="000000"/>
                <w:spacing w:val="0"/>
                <w:w w:val="15"/>
                <w:kern w:val="0"/>
                <w:szCs w:val="21"/>
                <w:fitText w:val="42" w:id="888026272"/>
              </w:rPr>
              <w:t xml:space="preserve">　 </w:t>
            </w:r>
            <w:r>
              <w:rPr>
                <w:rFonts w:hint="eastAsia" w:cs="仿宋" w:asciiTheme="minorEastAsia" w:hAnsiTheme="minorEastAsia" w:eastAsiaTheme="minorEastAsia"/>
                <w:color w:val="000000"/>
                <w:spacing w:val="-17"/>
                <w:w w:val="15"/>
                <w:kern w:val="0"/>
                <w:szCs w:val="21"/>
                <w:fitText w:val="42" w:id="888026272"/>
              </w:rPr>
              <w:t>　</w:t>
            </w:r>
            <w:r>
              <w:rPr>
                <w:rFonts w:hint="eastAsia" w:cs="仿宋" w:asciiTheme="minorEastAsia" w:hAnsiTheme="minorEastAsia" w:eastAsiaTheme="minorEastAsia"/>
                <w:color w:val="000000"/>
                <w:szCs w:val="21"/>
              </w:rPr>
              <w:t>kV</w:t>
            </w:r>
            <w:r>
              <w:rPr>
                <w:rFonts w:hint="eastAsia" w:cs="仿宋" w:asciiTheme="minorEastAsia" w:hAnsiTheme="minorEastAsia" w:eastAsiaTheme="minorEastAsia"/>
                <w:szCs w:val="21"/>
              </w:rPr>
              <w:t>-</w:t>
            </w:r>
            <w:r>
              <w:rPr>
                <w:rFonts w:hint="eastAsia" w:cs="仿宋" w:asciiTheme="minorEastAsia" w:hAnsiTheme="minorEastAsia" w:eastAsiaTheme="minorEastAsia"/>
                <w:color w:val="000000"/>
                <w:szCs w:val="21"/>
              </w:rPr>
              <w:t>10</w:t>
            </w:r>
            <w:r>
              <w:rPr>
                <w:rFonts w:hint="eastAsia" w:cs="仿宋" w:asciiTheme="minorEastAsia" w:hAnsiTheme="minorEastAsia" w:eastAsiaTheme="minorEastAsia"/>
                <w:color w:val="000000"/>
                <w:spacing w:val="0"/>
                <w:w w:val="15"/>
                <w:kern w:val="0"/>
                <w:szCs w:val="21"/>
                <w:fitText w:val="42" w:id="1917131850"/>
              </w:rPr>
              <w:t xml:space="preserve">　 </w:t>
            </w:r>
            <w:r>
              <w:rPr>
                <w:rFonts w:hint="eastAsia" w:cs="仿宋" w:asciiTheme="minorEastAsia" w:hAnsiTheme="minorEastAsia" w:eastAsiaTheme="minorEastAsia"/>
                <w:color w:val="000000"/>
                <w:spacing w:val="-17"/>
                <w:w w:val="15"/>
                <w:kern w:val="0"/>
                <w:szCs w:val="21"/>
                <w:fitText w:val="42" w:id="1917131850"/>
              </w:rPr>
              <w:t>　</w:t>
            </w:r>
            <w:r>
              <w:rPr>
                <w:rFonts w:hint="eastAsia" w:cs="仿宋" w:asciiTheme="minorEastAsia" w:hAnsiTheme="minorEastAsia" w:eastAsiaTheme="minorEastAsia"/>
                <w:color w:val="000000"/>
                <w:szCs w:val="21"/>
              </w:rPr>
              <w:t>kV</w:t>
            </w:r>
            <w:r>
              <w:rPr>
                <w:rFonts w:hint="eastAsia" w:cs="仿宋" w:asciiTheme="minorEastAsia" w:hAnsiTheme="minorEastAsia" w:eastAsiaTheme="minorEastAsia"/>
                <w:szCs w:val="21"/>
              </w:rPr>
              <w:t>交联聚乙烯电力电缆）</w:t>
            </w:r>
          </w:p>
        </w:tc>
        <w:tc>
          <w:tcPr>
            <w:tcW w:w="1993" w:type="dxa"/>
            <w:shd w:val="clear" w:color="auto" w:fill="FFFFFF" w:themeFill="background1"/>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150</w:t>
            </w:r>
          </w:p>
        </w:tc>
        <w:tc>
          <w:tcPr>
            <w:tcW w:w="1946" w:type="dxa"/>
            <w:shd w:val="clear" w:color="auto" w:fill="FFFFFF" w:themeFill="background1"/>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032" w:type="dxa"/>
            <w:shd w:val="clear" w:color="auto" w:fill="FFFFFF" w:themeFill="background1"/>
            <w:vAlign w:val="center"/>
          </w:tcPr>
          <w:p>
            <w:pPr>
              <w:spacing w:line="360" w:lineRule="auto"/>
              <w:jc w:val="center"/>
              <w:rPr>
                <w:rFonts w:cs="仿宋" w:asciiTheme="minorEastAsia" w:hAnsiTheme="minorEastAsia" w:eastAsiaTheme="minorEastAsia"/>
                <w:szCs w:val="21"/>
              </w:rPr>
            </w:pPr>
          </w:p>
        </w:tc>
        <w:tc>
          <w:tcPr>
            <w:tcW w:w="3557" w:type="dxa"/>
            <w:shd w:val="clear" w:color="auto" w:fill="FFFFFF" w:themeFill="background1"/>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color w:val="000000"/>
                <w:szCs w:val="21"/>
              </w:rPr>
              <w:t>6</w:t>
            </w:r>
            <w:r>
              <w:rPr>
                <w:rFonts w:hint="eastAsia" w:cs="仿宋" w:asciiTheme="minorEastAsia" w:hAnsiTheme="minorEastAsia" w:eastAsiaTheme="minorEastAsia"/>
                <w:color w:val="000000"/>
                <w:spacing w:val="0"/>
                <w:w w:val="15"/>
                <w:kern w:val="0"/>
                <w:szCs w:val="21"/>
                <w:fitText w:val="42" w:id="1345476993"/>
              </w:rPr>
              <w:t xml:space="preserve">　 </w:t>
            </w:r>
            <w:r>
              <w:rPr>
                <w:rFonts w:hint="eastAsia" w:cs="仿宋" w:asciiTheme="minorEastAsia" w:hAnsiTheme="minorEastAsia" w:eastAsiaTheme="minorEastAsia"/>
                <w:color w:val="000000"/>
                <w:spacing w:val="-17"/>
                <w:w w:val="15"/>
                <w:kern w:val="0"/>
                <w:szCs w:val="21"/>
                <w:fitText w:val="42" w:id="1345476993"/>
              </w:rPr>
              <w:t>　</w:t>
            </w:r>
            <w:r>
              <w:rPr>
                <w:rFonts w:hint="eastAsia" w:cs="仿宋" w:asciiTheme="minorEastAsia" w:hAnsiTheme="minorEastAsia" w:eastAsiaTheme="minorEastAsia"/>
                <w:color w:val="000000"/>
                <w:szCs w:val="21"/>
              </w:rPr>
              <w:t>kV</w:t>
            </w:r>
            <w:r>
              <w:rPr>
                <w:rFonts w:hint="eastAsia" w:cs="仿宋" w:asciiTheme="minorEastAsia" w:hAnsiTheme="minorEastAsia" w:eastAsiaTheme="minorEastAsia"/>
                <w:szCs w:val="21"/>
              </w:rPr>
              <w:t>-</w:t>
            </w:r>
            <w:r>
              <w:rPr>
                <w:rFonts w:hint="eastAsia" w:cs="仿宋" w:asciiTheme="minorEastAsia" w:hAnsiTheme="minorEastAsia" w:eastAsiaTheme="minorEastAsia"/>
                <w:color w:val="000000"/>
                <w:szCs w:val="21"/>
              </w:rPr>
              <w:t>10</w:t>
            </w:r>
            <w:r>
              <w:rPr>
                <w:rFonts w:hint="eastAsia" w:cs="仿宋" w:asciiTheme="minorEastAsia" w:hAnsiTheme="minorEastAsia" w:eastAsiaTheme="minorEastAsia"/>
                <w:color w:val="000000"/>
                <w:spacing w:val="0"/>
                <w:w w:val="15"/>
                <w:kern w:val="0"/>
                <w:szCs w:val="21"/>
                <w:fitText w:val="42" w:id="455739121"/>
              </w:rPr>
              <w:t xml:space="preserve">　 </w:t>
            </w:r>
            <w:r>
              <w:rPr>
                <w:rFonts w:hint="eastAsia" w:cs="仿宋" w:asciiTheme="minorEastAsia" w:hAnsiTheme="minorEastAsia" w:eastAsiaTheme="minorEastAsia"/>
                <w:color w:val="000000"/>
                <w:spacing w:val="-17"/>
                <w:w w:val="15"/>
                <w:kern w:val="0"/>
                <w:szCs w:val="21"/>
                <w:fitText w:val="42" w:id="455739121"/>
              </w:rPr>
              <w:t>　</w:t>
            </w:r>
            <w:r>
              <w:rPr>
                <w:rFonts w:hint="eastAsia" w:cs="仿宋" w:asciiTheme="minorEastAsia" w:hAnsiTheme="minorEastAsia" w:eastAsiaTheme="minorEastAsia"/>
                <w:color w:val="000000"/>
                <w:szCs w:val="21"/>
              </w:rPr>
              <w:t>kV</w:t>
            </w:r>
            <w:r>
              <w:rPr>
                <w:rFonts w:hint="eastAsia" w:cs="仿宋" w:asciiTheme="minorEastAsia" w:hAnsiTheme="minorEastAsia" w:eastAsiaTheme="minorEastAsia"/>
                <w:szCs w:val="21"/>
              </w:rPr>
              <w:t>交联聚乙烯电力电缆</w:t>
            </w:r>
          </w:p>
        </w:tc>
        <w:tc>
          <w:tcPr>
            <w:tcW w:w="1993" w:type="dxa"/>
            <w:shd w:val="clear" w:color="auto" w:fill="FFFFFF" w:themeFill="background1"/>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200</w:t>
            </w:r>
          </w:p>
        </w:tc>
        <w:tc>
          <w:tcPr>
            <w:tcW w:w="1946" w:type="dxa"/>
            <w:shd w:val="clear" w:color="auto" w:fill="FFFFFF" w:themeFill="background1"/>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032" w:type="dxa"/>
            <w:shd w:val="clear" w:color="auto" w:fill="FFFFFF" w:themeFill="background1"/>
            <w:vAlign w:val="center"/>
          </w:tcPr>
          <w:p>
            <w:pPr>
              <w:spacing w:line="360" w:lineRule="auto"/>
              <w:jc w:val="center"/>
              <w:rPr>
                <w:rFonts w:cs="仿宋" w:asciiTheme="minorEastAsia" w:hAnsiTheme="minorEastAsia" w:eastAsiaTheme="minorEastAsia"/>
                <w:szCs w:val="21"/>
              </w:rPr>
            </w:pPr>
          </w:p>
        </w:tc>
        <w:tc>
          <w:tcPr>
            <w:tcW w:w="3557" w:type="dxa"/>
            <w:shd w:val="clear" w:color="auto" w:fill="FFFFFF" w:themeFill="background1"/>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color w:val="000000"/>
                <w:szCs w:val="21"/>
              </w:rPr>
              <w:t>35</w:t>
            </w:r>
            <w:r>
              <w:rPr>
                <w:rFonts w:hint="eastAsia" w:cs="仿宋" w:asciiTheme="minorEastAsia" w:hAnsiTheme="minorEastAsia" w:eastAsiaTheme="minorEastAsia"/>
                <w:color w:val="000000"/>
                <w:spacing w:val="0"/>
                <w:w w:val="15"/>
                <w:kern w:val="0"/>
                <w:szCs w:val="21"/>
                <w:fitText w:val="42" w:id="1086606371"/>
              </w:rPr>
              <w:t xml:space="preserve">　 </w:t>
            </w:r>
            <w:r>
              <w:rPr>
                <w:rFonts w:hint="eastAsia" w:cs="仿宋" w:asciiTheme="minorEastAsia" w:hAnsiTheme="minorEastAsia" w:eastAsiaTheme="minorEastAsia"/>
                <w:color w:val="000000"/>
                <w:spacing w:val="-17"/>
                <w:w w:val="15"/>
                <w:kern w:val="0"/>
                <w:szCs w:val="21"/>
                <w:fitText w:val="42" w:id="1086606371"/>
              </w:rPr>
              <w:t>　</w:t>
            </w:r>
            <w:r>
              <w:rPr>
                <w:rFonts w:hint="eastAsia" w:cs="仿宋" w:asciiTheme="minorEastAsia" w:hAnsiTheme="minorEastAsia" w:eastAsiaTheme="minorEastAsia"/>
                <w:color w:val="000000"/>
                <w:szCs w:val="21"/>
              </w:rPr>
              <w:t>kV</w:t>
            </w:r>
            <w:r>
              <w:rPr>
                <w:rFonts w:hint="eastAsia" w:cs="仿宋" w:asciiTheme="minorEastAsia" w:hAnsiTheme="minorEastAsia" w:eastAsiaTheme="minorEastAsia"/>
                <w:szCs w:val="21"/>
              </w:rPr>
              <w:t>单芯电力电缆</w:t>
            </w:r>
          </w:p>
        </w:tc>
        <w:tc>
          <w:tcPr>
            <w:tcW w:w="1993" w:type="dxa"/>
            <w:shd w:val="clear" w:color="auto" w:fill="FFFFFF" w:themeFill="background1"/>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250</w:t>
            </w:r>
          </w:p>
        </w:tc>
        <w:tc>
          <w:tcPr>
            <w:tcW w:w="1946" w:type="dxa"/>
            <w:shd w:val="clear" w:color="auto" w:fill="FFFFFF" w:themeFill="background1"/>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032" w:type="dxa"/>
            <w:shd w:val="clear" w:color="auto" w:fill="FFFFFF" w:themeFill="background1"/>
            <w:vAlign w:val="center"/>
          </w:tcPr>
          <w:p>
            <w:pPr>
              <w:spacing w:line="360" w:lineRule="auto"/>
              <w:jc w:val="center"/>
              <w:rPr>
                <w:rFonts w:cs="仿宋" w:asciiTheme="minorEastAsia" w:hAnsiTheme="minorEastAsia" w:eastAsiaTheme="minorEastAsia"/>
                <w:szCs w:val="21"/>
              </w:rPr>
            </w:pPr>
          </w:p>
        </w:tc>
        <w:tc>
          <w:tcPr>
            <w:tcW w:w="3557" w:type="dxa"/>
            <w:shd w:val="clear" w:color="auto" w:fill="FFFFFF" w:themeFill="background1"/>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color w:val="000000"/>
                <w:szCs w:val="21"/>
              </w:rPr>
              <w:t>35</w:t>
            </w:r>
            <w:r>
              <w:rPr>
                <w:rFonts w:hint="eastAsia" w:cs="仿宋" w:asciiTheme="minorEastAsia" w:hAnsiTheme="minorEastAsia" w:eastAsiaTheme="minorEastAsia"/>
                <w:color w:val="000000"/>
                <w:spacing w:val="0"/>
                <w:w w:val="15"/>
                <w:kern w:val="0"/>
                <w:szCs w:val="21"/>
                <w:fitText w:val="42" w:id="459214282"/>
              </w:rPr>
              <w:t xml:space="preserve">　 </w:t>
            </w:r>
            <w:r>
              <w:rPr>
                <w:rFonts w:hint="eastAsia" w:cs="仿宋" w:asciiTheme="minorEastAsia" w:hAnsiTheme="minorEastAsia" w:eastAsiaTheme="minorEastAsia"/>
                <w:color w:val="000000"/>
                <w:spacing w:val="-17"/>
                <w:w w:val="15"/>
                <w:kern w:val="0"/>
                <w:szCs w:val="21"/>
                <w:fitText w:val="42" w:id="459214282"/>
              </w:rPr>
              <w:t>　</w:t>
            </w:r>
            <w:r>
              <w:rPr>
                <w:rFonts w:hint="eastAsia" w:cs="仿宋" w:asciiTheme="minorEastAsia" w:hAnsiTheme="minorEastAsia" w:eastAsiaTheme="minorEastAsia"/>
                <w:color w:val="000000"/>
                <w:szCs w:val="21"/>
              </w:rPr>
              <w:t>kV</w:t>
            </w:r>
            <w:r>
              <w:rPr>
                <w:rFonts w:hint="eastAsia" w:cs="仿宋" w:asciiTheme="minorEastAsia" w:hAnsiTheme="minorEastAsia" w:eastAsiaTheme="minorEastAsia"/>
                <w:szCs w:val="21"/>
              </w:rPr>
              <w:t>三芯电力电缆</w:t>
            </w:r>
          </w:p>
        </w:tc>
        <w:tc>
          <w:tcPr>
            <w:tcW w:w="1993" w:type="dxa"/>
            <w:shd w:val="clear" w:color="auto" w:fill="FFFFFF" w:themeFill="background1"/>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300</w:t>
            </w:r>
          </w:p>
        </w:tc>
        <w:tc>
          <w:tcPr>
            <w:tcW w:w="1946" w:type="dxa"/>
            <w:shd w:val="clear" w:color="auto" w:fill="FFFFFF" w:themeFill="background1"/>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4589" w:type="dxa"/>
            <w:gridSpan w:val="2"/>
            <w:shd w:val="clear" w:color="auto" w:fill="FFFFFF" w:themeFill="background1"/>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电缆敷设在槽盒内</w:t>
            </w:r>
          </w:p>
        </w:tc>
        <w:tc>
          <w:tcPr>
            <w:tcW w:w="3939" w:type="dxa"/>
            <w:gridSpan w:val="2"/>
            <w:shd w:val="clear" w:color="auto" w:fill="FFFFFF" w:themeFill="background1"/>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h+100</w:t>
            </w:r>
          </w:p>
        </w:tc>
      </w:tr>
    </w:tbl>
    <w:p>
      <w:pPr>
        <w:spacing w:line="360" w:lineRule="auto"/>
        <w:jc w:val="center"/>
        <w:rPr>
          <w:rFonts w:cs="仿宋" w:asciiTheme="minorEastAsia" w:hAnsiTheme="minorEastAsia" w:eastAsiaTheme="minorEastAsia"/>
          <w:szCs w:val="21"/>
        </w:rPr>
      </w:pPr>
    </w:p>
    <w:p>
      <w:pPr>
        <w:pStyle w:val="41"/>
        <w:numPr>
          <w:ilvl w:val="1"/>
          <w:numId w:val="80"/>
        </w:num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rPr>
        <w:t>最上层电缆支架距构筑物顶板或梁底的最小净距应满足电缆引接至上方配电柜、台、箱、盘时电缆弯曲半径的要求，且不宜小于表5.4.7-1所列数再加</w:t>
      </w:r>
      <w:r>
        <w:rPr>
          <w:rFonts w:hint="eastAsia" w:cs="仿宋" w:asciiTheme="minorEastAsia" w:hAnsiTheme="minorEastAsia" w:eastAsiaTheme="minorEastAsia"/>
          <w:color w:val="000000"/>
          <w:szCs w:val="21"/>
        </w:rPr>
        <w:t>80</w:t>
      </w:r>
      <w:r>
        <w:rPr>
          <w:rFonts w:hint="eastAsia" w:cs="仿宋" w:asciiTheme="minorEastAsia" w:hAnsiTheme="minorEastAsia" w:eastAsiaTheme="minorEastAsia"/>
          <w:color w:val="000000"/>
          <w:spacing w:val="0"/>
          <w:w w:val="15"/>
          <w:kern w:val="0"/>
          <w:szCs w:val="21"/>
          <w:fitText w:val="42" w:id="1696344402"/>
        </w:rPr>
        <w:t xml:space="preserve">　 </w:t>
      </w:r>
      <w:r>
        <w:rPr>
          <w:rFonts w:hint="eastAsia" w:cs="仿宋" w:asciiTheme="minorEastAsia" w:hAnsiTheme="minorEastAsia" w:eastAsiaTheme="minorEastAsia"/>
          <w:color w:val="000000"/>
          <w:spacing w:val="-17"/>
          <w:w w:val="15"/>
          <w:kern w:val="0"/>
          <w:szCs w:val="21"/>
          <w:fitText w:val="42" w:id="1696344402"/>
        </w:rPr>
        <w:t>　</w:t>
      </w:r>
      <w:r>
        <w:rPr>
          <w:rFonts w:hint="eastAsia" w:cs="仿宋" w:asciiTheme="minorEastAsia" w:hAnsiTheme="minorEastAsia" w:eastAsiaTheme="minorEastAsia"/>
          <w:color w:val="000000"/>
          <w:szCs w:val="21"/>
        </w:rPr>
        <w:t>mm</w:t>
      </w:r>
      <w:r>
        <w:rPr>
          <w:rFonts w:hint="eastAsia" w:cs="仿宋" w:asciiTheme="minorEastAsia" w:hAnsiTheme="minorEastAsia" w:eastAsiaTheme="minorEastAsia"/>
          <w:szCs w:val="21"/>
        </w:rPr>
        <w:t>～</w:t>
      </w:r>
      <w:r>
        <w:rPr>
          <w:rFonts w:hint="eastAsia" w:cs="仿宋" w:asciiTheme="minorEastAsia" w:hAnsiTheme="minorEastAsia" w:eastAsiaTheme="minorEastAsia"/>
          <w:color w:val="000000"/>
          <w:szCs w:val="21"/>
        </w:rPr>
        <w:t>150</w:t>
      </w:r>
      <w:r>
        <w:rPr>
          <w:rFonts w:hint="eastAsia" w:cs="仿宋" w:asciiTheme="minorEastAsia" w:hAnsiTheme="minorEastAsia" w:eastAsiaTheme="minorEastAsia"/>
          <w:color w:val="000000"/>
          <w:spacing w:val="0"/>
          <w:w w:val="15"/>
          <w:kern w:val="0"/>
          <w:szCs w:val="21"/>
          <w:fitText w:val="42" w:id="795218429"/>
        </w:rPr>
        <w:t xml:space="preserve">　 </w:t>
      </w:r>
      <w:r>
        <w:rPr>
          <w:rFonts w:hint="eastAsia" w:cs="仿宋" w:asciiTheme="minorEastAsia" w:hAnsiTheme="minorEastAsia" w:eastAsiaTheme="minorEastAsia"/>
          <w:color w:val="000000"/>
          <w:spacing w:val="-17"/>
          <w:w w:val="15"/>
          <w:kern w:val="0"/>
          <w:szCs w:val="21"/>
          <w:fitText w:val="42" w:id="795218429"/>
        </w:rPr>
        <w:t>　</w:t>
      </w:r>
      <w:r>
        <w:rPr>
          <w:rFonts w:hint="eastAsia" w:cs="仿宋" w:asciiTheme="minorEastAsia" w:hAnsiTheme="minorEastAsia" w:eastAsiaTheme="minorEastAsia"/>
          <w:color w:val="000000"/>
          <w:szCs w:val="21"/>
        </w:rPr>
        <w:t>mm</w:t>
      </w:r>
      <w:r>
        <w:rPr>
          <w:rFonts w:hint="eastAsia" w:cs="仿宋" w:asciiTheme="minorEastAsia" w:hAnsiTheme="minorEastAsia" w:eastAsiaTheme="minorEastAsia"/>
          <w:szCs w:val="21"/>
        </w:rPr>
        <w:t>；距其他设备的最小净距不应小于</w:t>
      </w:r>
      <w:r>
        <w:rPr>
          <w:rFonts w:hint="eastAsia" w:cs="仿宋" w:asciiTheme="minorEastAsia" w:hAnsiTheme="minorEastAsia" w:eastAsiaTheme="minorEastAsia"/>
          <w:color w:val="000000"/>
          <w:szCs w:val="21"/>
        </w:rPr>
        <w:t>300</w:t>
      </w:r>
      <w:r>
        <w:rPr>
          <w:rFonts w:hint="eastAsia" w:cs="仿宋" w:asciiTheme="minorEastAsia" w:hAnsiTheme="minorEastAsia" w:eastAsiaTheme="minorEastAsia"/>
          <w:color w:val="000000"/>
          <w:spacing w:val="0"/>
          <w:w w:val="15"/>
          <w:kern w:val="0"/>
          <w:szCs w:val="21"/>
          <w:fitText w:val="42" w:id="971663510"/>
        </w:rPr>
        <w:t xml:space="preserve">　 </w:t>
      </w:r>
      <w:r>
        <w:rPr>
          <w:rFonts w:hint="eastAsia" w:cs="仿宋" w:asciiTheme="minorEastAsia" w:hAnsiTheme="minorEastAsia" w:eastAsiaTheme="minorEastAsia"/>
          <w:color w:val="000000"/>
          <w:spacing w:val="-17"/>
          <w:w w:val="15"/>
          <w:kern w:val="0"/>
          <w:szCs w:val="21"/>
          <w:fitText w:val="42" w:id="971663510"/>
        </w:rPr>
        <w:t>　</w:t>
      </w:r>
      <w:r>
        <w:rPr>
          <w:rFonts w:hint="eastAsia" w:cs="仿宋" w:asciiTheme="minorEastAsia" w:hAnsiTheme="minorEastAsia" w:eastAsiaTheme="minorEastAsia"/>
          <w:color w:val="000000"/>
          <w:szCs w:val="21"/>
        </w:rPr>
        <w:t>mm</w:t>
      </w:r>
      <w:r>
        <w:rPr>
          <w:rFonts w:hint="eastAsia" w:cs="仿宋" w:asciiTheme="minorEastAsia" w:hAnsiTheme="minorEastAsia" w:eastAsiaTheme="minorEastAsia"/>
          <w:szCs w:val="21"/>
        </w:rPr>
        <w:t>，当无法满足要求时应设置防护板；</w:t>
      </w:r>
    </w:p>
    <w:p>
      <w:pPr>
        <w:pStyle w:val="41"/>
        <w:numPr>
          <w:ilvl w:val="1"/>
          <w:numId w:val="80"/>
        </w:num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rPr>
        <w:t>当设计无要求时，最下层电缆支架距沟底、地面的最小距离不应小于表5.</w:t>
      </w:r>
      <w:r>
        <w:rPr>
          <w:rFonts w:cs="仿宋" w:asciiTheme="minorEastAsia" w:hAnsiTheme="minorEastAsia" w:eastAsiaTheme="minorEastAsia"/>
          <w:szCs w:val="21"/>
        </w:rPr>
        <w:t>4</w:t>
      </w:r>
      <w:r>
        <w:rPr>
          <w:rFonts w:hint="eastAsia" w:cs="仿宋" w:asciiTheme="minorEastAsia" w:hAnsiTheme="minorEastAsia" w:eastAsiaTheme="minorEastAsia"/>
          <w:szCs w:val="21"/>
        </w:rPr>
        <w:t>.7-2的规定。</w:t>
      </w:r>
    </w:p>
    <w:p>
      <w:pPr>
        <w:spacing w:line="360" w:lineRule="auto"/>
        <w:jc w:val="center"/>
        <w:rPr>
          <w:rFonts w:ascii="黑体" w:hAnsi="黑体" w:eastAsia="黑体" w:cs="仿宋"/>
          <w:szCs w:val="21"/>
        </w:rPr>
      </w:pPr>
      <w:r>
        <w:rPr>
          <w:rFonts w:hint="eastAsia" w:ascii="黑体" w:hAnsi="黑体" w:eastAsia="黑体" w:cs="仿宋"/>
          <w:szCs w:val="21"/>
        </w:rPr>
        <w:t>表</w:t>
      </w:r>
      <w:r>
        <w:rPr>
          <w:rFonts w:ascii="黑体" w:hAnsi="黑体" w:eastAsia="黑体" w:cs="仿宋"/>
          <w:szCs w:val="21"/>
        </w:rPr>
        <w:t>5.4.7-2</w:t>
      </w:r>
      <w:r>
        <w:rPr>
          <w:rFonts w:hint="eastAsia" w:ascii="黑体" w:hAnsi="黑体" w:eastAsia="黑体" w:cs="仿宋"/>
          <w:szCs w:val="21"/>
        </w:rPr>
        <w:t xml:space="preserve"> 最下层电缆支架距沟底、地面最下净距（mm）</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4682"/>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6" w:type="dxa"/>
            <w:gridSpan w:val="2"/>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电缆敷设场所及其特征</w:t>
            </w:r>
          </w:p>
        </w:tc>
        <w:tc>
          <w:tcPr>
            <w:tcW w:w="2032"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垂直净距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6" w:type="dxa"/>
            <w:gridSpan w:val="2"/>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电缆沟</w:t>
            </w:r>
          </w:p>
        </w:tc>
        <w:tc>
          <w:tcPr>
            <w:tcW w:w="2032"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6" w:type="dxa"/>
            <w:gridSpan w:val="2"/>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隧道</w:t>
            </w:r>
          </w:p>
        </w:tc>
        <w:tc>
          <w:tcPr>
            <w:tcW w:w="2032"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4" w:type="dxa"/>
            <w:vMerge w:val="restart"/>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电缆夹层</w:t>
            </w:r>
          </w:p>
        </w:tc>
        <w:tc>
          <w:tcPr>
            <w:tcW w:w="4682"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非通道处</w:t>
            </w:r>
          </w:p>
        </w:tc>
        <w:tc>
          <w:tcPr>
            <w:tcW w:w="2032"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Merge w:val="continue"/>
            <w:vAlign w:val="center"/>
          </w:tcPr>
          <w:p>
            <w:pPr>
              <w:pStyle w:val="41"/>
              <w:spacing w:line="360" w:lineRule="auto"/>
              <w:jc w:val="center"/>
              <w:rPr>
                <w:rFonts w:cs="仿宋" w:asciiTheme="minorEastAsia" w:hAnsiTheme="minorEastAsia" w:eastAsiaTheme="minorEastAsia"/>
                <w:szCs w:val="21"/>
              </w:rPr>
            </w:pPr>
          </w:p>
        </w:tc>
        <w:tc>
          <w:tcPr>
            <w:tcW w:w="4682"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至少在一侧不小于</w:t>
            </w:r>
            <w:r>
              <w:rPr>
                <w:rFonts w:hint="eastAsia" w:cs="仿宋" w:asciiTheme="minorEastAsia" w:hAnsiTheme="minorEastAsia" w:eastAsiaTheme="minorEastAsia"/>
                <w:color w:val="000000"/>
                <w:szCs w:val="21"/>
              </w:rPr>
              <w:t>800</w:t>
            </w:r>
            <w:r>
              <w:rPr>
                <w:rFonts w:hint="eastAsia" w:cs="仿宋" w:asciiTheme="minorEastAsia" w:hAnsiTheme="minorEastAsia" w:eastAsiaTheme="minorEastAsia"/>
                <w:color w:val="000000"/>
                <w:spacing w:val="0"/>
                <w:w w:val="15"/>
                <w:kern w:val="0"/>
                <w:szCs w:val="21"/>
                <w:fitText w:val="42" w:id="224681147"/>
              </w:rPr>
              <w:t xml:space="preserve">　 </w:t>
            </w:r>
            <w:r>
              <w:rPr>
                <w:rFonts w:hint="eastAsia" w:cs="仿宋" w:asciiTheme="minorEastAsia" w:hAnsiTheme="minorEastAsia" w:eastAsiaTheme="minorEastAsia"/>
                <w:color w:val="000000"/>
                <w:spacing w:val="-17"/>
                <w:w w:val="15"/>
                <w:kern w:val="0"/>
                <w:szCs w:val="21"/>
                <w:fitText w:val="42" w:id="224681147"/>
              </w:rPr>
              <w:t>　</w:t>
            </w:r>
            <w:r>
              <w:rPr>
                <w:rFonts w:hint="eastAsia" w:cs="仿宋" w:asciiTheme="minorEastAsia" w:hAnsiTheme="minorEastAsia" w:eastAsiaTheme="minorEastAsia"/>
                <w:color w:val="000000"/>
                <w:szCs w:val="21"/>
              </w:rPr>
              <w:t>mm</w:t>
            </w:r>
            <w:r>
              <w:rPr>
                <w:rFonts w:hint="eastAsia" w:cs="仿宋" w:asciiTheme="minorEastAsia" w:hAnsiTheme="minorEastAsia" w:eastAsiaTheme="minorEastAsia"/>
                <w:szCs w:val="21"/>
              </w:rPr>
              <w:t>宽通道处</w:t>
            </w:r>
          </w:p>
        </w:tc>
        <w:tc>
          <w:tcPr>
            <w:tcW w:w="2032"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color w:val="000000"/>
                <w:szCs w:val="21"/>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6" w:type="dxa"/>
            <w:gridSpan w:val="2"/>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公共廊道中电缆支架无围栏防护</w:t>
            </w:r>
          </w:p>
        </w:tc>
        <w:tc>
          <w:tcPr>
            <w:tcW w:w="2032"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color w:val="000000"/>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6" w:type="dxa"/>
            <w:gridSpan w:val="2"/>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室内机房或活动区间</w:t>
            </w:r>
          </w:p>
        </w:tc>
        <w:tc>
          <w:tcPr>
            <w:tcW w:w="2032"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4" w:type="dxa"/>
            <w:vMerge w:val="restart"/>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室外</w:t>
            </w:r>
          </w:p>
        </w:tc>
        <w:tc>
          <w:tcPr>
            <w:tcW w:w="4682"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无车辆通过</w:t>
            </w:r>
          </w:p>
        </w:tc>
        <w:tc>
          <w:tcPr>
            <w:tcW w:w="2032"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color w:val="000000"/>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Merge w:val="continue"/>
            <w:vAlign w:val="center"/>
          </w:tcPr>
          <w:p>
            <w:pPr>
              <w:pStyle w:val="41"/>
              <w:spacing w:line="360" w:lineRule="auto"/>
              <w:jc w:val="center"/>
              <w:rPr>
                <w:rFonts w:cs="仿宋" w:asciiTheme="minorEastAsia" w:hAnsiTheme="minorEastAsia" w:eastAsiaTheme="minorEastAsia"/>
                <w:szCs w:val="21"/>
              </w:rPr>
            </w:pPr>
          </w:p>
        </w:tc>
        <w:tc>
          <w:tcPr>
            <w:tcW w:w="4682"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有车辆通过</w:t>
            </w:r>
          </w:p>
        </w:tc>
        <w:tc>
          <w:tcPr>
            <w:tcW w:w="2032"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color w:val="000000"/>
                <w:szCs w:val="21"/>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6" w:type="dxa"/>
            <w:gridSpan w:val="2"/>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屋面</w:t>
            </w:r>
          </w:p>
        </w:tc>
        <w:tc>
          <w:tcPr>
            <w:tcW w:w="2032"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200</w:t>
            </w:r>
          </w:p>
        </w:tc>
      </w:tr>
    </w:tbl>
    <w:p>
      <w:pPr>
        <w:spacing w:line="360" w:lineRule="auto"/>
        <w:jc w:val="center"/>
        <w:rPr>
          <w:rFonts w:cs="仿宋" w:asciiTheme="minorEastAsia" w:hAnsiTheme="minorEastAsia" w:eastAsiaTheme="minorEastAsia"/>
          <w:szCs w:val="21"/>
        </w:rPr>
      </w:pPr>
    </w:p>
    <w:p>
      <w:pPr>
        <w:pStyle w:val="41"/>
        <w:numPr>
          <w:ilvl w:val="1"/>
          <w:numId w:val="80"/>
        </w:num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rPr>
        <w:t>当支架与预埋件焊接固定时，焊缝应饱满；当采用膨胀螺栓固定时，螺栓应适配、连接紧固、防松零件齐全，支架安装应牢</w:t>
      </w: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固、顺直、无明显扭曲。</w:t>
      </w:r>
    </w:p>
    <w:p>
      <w:pPr>
        <w:pStyle w:val="41"/>
        <w:numPr>
          <w:ilvl w:val="1"/>
          <w:numId w:val="80"/>
        </w:num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rPr>
        <w:t>金属支架应进行防腐，位于室外及潮湿场所的应按设计要求做处理。</w:t>
      </w:r>
    </w:p>
    <w:p>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检查数量：第1款全数检查，第2款～第6款按每个检验批的支架总数抽查10%，且各不得少于1处。</w:t>
      </w:r>
    </w:p>
    <w:p>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检查方法：观察检查，并用尺量检查。</w:t>
      </w:r>
    </w:p>
    <w:p>
      <w:pPr>
        <w:pStyle w:val="41"/>
        <w:numPr>
          <w:ilvl w:val="0"/>
          <w:numId w:val="79"/>
        </w:numPr>
        <w:spacing w:line="360" w:lineRule="auto"/>
        <w:ind w:left="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电缆敷设应符合下列规定：</w:t>
      </w:r>
    </w:p>
    <w:p>
      <w:pPr>
        <w:pStyle w:val="41"/>
        <w:numPr>
          <w:ilvl w:val="1"/>
          <w:numId w:val="81"/>
        </w:num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rPr>
        <w:t>电缆的敷设排列应顺直、整齐，并</w:t>
      </w:r>
      <w:r>
        <w:rPr>
          <w:rFonts w:hint="eastAsia" w:cs="仿宋" w:asciiTheme="minorEastAsia" w:hAnsiTheme="minorEastAsia" w:eastAsiaTheme="minorEastAsia"/>
          <w:color w:val="000000"/>
          <w:szCs w:val="21"/>
        </w:rPr>
        <w:t>宜少</w:t>
      </w:r>
      <w:r>
        <w:rPr>
          <w:rFonts w:hint="eastAsia" w:cs="仿宋" w:asciiTheme="minorEastAsia" w:hAnsiTheme="minorEastAsia" w:eastAsiaTheme="minorEastAsia"/>
          <w:szCs w:val="21"/>
        </w:rPr>
        <w:t>交叉缠绕；</w:t>
      </w:r>
    </w:p>
    <w:p>
      <w:pPr>
        <w:pStyle w:val="41"/>
        <w:numPr>
          <w:ilvl w:val="1"/>
          <w:numId w:val="81"/>
        </w:num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rPr>
        <w:t>电缆转弯处的最小弯曲半径应符合表5.2.2的规定；</w:t>
      </w:r>
    </w:p>
    <w:p>
      <w:pPr>
        <w:pStyle w:val="41"/>
        <w:numPr>
          <w:ilvl w:val="1"/>
          <w:numId w:val="81"/>
        </w:num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rPr>
        <w:t>在电缆沟或电气竖井内垂直敷设或大于45°倾斜敷设的电缆应在每个支架上固定，支架长度小于10米时不少于两处刚性固定，大于10米时每隔5～10米增加刚性固定；</w:t>
      </w:r>
    </w:p>
    <w:p>
      <w:pPr>
        <w:pStyle w:val="41"/>
        <w:numPr>
          <w:ilvl w:val="1"/>
          <w:numId w:val="81"/>
        </w:num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rPr>
        <w:t>在梯架、托盘或槽盒内大于45°倾斜敷设的电缆应每隔</w:t>
      </w:r>
      <w:r>
        <w:rPr>
          <w:rFonts w:hint="eastAsia" w:cs="仿宋" w:asciiTheme="minorEastAsia" w:hAnsiTheme="minorEastAsia" w:eastAsiaTheme="minorEastAsia"/>
          <w:color w:val="000000"/>
          <w:szCs w:val="21"/>
        </w:rPr>
        <w:t>2 m</w:t>
      </w:r>
      <w:r>
        <w:rPr>
          <w:rFonts w:hint="eastAsia" w:cs="仿宋" w:asciiTheme="minorEastAsia" w:hAnsiTheme="minorEastAsia" w:eastAsiaTheme="minorEastAsia"/>
          <w:szCs w:val="21"/>
        </w:rPr>
        <w:t>固定，水平敷设的电缆，首尾两端、转弯两侧及每隔</w:t>
      </w:r>
      <w:r>
        <w:rPr>
          <w:rFonts w:hint="eastAsia" w:cs="仿宋" w:asciiTheme="minorEastAsia" w:hAnsiTheme="minorEastAsia" w:eastAsiaTheme="minorEastAsia"/>
          <w:color w:val="000000"/>
          <w:szCs w:val="21"/>
        </w:rPr>
        <w:t>5</w:t>
      </w:r>
      <w:r>
        <w:rPr>
          <w:rFonts w:hint="eastAsia" w:cs="仿宋" w:asciiTheme="minorEastAsia" w:hAnsiTheme="minorEastAsia" w:eastAsiaTheme="minorEastAsia"/>
          <w:color w:val="000000"/>
          <w:spacing w:val="0"/>
          <w:w w:val="15"/>
          <w:kern w:val="0"/>
          <w:szCs w:val="21"/>
          <w:fitText w:val="42" w:id="1232550952"/>
        </w:rPr>
        <w:t xml:space="preserve">　 </w:t>
      </w:r>
      <w:r>
        <w:rPr>
          <w:rFonts w:hint="eastAsia" w:cs="仿宋" w:asciiTheme="minorEastAsia" w:hAnsiTheme="minorEastAsia" w:eastAsiaTheme="minorEastAsia"/>
          <w:color w:val="000000"/>
          <w:spacing w:val="-17"/>
          <w:w w:val="15"/>
          <w:kern w:val="0"/>
          <w:szCs w:val="21"/>
          <w:fitText w:val="42" w:id="1232550952"/>
        </w:rPr>
        <w:t>　</w:t>
      </w:r>
      <w:r>
        <w:rPr>
          <w:rFonts w:hint="eastAsia" w:cs="仿宋" w:asciiTheme="minorEastAsia" w:hAnsiTheme="minorEastAsia" w:eastAsiaTheme="minorEastAsia"/>
          <w:color w:val="000000"/>
          <w:szCs w:val="21"/>
        </w:rPr>
        <w:t>m</w:t>
      </w:r>
      <w:r>
        <w:rPr>
          <w:rFonts w:hint="eastAsia" w:cs="仿宋" w:asciiTheme="minorEastAsia" w:hAnsiTheme="minorEastAsia" w:eastAsiaTheme="minorEastAsia"/>
          <w:szCs w:val="21"/>
        </w:rPr>
        <w:t>～</w:t>
      </w:r>
      <w:r>
        <w:rPr>
          <w:rFonts w:hint="eastAsia" w:cs="仿宋" w:asciiTheme="minorEastAsia" w:hAnsiTheme="minorEastAsia" w:eastAsiaTheme="minorEastAsia"/>
          <w:color w:val="000000"/>
          <w:szCs w:val="21"/>
        </w:rPr>
        <w:t>10</w:t>
      </w:r>
      <w:r>
        <w:rPr>
          <w:rFonts w:hint="eastAsia" w:cs="仿宋" w:asciiTheme="minorEastAsia" w:hAnsiTheme="minorEastAsia" w:eastAsiaTheme="minorEastAsia"/>
          <w:color w:val="000000"/>
          <w:spacing w:val="0"/>
          <w:w w:val="15"/>
          <w:kern w:val="0"/>
          <w:szCs w:val="21"/>
          <w:fitText w:val="42" w:id="1052984910"/>
        </w:rPr>
        <w:t xml:space="preserve">　 </w:t>
      </w:r>
      <w:r>
        <w:rPr>
          <w:rFonts w:hint="eastAsia" w:cs="仿宋" w:asciiTheme="minorEastAsia" w:hAnsiTheme="minorEastAsia" w:eastAsiaTheme="minorEastAsia"/>
          <w:color w:val="000000"/>
          <w:spacing w:val="-17"/>
          <w:w w:val="15"/>
          <w:kern w:val="0"/>
          <w:szCs w:val="21"/>
          <w:fitText w:val="42" w:id="1052984910"/>
        </w:rPr>
        <w:t>　</w:t>
      </w:r>
      <w:r>
        <w:rPr>
          <w:rFonts w:hint="eastAsia" w:cs="仿宋" w:asciiTheme="minorEastAsia" w:hAnsiTheme="minorEastAsia" w:eastAsiaTheme="minorEastAsia"/>
          <w:color w:val="000000"/>
          <w:szCs w:val="21"/>
        </w:rPr>
        <w:t>m</w:t>
      </w:r>
      <w:r>
        <w:rPr>
          <w:rFonts w:hint="eastAsia" w:cs="仿宋" w:asciiTheme="minorEastAsia" w:hAnsiTheme="minorEastAsia" w:eastAsiaTheme="minorEastAsia"/>
          <w:szCs w:val="21"/>
        </w:rPr>
        <w:t>处应设刚性固定点；</w:t>
      </w:r>
    </w:p>
    <w:p>
      <w:pPr>
        <w:pStyle w:val="41"/>
        <w:numPr>
          <w:ilvl w:val="1"/>
          <w:numId w:val="81"/>
        </w:num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rPr>
        <w:t>当设计无要求时，电缆支持点间距不应大于表5.4.8的规定。</w:t>
      </w:r>
    </w:p>
    <w:p>
      <w:pPr>
        <w:spacing w:line="360" w:lineRule="auto"/>
        <w:jc w:val="center"/>
        <w:rPr>
          <w:rFonts w:ascii="黑体" w:hAnsi="黑体" w:eastAsia="黑体" w:cs="仿宋"/>
          <w:szCs w:val="21"/>
        </w:rPr>
      </w:pPr>
      <w:r>
        <w:rPr>
          <w:rFonts w:hint="eastAsia" w:ascii="黑体" w:hAnsi="黑体" w:eastAsia="黑体" w:cs="仿宋"/>
          <w:szCs w:val="21"/>
        </w:rPr>
        <w:t>表</w:t>
      </w:r>
      <w:r>
        <w:rPr>
          <w:rFonts w:ascii="黑体" w:hAnsi="黑体" w:eastAsia="黑体" w:cs="仿宋"/>
          <w:szCs w:val="21"/>
        </w:rPr>
        <w:t>5.4.8</w:t>
      </w:r>
      <w:r>
        <w:rPr>
          <w:rFonts w:hint="eastAsia" w:ascii="黑体" w:hAnsi="黑体" w:eastAsia="黑体" w:cs="仿宋"/>
          <w:szCs w:val="21"/>
        </w:rPr>
        <w:t xml:space="preserve"> 电缆支持点间距</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3"/>
        <w:gridCol w:w="3482"/>
        <w:gridCol w:w="1725"/>
        <w:gridCol w:w="1136"/>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5" w:type="dxa"/>
            <w:gridSpan w:val="2"/>
            <w:vMerge w:val="restart"/>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电缆种类</w:t>
            </w:r>
          </w:p>
        </w:tc>
        <w:tc>
          <w:tcPr>
            <w:tcW w:w="1725" w:type="dxa"/>
            <w:vMerge w:val="restart"/>
            <w:vAlign w:val="center"/>
          </w:tcPr>
          <w:p>
            <w:pPr>
              <w:pStyle w:val="41"/>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电缆外径</w:t>
            </w:r>
          </w:p>
        </w:tc>
        <w:tc>
          <w:tcPr>
            <w:tcW w:w="2278" w:type="dxa"/>
            <w:gridSpan w:val="2"/>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敷设方式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5" w:type="dxa"/>
            <w:gridSpan w:val="2"/>
            <w:vMerge w:val="continue"/>
            <w:vAlign w:val="center"/>
          </w:tcPr>
          <w:p>
            <w:pPr>
              <w:pStyle w:val="41"/>
              <w:spacing w:line="360" w:lineRule="auto"/>
              <w:jc w:val="center"/>
              <w:rPr>
                <w:rFonts w:cs="仿宋" w:asciiTheme="minorEastAsia" w:hAnsiTheme="minorEastAsia" w:eastAsiaTheme="minorEastAsia"/>
                <w:szCs w:val="21"/>
              </w:rPr>
            </w:pPr>
          </w:p>
        </w:tc>
        <w:tc>
          <w:tcPr>
            <w:tcW w:w="1725" w:type="dxa"/>
            <w:vMerge w:val="continue"/>
            <w:vAlign w:val="center"/>
          </w:tcPr>
          <w:p>
            <w:pPr>
              <w:pStyle w:val="41"/>
              <w:spacing w:line="360" w:lineRule="auto"/>
              <w:jc w:val="center"/>
              <w:rPr>
                <w:rFonts w:cs="仿宋" w:asciiTheme="minorEastAsia" w:hAnsiTheme="minorEastAsia" w:eastAsiaTheme="minorEastAsia"/>
                <w:szCs w:val="21"/>
              </w:rPr>
            </w:pPr>
          </w:p>
        </w:tc>
        <w:tc>
          <w:tcPr>
            <w:tcW w:w="1136"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水平</w:t>
            </w:r>
          </w:p>
        </w:tc>
        <w:tc>
          <w:tcPr>
            <w:tcW w:w="1142"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垂直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dxa"/>
            <w:vMerge w:val="restart"/>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电力</w:t>
            </w:r>
          </w:p>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电缆</w:t>
            </w:r>
          </w:p>
        </w:tc>
        <w:tc>
          <w:tcPr>
            <w:tcW w:w="3482"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全塑型</w:t>
            </w:r>
          </w:p>
        </w:tc>
        <w:tc>
          <w:tcPr>
            <w:tcW w:w="1725" w:type="dxa"/>
            <w:vMerge w:val="restart"/>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color w:val="000000"/>
                <w:szCs w:val="21"/>
              </w:rPr>
              <w:t>—</w:t>
            </w:r>
          </w:p>
        </w:tc>
        <w:tc>
          <w:tcPr>
            <w:tcW w:w="1136"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400</w:t>
            </w:r>
          </w:p>
        </w:tc>
        <w:tc>
          <w:tcPr>
            <w:tcW w:w="1142"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color w:val="00000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3" w:type="dxa"/>
            <w:vMerge w:val="continue"/>
            <w:vAlign w:val="center"/>
          </w:tcPr>
          <w:p>
            <w:pPr>
              <w:pStyle w:val="41"/>
              <w:spacing w:line="360" w:lineRule="auto"/>
              <w:jc w:val="center"/>
              <w:rPr>
                <w:rFonts w:cs="仿宋" w:asciiTheme="minorEastAsia" w:hAnsiTheme="minorEastAsia" w:eastAsiaTheme="minorEastAsia"/>
                <w:szCs w:val="21"/>
              </w:rPr>
            </w:pPr>
          </w:p>
        </w:tc>
        <w:tc>
          <w:tcPr>
            <w:tcW w:w="3482"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除全塑</w:t>
            </w:r>
            <w:r>
              <w:rPr>
                <w:rFonts w:hint="eastAsia" w:cs="仿宋" w:asciiTheme="minorEastAsia" w:hAnsiTheme="minorEastAsia" w:eastAsiaTheme="minorEastAsia"/>
                <w:color w:val="000000"/>
                <w:szCs w:val="21"/>
              </w:rPr>
              <w:t>型</w:t>
            </w:r>
            <w:r>
              <w:rPr>
                <w:rFonts w:hint="eastAsia" w:cs="仿宋" w:asciiTheme="minorEastAsia" w:hAnsiTheme="minorEastAsia" w:eastAsiaTheme="minorEastAsia"/>
                <w:szCs w:val="21"/>
              </w:rPr>
              <w:t>外的中低压电缆</w:t>
            </w:r>
          </w:p>
        </w:tc>
        <w:tc>
          <w:tcPr>
            <w:tcW w:w="1725" w:type="dxa"/>
            <w:vMerge w:val="continue"/>
            <w:vAlign w:val="center"/>
          </w:tcPr>
          <w:p>
            <w:pPr>
              <w:pStyle w:val="41"/>
              <w:spacing w:line="360" w:lineRule="auto"/>
              <w:jc w:val="center"/>
              <w:rPr>
                <w:rFonts w:cs="仿宋" w:asciiTheme="minorEastAsia" w:hAnsiTheme="minorEastAsia" w:eastAsiaTheme="minorEastAsia"/>
                <w:szCs w:val="21"/>
              </w:rPr>
            </w:pPr>
          </w:p>
        </w:tc>
        <w:tc>
          <w:tcPr>
            <w:tcW w:w="1136"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800</w:t>
            </w:r>
          </w:p>
        </w:tc>
        <w:tc>
          <w:tcPr>
            <w:tcW w:w="1142"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color w:val="000000"/>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dxa"/>
            <w:vMerge w:val="continue"/>
            <w:vAlign w:val="center"/>
          </w:tcPr>
          <w:p>
            <w:pPr>
              <w:pStyle w:val="41"/>
              <w:spacing w:line="360" w:lineRule="auto"/>
              <w:jc w:val="center"/>
              <w:rPr>
                <w:rFonts w:cs="仿宋" w:asciiTheme="minorEastAsia" w:hAnsiTheme="minorEastAsia" w:eastAsiaTheme="minorEastAsia"/>
                <w:szCs w:val="21"/>
              </w:rPr>
            </w:pPr>
          </w:p>
        </w:tc>
        <w:tc>
          <w:tcPr>
            <w:tcW w:w="3482"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color w:val="000000"/>
                <w:szCs w:val="21"/>
              </w:rPr>
              <w:t>35</w:t>
            </w:r>
            <w:r>
              <w:rPr>
                <w:rFonts w:hint="eastAsia" w:cs="仿宋" w:asciiTheme="minorEastAsia" w:hAnsiTheme="minorEastAsia" w:eastAsiaTheme="minorEastAsia"/>
                <w:color w:val="000000"/>
                <w:spacing w:val="0"/>
                <w:w w:val="15"/>
                <w:kern w:val="0"/>
                <w:szCs w:val="21"/>
                <w:fitText w:val="42" w:id="733357221"/>
              </w:rPr>
              <w:t xml:space="preserve">　 </w:t>
            </w:r>
            <w:r>
              <w:rPr>
                <w:rFonts w:hint="eastAsia" w:cs="仿宋" w:asciiTheme="minorEastAsia" w:hAnsiTheme="minorEastAsia" w:eastAsiaTheme="minorEastAsia"/>
                <w:color w:val="000000"/>
                <w:spacing w:val="-17"/>
                <w:w w:val="15"/>
                <w:kern w:val="0"/>
                <w:szCs w:val="21"/>
                <w:fitText w:val="42" w:id="733357221"/>
              </w:rPr>
              <w:t>　</w:t>
            </w:r>
            <w:r>
              <w:rPr>
                <w:rFonts w:hint="eastAsia" w:cs="仿宋" w:asciiTheme="minorEastAsia" w:hAnsiTheme="minorEastAsia" w:eastAsiaTheme="minorEastAsia"/>
                <w:color w:val="000000"/>
                <w:szCs w:val="21"/>
              </w:rPr>
              <w:t>kV</w:t>
            </w:r>
            <w:r>
              <w:rPr>
                <w:rFonts w:hint="eastAsia" w:cs="仿宋" w:asciiTheme="minorEastAsia" w:hAnsiTheme="minorEastAsia" w:eastAsiaTheme="minorEastAsia"/>
                <w:szCs w:val="21"/>
              </w:rPr>
              <w:t>高压电缆</w:t>
            </w:r>
          </w:p>
        </w:tc>
        <w:tc>
          <w:tcPr>
            <w:tcW w:w="1725" w:type="dxa"/>
            <w:vMerge w:val="continue"/>
            <w:vAlign w:val="center"/>
          </w:tcPr>
          <w:p>
            <w:pPr>
              <w:pStyle w:val="41"/>
              <w:spacing w:line="360" w:lineRule="auto"/>
              <w:jc w:val="center"/>
              <w:rPr>
                <w:rFonts w:cs="仿宋" w:asciiTheme="minorEastAsia" w:hAnsiTheme="minorEastAsia" w:eastAsiaTheme="minorEastAsia"/>
                <w:szCs w:val="21"/>
              </w:rPr>
            </w:pPr>
          </w:p>
        </w:tc>
        <w:tc>
          <w:tcPr>
            <w:tcW w:w="1136"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color w:val="000000"/>
                <w:szCs w:val="21"/>
              </w:rPr>
              <w:t>1500</w:t>
            </w:r>
          </w:p>
        </w:tc>
        <w:tc>
          <w:tcPr>
            <w:tcW w:w="1142"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dxa"/>
            <w:vMerge w:val="continue"/>
            <w:vAlign w:val="center"/>
          </w:tcPr>
          <w:p>
            <w:pPr>
              <w:pStyle w:val="41"/>
              <w:spacing w:line="360" w:lineRule="auto"/>
              <w:jc w:val="center"/>
              <w:rPr>
                <w:rFonts w:cs="仿宋" w:asciiTheme="minorEastAsia" w:hAnsiTheme="minorEastAsia" w:eastAsiaTheme="minorEastAsia"/>
                <w:szCs w:val="21"/>
              </w:rPr>
            </w:pPr>
          </w:p>
        </w:tc>
        <w:tc>
          <w:tcPr>
            <w:tcW w:w="3482"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铝合金带联锁铠装的铝合金电缆</w:t>
            </w:r>
          </w:p>
        </w:tc>
        <w:tc>
          <w:tcPr>
            <w:tcW w:w="1725" w:type="dxa"/>
            <w:vMerge w:val="continue"/>
            <w:vAlign w:val="center"/>
          </w:tcPr>
          <w:p>
            <w:pPr>
              <w:pStyle w:val="41"/>
              <w:spacing w:line="360" w:lineRule="auto"/>
              <w:jc w:val="center"/>
              <w:rPr>
                <w:rFonts w:cs="仿宋" w:asciiTheme="minorEastAsia" w:hAnsiTheme="minorEastAsia" w:eastAsiaTheme="minorEastAsia"/>
                <w:szCs w:val="21"/>
              </w:rPr>
            </w:pPr>
          </w:p>
        </w:tc>
        <w:tc>
          <w:tcPr>
            <w:tcW w:w="1136"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color w:val="000000"/>
                <w:szCs w:val="21"/>
              </w:rPr>
              <w:t>1800</w:t>
            </w:r>
          </w:p>
        </w:tc>
        <w:tc>
          <w:tcPr>
            <w:tcW w:w="1142"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color w:val="000000"/>
                <w:szCs w:val="21"/>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5" w:type="dxa"/>
            <w:gridSpan w:val="2"/>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控制电缆</w:t>
            </w:r>
          </w:p>
        </w:tc>
        <w:tc>
          <w:tcPr>
            <w:tcW w:w="1725" w:type="dxa"/>
            <w:vMerge w:val="continue"/>
            <w:vAlign w:val="center"/>
          </w:tcPr>
          <w:p>
            <w:pPr>
              <w:pStyle w:val="41"/>
              <w:spacing w:line="360" w:lineRule="auto"/>
              <w:jc w:val="center"/>
              <w:rPr>
                <w:rFonts w:cs="仿宋" w:asciiTheme="minorEastAsia" w:hAnsiTheme="minorEastAsia" w:eastAsiaTheme="minorEastAsia"/>
                <w:szCs w:val="21"/>
              </w:rPr>
            </w:pPr>
          </w:p>
        </w:tc>
        <w:tc>
          <w:tcPr>
            <w:tcW w:w="1136"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800</w:t>
            </w:r>
          </w:p>
        </w:tc>
        <w:tc>
          <w:tcPr>
            <w:tcW w:w="1142"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color w:val="00000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25" w:type="dxa"/>
            <w:gridSpan w:val="2"/>
            <w:vMerge w:val="restart"/>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矿物绝缘电缆</w:t>
            </w:r>
          </w:p>
        </w:tc>
        <w:tc>
          <w:tcPr>
            <w:tcW w:w="1725" w:type="dxa"/>
            <w:vAlign w:val="center"/>
          </w:tcPr>
          <w:p>
            <w:pPr>
              <w:pStyle w:val="41"/>
              <w:spacing w:line="360" w:lineRule="auto"/>
              <w:ind w:firstLine="0" w:firstLineChars="0"/>
              <w:jc w:val="center"/>
              <w:rPr>
                <w:rFonts w:ascii="宋体" w:hAnsi="宋体" w:cs="宋体"/>
                <w:szCs w:val="21"/>
              </w:rPr>
            </w:pPr>
            <w:r>
              <w:rPr>
                <w:rFonts w:hint="eastAsia" w:ascii="宋体" w:hAnsi="宋体" w:cs="宋体"/>
                <w:szCs w:val="21"/>
              </w:rPr>
              <w:t>﹤9</w:t>
            </w:r>
          </w:p>
        </w:tc>
        <w:tc>
          <w:tcPr>
            <w:tcW w:w="1136"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600</w:t>
            </w:r>
          </w:p>
        </w:tc>
        <w:tc>
          <w:tcPr>
            <w:tcW w:w="1142"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5" w:type="dxa"/>
            <w:gridSpan w:val="2"/>
            <w:vMerge w:val="continue"/>
            <w:vAlign w:val="center"/>
          </w:tcPr>
          <w:p>
            <w:pPr>
              <w:pStyle w:val="41"/>
              <w:spacing w:line="360" w:lineRule="auto"/>
              <w:jc w:val="center"/>
              <w:rPr>
                <w:rFonts w:cs="仿宋" w:asciiTheme="minorEastAsia" w:hAnsiTheme="minorEastAsia" w:eastAsiaTheme="minorEastAsia"/>
                <w:szCs w:val="21"/>
              </w:rPr>
            </w:pPr>
          </w:p>
        </w:tc>
        <w:tc>
          <w:tcPr>
            <w:tcW w:w="1725" w:type="dxa"/>
            <w:vAlign w:val="center"/>
          </w:tcPr>
          <w:p>
            <w:pPr>
              <w:pStyle w:val="41"/>
              <w:spacing w:line="360" w:lineRule="auto"/>
              <w:ind w:firstLine="0" w:firstLineChars="0"/>
              <w:jc w:val="center"/>
              <w:rPr>
                <w:rFonts w:ascii="宋体" w:hAnsi="宋体" w:cs="宋体"/>
                <w:szCs w:val="21"/>
              </w:rPr>
            </w:pPr>
            <w:r>
              <w:rPr>
                <w:rFonts w:hint="eastAsia" w:ascii="宋体" w:hAnsi="宋体" w:cs="宋体"/>
                <w:szCs w:val="21"/>
              </w:rPr>
              <w:t>≥9，且﹤15</w:t>
            </w:r>
          </w:p>
        </w:tc>
        <w:tc>
          <w:tcPr>
            <w:tcW w:w="1136"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900</w:t>
            </w:r>
          </w:p>
        </w:tc>
        <w:tc>
          <w:tcPr>
            <w:tcW w:w="1142"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color w:val="000000"/>
                <w:szCs w:val="21"/>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5" w:type="dxa"/>
            <w:gridSpan w:val="2"/>
            <w:vMerge w:val="continue"/>
            <w:vAlign w:val="center"/>
          </w:tcPr>
          <w:p>
            <w:pPr>
              <w:pStyle w:val="41"/>
              <w:spacing w:line="360" w:lineRule="auto"/>
              <w:jc w:val="center"/>
              <w:rPr>
                <w:rFonts w:cs="仿宋" w:asciiTheme="minorEastAsia" w:hAnsiTheme="minorEastAsia" w:eastAsiaTheme="minorEastAsia"/>
                <w:szCs w:val="21"/>
              </w:rPr>
            </w:pPr>
          </w:p>
        </w:tc>
        <w:tc>
          <w:tcPr>
            <w:tcW w:w="1725" w:type="dxa"/>
            <w:vAlign w:val="center"/>
          </w:tcPr>
          <w:p>
            <w:pPr>
              <w:pStyle w:val="41"/>
              <w:spacing w:line="360" w:lineRule="auto"/>
              <w:ind w:firstLine="0" w:firstLineChars="0"/>
              <w:jc w:val="center"/>
              <w:rPr>
                <w:rFonts w:ascii="宋体" w:hAnsi="宋体" w:cs="宋体"/>
                <w:szCs w:val="21"/>
              </w:rPr>
            </w:pPr>
            <w:r>
              <w:rPr>
                <w:rFonts w:hint="eastAsia" w:ascii="宋体" w:hAnsi="宋体" w:cs="宋体"/>
                <w:szCs w:val="21"/>
              </w:rPr>
              <w:t>≥15，且﹤20</w:t>
            </w:r>
          </w:p>
        </w:tc>
        <w:tc>
          <w:tcPr>
            <w:tcW w:w="1136"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color w:val="000000"/>
                <w:szCs w:val="21"/>
              </w:rPr>
              <w:t>1500</w:t>
            </w:r>
          </w:p>
        </w:tc>
        <w:tc>
          <w:tcPr>
            <w:tcW w:w="1142"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5" w:type="dxa"/>
            <w:gridSpan w:val="2"/>
            <w:vMerge w:val="continue"/>
            <w:vAlign w:val="center"/>
          </w:tcPr>
          <w:p>
            <w:pPr>
              <w:pStyle w:val="41"/>
              <w:spacing w:line="360" w:lineRule="auto"/>
              <w:jc w:val="center"/>
              <w:rPr>
                <w:rFonts w:cs="仿宋" w:asciiTheme="minorEastAsia" w:hAnsiTheme="minorEastAsia" w:eastAsiaTheme="minorEastAsia"/>
                <w:szCs w:val="21"/>
              </w:rPr>
            </w:pPr>
          </w:p>
        </w:tc>
        <w:tc>
          <w:tcPr>
            <w:tcW w:w="1725" w:type="dxa"/>
            <w:vAlign w:val="center"/>
          </w:tcPr>
          <w:p>
            <w:pPr>
              <w:pStyle w:val="41"/>
              <w:spacing w:line="360" w:lineRule="auto"/>
              <w:ind w:firstLine="0" w:firstLineChars="0"/>
              <w:jc w:val="center"/>
              <w:rPr>
                <w:rFonts w:ascii="宋体" w:hAnsi="宋体" w:cs="宋体"/>
                <w:szCs w:val="21"/>
              </w:rPr>
            </w:pPr>
            <w:r>
              <w:rPr>
                <w:rFonts w:hint="eastAsia" w:ascii="宋体" w:hAnsi="宋体" w:cs="宋体"/>
                <w:szCs w:val="21"/>
              </w:rPr>
              <w:t>≥20</w:t>
            </w:r>
          </w:p>
        </w:tc>
        <w:tc>
          <w:tcPr>
            <w:tcW w:w="1136"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2000</w:t>
            </w:r>
          </w:p>
        </w:tc>
        <w:tc>
          <w:tcPr>
            <w:tcW w:w="1142"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color w:val="000000"/>
                <w:szCs w:val="21"/>
              </w:rPr>
              <w:t>2500</w:t>
            </w:r>
          </w:p>
        </w:tc>
      </w:tr>
    </w:tbl>
    <w:p>
      <w:pPr>
        <w:spacing w:line="360" w:lineRule="auto"/>
        <w:rPr>
          <w:rFonts w:cs="仿宋" w:asciiTheme="minorEastAsia" w:hAnsiTheme="minorEastAsia" w:eastAsiaTheme="minorEastAsia"/>
          <w:szCs w:val="21"/>
        </w:rPr>
      </w:pPr>
    </w:p>
    <w:p>
      <w:pPr>
        <w:pStyle w:val="41"/>
        <w:numPr>
          <w:ilvl w:val="1"/>
          <w:numId w:val="81"/>
        </w:num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rPr>
        <w:t>当设计无要求时，电缆与管道的最小净距应符合本规范附录</w:t>
      </w:r>
      <w:r>
        <w:rPr>
          <w:rFonts w:cs="仿宋" w:asciiTheme="minorEastAsia" w:hAnsiTheme="minorEastAsia" w:eastAsiaTheme="minorEastAsia"/>
          <w:szCs w:val="21"/>
        </w:rPr>
        <w:t>E</w:t>
      </w:r>
      <w:r>
        <w:rPr>
          <w:rFonts w:hint="eastAsia" w:cs="仿宋" w:asciiTheme="minorEastAsia" w:hAnsiTheme="minorEastAsia" w:eastAsiaTheme="minorEastAsia"/>
          <w:szCs w:val="21"/>
        </w:rPr>
        <w:t>的规定；</w:t>
      </w:r>
    </w:p>
    <w:p>
      <w:pPr>
        <w:pStyle w:val="41"/>
        <w:numPr>
          <w:ilvl w:val="1"/>
          <w:numId w:val="81"/>
        </w:num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rPr>
        <w:t>无挤塑外护层电缆金属护套与金属支（吊）架直接接触的部位应采取防电化腐蚀的措施；</w:t>
      </w:r>
    </w:p>
    <w:p>
      <w:pPr>
        <w:pStyle w:val="41"/>
        <w:numPr>
          <w:ilvl w:val="1"/>
          <w:numId w:val="81"/>
        </w:num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rPr>
        <w:t>电缆出入电缆沟，电气竖井，建筑物，配电（控制）柜、台、箱处以及管子管口处等部位应采取防火或密封措施；</w:t>
      </w:r>
    </w:p>
    <w:p>
      <w:pPr>
        <w:pStyle w:val="41"/>
        <w:numPr>
          <w:ilvl w:val="1"/>
          <w:numId w:val="81"/>
        </w:num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rPr>
        <w:t>电缆出入电缆梯架、托盘、槽盒及配电（控制）柜、台、箱、盘处300～</w:t>
      </w:r>
      <w:r>
        <w:rPr>
          <w:rFonts w:hint="eastAsia" w:cs="仿宋" w:asciiTheme="minorEastAsia" w:hAnsiTheme="minorEastAsia" w:eastAsiaTheme="minorEastAsia"/>
          <w:color w:val="000000"/>
          <w:szCs w:val="21"/>
        </w:rPr>
        <w:t>500</w:t>
      </w:r>
      <w:r>
        <w:rPr>
          <w:rFonts w:hint="eastAsia" w:cs="仿宋" w:asciiTheme="minorEastAsia" w:hAnsiTheme="minorEastAsia" w:eastAsiaTheme="minorEastAsia"/>
          <w:color w:val="000000"/>
          <w:spacing w:val="0"/>
          <w:w w:val="15"/>
          <w:kern w:val="0"/>
          <w:szCs w:val="21"/>
          <w:fitText w:val="42" w:id="265845981"/>
        </w:rPr>
        <w:t xml:space="preserve">　 </w:t>
      </w:r>
      <w:r>
        <w:rPr>
          <w:rFonts w:hint="eastAsia" w:cs="仿宋" w:asciiTheme="minorEastAsia" w:hAnsiTheme="minorEastAsia" w:eastAsiaTheme="minorEastAsia"/>
          <w:color w:val="000000"/>
          <w:spacing w:val="-17"/>
          <w:w w:val="15"/>
          <w:kern w:val="0"/>
          <w:szCs w:val="21"/>
          <w:fitText w:val="42" w:id="265845981"/>
        </w:rPr>
        <w:t>　</w:t>
      </w:r>
      <w:r>
        <w:rPr>
          <w:rFonts w:hint="eastAsia" w:cs="仿宋" w:asciiTheme="minorEastAsia" w:hAnsiTheme="minorEastAsia" w:eastAsiaTheme="minorEastAsia"/>
          <w:color w:val="000000"/>
          <w:szCs w:val="21"/>
        </w:rPr>
        <w:t>mm</w:t>
      </w:r>
      <w:r>
        <w:rPr>
          <w:rFonts w:hint="eastAsia" w:cs="仿宋" w:asciiTheme="minorEastAsia" w:hAnsiTheme="minorEastAsia" w:eastAsiaTheme="minorEastAsia"/>
          <w:szCs w:val="21"/>
        </w:rPr>
        <w:t>应做刚性固定措施；</w:t>
      </w:r>
    </w:p>
    <w:p>
      <w:pPr>
        <w:pStyle w:val="41"/>
        <w:numPr>
          <w:ilvl w:val="1"/>
          <w:numId w:val="81"/>
        </w:num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rPr>
        <w:t>当电缆通过墙、楼板或室外敷设穿导管保护时，导管的内径不应小于电缆外径的1.5倍。</w:t>
      </w:r>
    </w:p>
    <w:p>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检查数量：按每检验批电缆线路抽查20%，且不得少于1条电缆线路并应能覆盖上述不同的检查内容。</w:t>
      </w:r>
    </w:p>
    <w:p>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检查方法：观察检查并用尺量检查，查阅电缆敷设记录。</w:t>
      </w:r>
    </w:p>
    <w:p>
      <w:pPr>
        <w:pStyle w:val="41"/>
        <w:numPr>
          <w:ilvl w:val="0"/>
          <w:numId w:val="79"/>
        </w:numPr>
        <w:spacing w:line="360" w:lineRule="auto"/>
        <w:ind w:left="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直埋敷设电缆的上、下应有细沙或软土，回填土应无石块、砖头等尖锐硬物。</w:t>
      </w:r>
    </w:p>
    <w:p>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检查数量：全数检查。</w:t>
      </w:r>
    </w:p>
    <w:p>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检查方法：施工中观察检查并查阅隐蔽工程检查记录。</w:t>
      </w:r>
    </w:p>
    <w:p>
      <w:pPr>
        <w:pStyle w:val="41"/>
        <w:numPr>
          <w:ilvl w:val="0"/>
          <w:numId w:val="79"/>
        </w:numPr>
        <w:spacing w:line="360" w:lineRule="auto"/>
        <w:ind w:left="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电缆标识牌装设应符合下列要求</w:t>
      </w:r>
    </w:p>
    <w:p>
      <w:pPr>
        <w:pStyle w:val="41"/>
        <w:numPr>
          <w:ilvl w:val="1"/>
          <w:numId w:val="82"/>
        </w:num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rPr>
        <w:t>电缆的首端、末端、电缆接头和分支处应设标识牌，直埋电缆在直线段每隔50～100米处、电缆接头处、转弯处、进入建筑物等处应设置明显的方位标志或标桩；</w:t>
      </w:r>
    </w:p>
    <w:p>
      <w:pPr>
        <w:pStyle w:val="41"/>
        <w:numPr>
          <w:ilvl w:val="1"/>
          <w:numId w:val="82"/>
        </w:num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rPr>
        <w:t>电缆隧道内转弯处、T形口、十字口、直线段50～100米处设置标识牌；</w:t>
      </w:r>
    </w:p>
    <w:p>
      <w:pPr>
        <w:pStyle w:val="41"/>
        <w:numPr>
          <w:ilvl w:val="1"/>
          <w:numId w:val="82"/>
        </w:num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rPr>
        <w:t>标识牌应注明线路编号，宜写明电缆型号、规格、起讫地点；并联使用的电缆应有顺序号，单芯电缆应有相序或极性标识；标识牌的字迹清晰不宜脱落；</w:t>
      </w:r>
    </w:p>
    <w:p>
      <w:pPr>
        <w:pStyle w:val="41"/>
        <w:numPr>
          <w:ilvl w:val="1"/>
          <w:numId w:val="82"/>
        </w:num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rPr>
        <w:t>标识牌规格宜统一，标识牌应防腐，挂装应牢靠并有足够的耐久性；</w:t>
      </w:r>
    </w:p>
    <w:p>
      <w:pPr>
        <w:pStyle w:val="41"/>
        <w:spacing w:line="360" w:lineRule="auto"/>
        <w:rPr>
          <w:rFonts w:cs="仿宋" w:asciiTheme="minorEastAsia" w:hAnsiTheme="minorEastAsia" w:eastAsiaTheme="minorEastAsia"/>
          <w:szCs w:val="21"/>
        </w:rPr>
      </w:pPr>
      <w:bookmarkStart w:id="111" w:name="_Hlk136280722"/>
      <w:r>
        <w:rPr>
          <w:rFonts w:hint="eastAsia" w:cs="仿宋" w:asciiTheme="minorEastAsia" w:hAnsiTheme="minorEastAsia" w:eastAsiaTheme="minorEastAsia"/>
          <w:szCs w:val="21"/>
        </w:rPr>
        <w:t>检查数量：按每检验批的电缆线路抽查20%，且不得少于1条电缆线路。</w:t>
      </w:r>
    </w:p>
    <w:p>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检查方法：观察检查。</w:t>
      </w:r>
    </w:p>
    <w:bookmarkEnd w:id="111"/>
    <w:p>
      <w:pPr>
        <w:pStyle w:val="41"/>
        <w:numPr>
          <w:ilvl w:val="0"/>
          <w:numId w:val="79"/>
        </w:numPr>
        <w:spacing w:line="360" w:lineRule="auto"/>
        <w:ind w:left="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电缆构筑物中电缆敷设，电缆排列应符合下列规定：</w:t>
      </w:r>
    </w:p>
    <w:p>
      <w:pPr>
        <w:pStyle w:val="41"/>
        <w:numPr>
          <w:ilvl w:val="0"/>
          <w:numId w:val="83"/>
        </w:numPr>
        <w:spacing w:line="360" w:lineRule="auto"/>
        <w:ind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电力电缆和控制电缆不宜配置在同一层支架上。</w:t>
      </w:r>
    </w:p>
    <w:p>
      <w:pPr>
        <w:pStyle w:val="41"/>
        <w:spacing w:line="360" w:lineRule="auto"/>
        <w:ind w:left="424" w:firstLine="0" w:firstLineChars="0"/>
        <w:rPr>
          <w:rFonts w:cs="仿宋" w:asciiTheme="minorEastAsia" w:hAnsiTheme="minorEastAsia" w:eastAsiaTheme="minorEastAsia"/>
          <w:szCs w:val="21"/>
        </w:rPr>
      </w:pPr>
      <w:r>
        <w:rPr>
          <w:rFonts w:cs="仿宋" w:asciiTheme="minorEastAsia" w:hAnsiTheme="minorEastAsia" w:eastAsiaTheme="minorEastAsia"/>
          <w:szCs w:val="21"/>
        </w:rPr>
        <w:t xml:space="preserve">2  </w:t>
      </w:r>
      <w:r>
        <w:rPr>
          <w:rFonts w:hint="eastAsia" w:cs="仿宋" w:asciiTheme="minorEastAsia" w:hAnsiTheme="minorEastAsia" w:eastAsiaTheme="minorEastAsia"/>
          <w:szCs w:val="21"/>
        </w:rPr>
        <w:t>高低压电力电缆，强电、弱电控制电缆应按顺序分层配置，宜由上而下配置；但在含有</w:t>
      </w:r>
      <w:r>
        <w:rPr>
          <w:rFonts w:hint="eastAsia" w:cs="仿宋" w:asciiTheme="minorEastAsia" w:hAnsiTheme="minorEastAsia" w:eastAsiaTheme="minorEastAsia"/>
          <w:color w:val="000000"/>
          <w:szCs w:val="21"/>
        </w:rPr>
        <w:t>35</w:t>
      </w:r>
      <w:r>
        <w:rPr>
          <w:rFonts w:hint="eastAsia" w:cs="仿宋" w:asciiTheme="minorEastAsia" w:hAnsiTheme="minorEastAsia" w:eastAsiaTheme="minorEastAsia"/>
          <w:color w:val="000000"/>
          <w:spacing w:val="0"/>
          <w:w w:val="15"/>
          <w:kern w:val="0"/>
          <w:szCs w:val="21"/>
          <w:fitText w:val="42" w:id="427719709"/>
        </w:rPr>
        <w:t xml:space="preserve">　 </w:t>
      </w:r>
      <w:r>
        <w:rPr>
          <w:rFonts w:hint="eastAsia" w:cs="仿宋" w:asciiTheme="minorEastAsia" w:hAnsiTheme="minorEastAsia" w:eastAsiaTheme="minorEastAsia"/>
          <w:color w:val="000000"/>
          <w:spacing w:val="-17"/>
          <w:w w:val="15"/>
          <w:kern w:val="0"/>
          <w:szCs w:val="21"/>
          <w:fitText w:val="42" w:id="427719709"/>
        </w:rPr>
        <w:t>　</w:t>
      </w:r>
      <w:r>
        <w:rPr>
          <w:rFonts w:hint="eastAsia" w:cs="仿宋" w:asciiTheme="minorEastAsia" w:hAnsiTheme="minorEastAsia" w:eastAsiaTheme="minorEastAsia"/>
          <w:color w:val="000000"/>
          <w:szCs w:val="21"/>
        </w:rPr>
        <w:t>kV</w:t>
      </w:r>
      <w:r>
        <w:rPr>
          <w:rFonts w:hint="eastAsia" w:cs="仿宋" w:asciiTheme="minorEastAsia" w:hAnsiTheme="minorEastAsia" w:eastAsiaTheme="minorEastAsia"/>
          <w:szCs w:val="21"/>
        </w:rPr>
        <w:t>以上高压电缆引入盘、柜时，可由下而上配置。</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3</w:t>
      </w:r>
      <w:r>
        <w:rPr>
          <w:rFonts w:cs="仿宋" w:asciiTheme="minorEastAsia" w:hAnsiTheme="minorEastAsia" w:eastAsiaTheme="minorEastAsia"/>
          <w:szCs w:val="21"/>
        </w:rPr>
        <w:t xml:space="preserve">  </w:t>
      </w:r>
      <w:r>
        <w:rPr>
          <w:rFonts w:hint="eastAsia" w:cs="仿宋" w:asciiTheme="minorEastAsia" w:hAnsiTheme="minorEastAsia" w:eastAsiaTheme="minorEastAsia"/>
          <w:szCs w:val="21"/>
        </w:rPr>
        <w:t>同一重要回路的工作与备用电缆实行耐火分隔时，应配置在不同侧或不同层的支架上。</w:t>
      </w:r>
    </w:p>
    <w:p>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检查数量：全数检查。</w:t>
      </w:r>
    </w:p>
    <w:p>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检查方法：观察检查。</w:t>
      </w:r>
    </w:p>
    <w:p>
      <w:pPr>
        <w:pStyle w:val="41"/>
        <w:numPr>
          <w:ilvl w:val="0"/>
          <w:numId w:val="79"/>
        </w:numPr>
        <w:spacing w:line="360" w:lineRule="auto"/>
        <w:ind w:left="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塑料绝缘电缆应有可靠的防潮封端；充油电缆在切断后尚应符合下列规定：</w:t>
      </w:r>
    </w:p>
    <w:p>
      <w:pPr>
        <w:pStyle w:val="41"/>
        <w:numPr>
          <w:ilvl w:val="1"/>
          <w:numId w:val="84"/>
        </w:num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rPr>
        <w:t>在任何情况下，充油电缆的任一段应有压力油箱保持油压；</w:t>
      </w:r>
    </w:p>
    <w:p>
      <w:pPr>
        <w:pStyle w:val="41"/>
        <w:numPr>
          <w:ilvl w:val="1"/>
          <w:numId w:val="84"/>
        </w:num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rPr>
        <w:t>连接油管路时，应排除管内空气，并采用喷油连接；</w:t>
      </w:r>
    </w:p>
    <w:p>
      <w:pPr>
        <w:pStyle w:val="41"/>
        <w:numPr>
          <w:ilvl w:val="1"/>
          <w:numId w:val="84"/>
        </w:num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rPr>
        <w:t>充油电缆的切断处应高于邻近两侧的电缆；</w:t>
      </w:r>
    </w:p>
    <w:p>
      <w:pPr>
        <w:pStyle w:val="41"/>
        <w:numPr>
          <w:ilvl w:val="1"/>
          <w:numId w:val="84"/>
        </w:num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rPr>
        <w:t>切断电缆时不得有金属屑及污物进入电缆。</w:t>
      </w:r>
    </w:p>
    <w:p>
      <w:pPr>
        <w:pStyle w:val="41"/>
        <w:spacing w:line="360" w:lineRule="auto"/>
        <w:ind w:left="42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检查数量：全数检查。</w:t>
      </w:r>
    </w:p>
    <w:p>
      <w:pPr>
        <w:pStyle w:val="41"/>
        <w:spacing w:line="360" w:lineRule="auto"/>
        <w:ind w:left="42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检查方法：观察检查。</w:t>
      </w:r>
    </w:p>
    <w:p>
      <w:pPr>
        <w:pStyle w:val="41"/>
        <w:numPr>
          <w:ilvl w:val="0"/>
          <w:numId w:val="79"/>
        </w:numPr>
        <w:spacing w:line="360" w:lineRule="auto"/>
        <w:ind w:left="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电力电缆接头布置应符合下列规定：</w:t>
      </w:r>
    </w:p>
    <w:p>
      <w:pPr>
        <w:pStyle w:val="41"/>
        <w:numPr>
          <w:ilvl w:val="1"/>
          <w:numId w:val="85"/>
        </w:num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rPr>
        <w:t>并列敷设的电缆，其接头位置宜相互错开；</w:t>
      </w:r>
    </w:p>
    <w:p>
      <w:pPr>
        <w:pStyle w:val="41"/>
        <w:numPr>
          <w:ilvl w:val="1"/>
          <w:numId w:val="85"/>
        </w:num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rPr>
        <w:t>电缆明敷接头，应用防火托板托置固定；电缆共通道敷设存在接头时，接头宜采用防火隔板或防爆盒进行隔离；</w:t>
      </w:r>
    </w:p>
    <w:p>
      <w:pPr>
        <w:pStyle w:val="41"/>
        <w:numPr>
          <w:ilvl w:val="1"/>
          <w:numId w:val="85"/>
        </w:num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rPr>
        <w:t>直埋电缆接头应有防止机械损伤的保护结构或外设保护盒，位于冻土层内的保护盒，盒内宜注入沥青。</w:t>
      </w:r>
    </w:p>
    <w:p>
      <w:pPr>
        <w:pStyle w:val="41"/>
        <w:spacing w:line="360" w:lineRule="auto"/>
        <w:ind w:left="42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检查数量：全数检查。</w:t>
      </w:r>
    </w:p>
    <w:p>
      <w:pPr>
        <w:pStyle w:val="41"/>
        <w:spacing w:line="360" w:lineRule="auto"/>
        <w:ind w:left="42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检查方法：观察检查。</w:t>
      </w:r>
    </w:p>
    <w:p>
      <w:pPr>
        <w:pStyle w:val="41"/>
        <w:numPr>
          <w:ilvl w:val="0"/>
          <w:numId w:val="79"/>
        </w:numPr>
        <w:spacing w:line="360" w:lineRule="auto"/>
        <w:ind w:left="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电缆之间，电缆与其他管道、道路、建筑物等之间平行和交叉时的最小净距，应符合设计要求。当设计无要求时，应符合下列规定：</w:t>
      </w:r>
    </w:p>
    <w:p>
      <w:pPr>
        <w:pStyle w:val="41"/>
        <w:numPr>
          <w:ilvl w:val="1"/>
          <w:numId w:val="86"/>
        </w:num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rPr>
        <w:t>未采取隔离或防护措施时，应符合表5.4.14的规定。</w:t>
      </w:r>
    </w:p>
    <w:p>
      <w:pPr>
        <w:pStyle w:val="41"/>
        <w:spacing w:line="360" w:lineRule="auto"/>
        <w:rPr>
          <w:rFonts w:ascii="黑体" w:hAnsi="黑体" w:eastAsia="黑体" w:cs="仿宋"/>
          <w:szCs w:val="21"/>
        </w:rPr>
      </w:pPr>
      <w:r>
        <w:rPr>
          <w:rFonts w:hint="eastAsia" w:ascii="黑体" w:hAnsi="黑体" w:eastAsia="黑体" w:cs="仿宋"/>
          <w:szCs w:val="21"/>
        </w:rPr>
        <w:t>表 5.4.14 电缆之间，电缆与管道、道路、建筑物之间平行和交叉时的最小净距</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0"/>
        <w:gridCol w:w="2914"/>
        <w:gridCol w:w="1522"/>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4" w:type="dxa"/>
            <w:gridSpan w:val="2"/>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项目</w:t>
            </w:r>
          </w:p>
        </w:tc>
        <w:tc>
          <w:tcPr>
            <w:tcW w:w="1522"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平行（m）</w:t>
            </w:r>
          </w:p>
        </w:tc>
        <w:tc>
          <w:tcPr>
            <w:tcW w:w="1592"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交叉（m）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dxa"/>
            <w:vMerge w:val="restart"/>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电力电缆间及其与控制电缆间</w:t>
            </w:r>
          </w:p>
        </w:tc>
        <w:tc>
          <w:tcPr>
            <w:tcW w:w="2914"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color w:val="000000"/>
                <w:szCs w:val="21"/>
              </w:rPr>
              <w:t>10</w:t>
            </w:r>
            <w:r>
              <w:rPr>
                <w:rFonts w:hint="eastAsia" w:cs="仿宋" w:asciiTheme="minorEastAsia" w:hAnsiTheme="minorEastAsia" w:eastAsiaTheme="minorEastAsia"/>
                <w:color w:val="000000"/>
                <w:spacing w:val="0"/>
                <w:w w:val="15"/>
                <w:kern w:val="0"/>
                <w:szCs w:val="21"/>
                <w:fitText w:val="42" w:id="468077027"/>
              </w:rPr>
              <w:t xml:space="preserve">　 </w:t>
            </w:r>
            <w:r>
              <w:rPr>
                <w:rFonts w:hint="eastAsia" w:cs="仿宋" w:asciiTheme="minorEastAsia" w:hAnsiTheme="minorEastAsia" w:eastAsiaTheme="minorEastAsia"/>
                <w:color w:val="000000"/>
                <w:spacing w:val="-17"/>
                <w:w w:val="15"/>
                <w:kern w:val="0"/>
                <w:szCs w:val="21"/>
                <w:fitText w:val="42" w:id="468077027"/>
              </w:rPr>
              <w:t>　</w:t>
            </w:r>
            <w:r>
              <w:rPr>
                <w:rFonts w:hint="eastAsia" w:cs="仿宋" w:asciiTheme="minorEastAsia" w:hAnsiTheme="minorEastAsia" w:eastAsiaTheme="minorEastAsia"/>
                <w:color w:val="000000"/>
                <w:szCs w:val="21"/>
              </w:rPr>
              <w:t>kV</w:t>
            </w:r>
            <w:r>
              <w:rPr>
                <w:rFonts w:hint="eastAsia" w:cs="仿宋" w:asciiTheme="minorEastAsia" w:hAnsiTheme="minorEastAsia" w:eastAsiaTheme="minorEastAsia"/>
                <w:szCs w:val="21"/>
              </w:rPr>
              <w:t>及以上</w:t>
            </w:r>
          </w:p>
        </w:tc>
        <w:tc>
          <w:tcPr>
            <w:tcW w:w="1522"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0.10</w:t>
            </w:r>
          </w:p>
        </w:tc>
        <w:tc>
          <w:tcPr>
            <w:tcW w:w="1592"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dxa"/>
            <w:vMerge w:val="continue"/>
            <w:vAlign w:val="center"/>
          </w:tcPr>
          <w:p>
            <w:pPr>
              <w:pStyle w:val="41"/>
              <w:spacing w:line="360" w:lineRule="auto"/>
              <w:jc w:val="center"/>
              <w:rPr>
                <w:rFonts w:cs="仿宋" w:asciiTheme="minorEastAsia" w:hAnsiTheme="minorEastAsia" w:eastAsiaTheme="minorEastAsia"/>
                <w:szCs w:val="21"/>
              </w:rPr>
            </w:pPr>
          </w:p>
        </w:tc>
        <w:tc>
          <w:tcPr>
            <w:tcW w:w="2914"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color w:val="000000"/>
                <w:szCs w:val="21"/>
              </w:rPr>
              <w:t>10</w:t>
            </w:r>
            <w:r>
              <w:rPr>
                <w:rFonts w:hint="eastAsia" w:cs="仿宋" w:asciiTheme="minorEastAsia" w:hAnsiTheme="minorEastAsia" w:eastAsiaTheme="minorEastAsia"/>
                <w:color w:val="000000"/>
                <w:spacing w:val="0"/>
                <w:w w:val="15"/>
                <w:kern w:val="0"/>
                <w:szCs w:val="21"/>
                <w:fitText w:val="42" w:id="468077027"/>
              </w:rPr>
              <w:t>　</w:t>
            </w:r>
            <w:r>
              <w:rPr>
                <w:rFonts w:hint="eastAsia" w:cs="仿宋" w:asciiTheme="minorEastAsia" w:hAnsiTheme="minorEastAsia" w:eastAsiaTheme="minorEastAsia"/>
                <w:color w:val="000000"/>
                <w:spacing w:val="-2"/>
                <w:w w:val="15"/>
                <w:kern w:val="0"/>
                <w:szCs w:val="21"/>
                <w:fitText w:val="42" w:id="468077027"/>
              </w:rPr>
              <w:t xml:space="preserve"> </w:t>
            </w:r>
            <w:r>
              <w:rPr>
                <w:rFonts w:hint="eastAsia" w:cs="仿宋" w:asciiTheme="minorEastAsia" w:hAnsiTheme="minorEastAsia" w:eastAsiaTheme="minorEastAsia"/>
                <w:color w:val="000000"/>
                <w:szCs w:val="21"/>
              </w:rPr>
              <w:t>kV</w:t>
            </w:r>
            <w:r>
              <w:rPr>
                <w:rFonts w:hint="eastAsia" w:cs="仿宋" w:asciiTheme="minorEastAsia" w:hAnsiTheme="minorEastAsia" w:eastAsiaTheme="minorEastAsia"/>
                <w:szCs w:val="21"/>
              </w:rPr>
              <w:t>以下</w:t>
            </w:r>
          </w:p>
        </w:tc>
        <w:tc>
          <w:tcPr>
            <w:tcW w:w="1522"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0.25</w:t>
            </w:r>
          </w:p>
        </w:tc>
        <w:tc>
          <w:tcPr>
            <w:tcW w:w="1592"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14" w:type="dxa"/>
            <w:gridSpan w:val="2"/>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不同部门使用的电缆间</w:t>
            </w:r>
          </w:p>
        </w:tc>
        <w:tc>
          <w:tcPr>
            <w:tcW w:w="1522"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0.50</w:t>
            </w:r>
          </w:p>
        </w:tc>
        <w:tc>
          <w:tcPr>
            <w:tcW w:w="1592"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4" w:type="dxa"/>
            <w:gridSpan w:val="2"/>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热管道（管沟）及热力设备</w:t>
            </w:r>
          </w:p>
        </w:tc>
        <w:tc>
          <w:tcPr>
            <w:tcW w:w="1522"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2.00</w:t>
            </w:r>
          </w:p>
        </w:tc>
        <w:tc>
          <w:tcPr>
            <w:tcW w:w="1592"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4" w:type="dxa"/>
            <w:gridSpan w:val="2"/>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油管道（管沟）</w:t>
            </w:r>
          </w:p>
        </w:tc>
        <w:tc>
          <w:tcPr>
            <w:tcW w:w="1522"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1.00</w:t>
            </w:r>
          </w:p>
        </w:tc>
        <w:tc>
          <w:tcPr>
            <w:tcW w:w="1592"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4" w:type="dxa"/>
            <w:gridSpan w:val="2"/>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可燃气体及易燃液体管道（管沟）</w:t>
            </w:r>
          </w:p>
        </w:tc>
        <w:tc>
          <w:tcPr>
            <w:tcW w:w="1522"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1.00</w:t>
            </w:r>
          </w:p>
        </w:tc>
        <w:tc>
          <w:tcPr>
            <w:tcW w:w="1592"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14" w:type="dxa"/>
            <w:gridSpan w:val="2"/>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其他管道（管沟）</w:t>
            </w:r>
          </w:p>
        </w:tc>
        <w:tc>
          <w:tcPr>
            <w:tcW w:w="1522"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0.50</w:t>
            </w:r>
          </w:p>
        </w:tc>
        <w:tc>
          <w:tcPr>
            <w:tcW w:w="1592"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4" w:type="dxa"/>
            <w:gridSpan w:val="2"/>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铁路路轨</w:t>
            </w:r>
          </w:p>
        </w:tc>
        <w:tc>
          <w:tcPr>
            <w:tcW w:w="1522"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3.00</w:t>
            </w:r>
          </w:p>
        </w:tc>
        <w:tc>
          <w:tcPr>
            <w:tcW w:w="1592"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dxa"/>
            <w:vMerge w:val="restart"/>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电气化铁路路轨</w:t>
            </w:r>
          </w:p>
        </w:tc>
        <w:tc>
          <w:tcPr>
            <w:tcW w:w="2914"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非直流电气化铁路路轨</w:t>
            </w:r>
          </w:p>
        </w:tc>
        <w:tc>
          <w:tcPr>
            <w:tcW w:w="1522"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3.00</w:t>
            </w:r>
          </w:p>
        </w:tc>
        <w:tc>
          <w:tcPr>
            <w:tcW w:w="1592"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dxa"/>
            <w:vMerge w:val="continue"/>
            <w:vAlign w:val="center"/>
          </w:tcPr>
          <w:p>
            <w:pPr>
              <w:pStyle w:val="41"/>
              <w:spacing w:line="360" w:lineRule="auto"/>
              <w:jc w:val="center"/>
              <w:rPr>
                <w:rFonts w:cs="仿宋" w:asciiTheme="minorEastAsia" w:hAnsiTheme="minorEastAsia" w:eastAsiaTheme="minorEastAsia"/>
                <w:szCs w:val="21"/>
              </w:rPr>
            </w:pPr>
          </w:p>
        </w:tc>
        <w:tc>
          <w:tcPr>
            <w:tcW w:w="2914"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直流电气化铁路路轨</w:t>
            </w:r>
          </w:p>
        </w:tc>
        <w:tc>
          <w:tcPr>
            <w:tcW w:w="1522"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10.00</w:t>
            </w:r>
          </w:p>
        </w:tc>
        <w:tc>
          <w:tcPr>
            <w:tcW w:w="1592"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14" w:type="dxa"/>
            <w:gridSpan w:val="2"/>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电缆与公路边</w:t>
            </w:r>
          </w:p>
        </w:tc>
        <w:tc>
          <w:tcPr>
            <w:tcW w:w="1522"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1.00</w:t>
            </w:r>
          </w:p>
        </w:tc>
        <w:tc>
          <w:tcPr>
            <w:tcW w:w="1592"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4" w:type="dxa"/>
            <w:gridSpan w:val="2"/>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城市街道路面</w:t>
            </w:r>
          </w:p>
        </w:tc>
        <w:tc>
          <w:tcPr>
            <w:tcW w:w="1522"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1.00</w:t>
            </w:r>
          </w:p>
        </w:tc>
        <w:tc>
          <w:tcPr>
            <w:tcW w:w="1592"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4" w:type="dxa"/>
            <w:gridSpan w:val="2"/>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电缆与</w:t>
            </w:r>
            <w:r>
              <w:rPr>
                <w:rFonts w:hint="eastAsia" w:cs="仿宋" w:asciiTheme="minorEastAsia" w:hAnsiTheme="minorEastAsia" w:eastAsiaTheme="minorEastAsia"/>
                <w:color w:val="000000"/>
                <w:szCs w:val="21"/>
              </w:rPr>
              <w:t>1</w:t>
            </w:r>
            <w:r>
              <w:rPr>
                <w:rFonts w:hint="eastAsia" w:cs="仿宋" w:asciiTheme="minorEastAsia" w:hAnsiTheme="minorEastAsia" w:eastAsiaTheme="minorEastAsia"/>
                <w:color w:val="000000"/>
                <w:spacing w:val="0"/>
                <w:w w:val="15"/>
                <w:kern w:val="0"/>
                <w:szCs w:val="21"/>
                <w:fitText w:val="42" w:id="1576167236"/>
              </w:rPr>
              <w:t>　</w:t>
            </w:r>
            <w:r>
              <w:rPr>
                <w:rFonts w:hint="eastAsia" w:cs="仿宋" w:asciiTheme="minorEastAsia" w:hAnsiTheme="minorEastAsia" w:eastAsiaTheme="minorEastAsia"/>
                <w:color w:val="000000"/>
                <w:spacing w:val="-2"/>
                <w:w w:val="15"/>
                <w:kern w:val="0"/>
                <w:szCs w:val="21"/>
                <w:fitText w:val="42" w:id="1576167236"/>
              </w:rPr>
              <w:t xml:space="preserve"> </w:t>
            </w:r>
            <w:r>
              <w:rPr>
                <w:rFonts w:hint="eastAsia" w:cs="仿宋" w:asciiTheme="minorEastAsia" w:hAnsiTheme="minorEastAsia" w:eastAsiaTheme="minorEastAsia"/>
                <w:color w:val="000000"/>
                <w:szCs w:val="21"/>
              </w:rPr>
              <w:t>kV</w:t>
            </w:r>
            <w:r>
              <w:rPr>
                <w:rFonts w:hint="eastAsia" w:cs="仿宋" w:asciiTheme="minorEastAsia" w:hAnsiTheme="minorEastAsia" w:eastAsiaTheme="minorEastAsia"/>
                <w:szCs w:val="21"/>
              </w:rPr>
              <w:t>以下架空线电杆</w:t>
            </w:r>
          </w:p>
        </w:tc>
        <w:tc>
          <w:tcPr>
            <w:tcW w:w="1522"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1.00</w:t>
            </w:r>
          </w:p>
        </w:tc>
        <w:tc>
          <w:tcPr>
            <w:tcW w:w="1592"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4" w:type="dxa"/>
            <w:gridSpan w:val="2"/>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电缆与</w:t>
            </w:r>
            <w:r>
              <w:rPr>
                <w:rFonts w:hint="eastAsia" w:cs="仿宋" w:asciiTheme="minorEastAsia" w:hAnsiTheme="minorEastAsia" w:eastAsiaTheme="minorEastAsia"/>
                <w:color w:val="000000"/>
                <w:szCs w:val="21"/>
              </w:rPr>
              <w:t>1</w:t>
            </w:r>
            <w:r>
              <w:rPr>
                <w:rFonts w:hint="eastAsia" w:cs="仿宋" w:asciiTheme="minorEastAsia" w:hAnsiTheme="minorEastAsia" w:eastAsiaTheme="minorEastAsia"/>
                <w:color w:val="000000"/>
                <w:spacing w:val="0"/>
                <w:w w:val="15"/>
                <w:kern w:val="0"/>
                <w:szCs w:val="21"/>
                <w:fitText w:val="42" w:id="1970170168"/>
              </w:rPr>
              <w:t>　</w:t>
            </w:r>
            <w:r>
              <w:rPr>
                <w:rFonts w:hint="eastAsia" w:cs="仿宋" w:asciiTheme="minorEastAsia" w:hAnsiTheme="minorEastAsia" w:eastAsiaTheme="minorEastAsia"/>
                <w:color w:val="000000"/>
                <w:spacing w:val="-2"/>
                <w:w w:val="15"/>
                <w:kern w:val="0"/>
                <w:szCs w:val="21"/>
                <w:fitText w:val="42" w:id="1970170168"/>
              </w:rPr>
              <w:t xml:space="preserve"> </w:t>
            </w:r>
            <w:r>
              <w:rPr>
                <w:rFonts w:hint="eastAsia" w:cs="仿宋" w:asciiTheme="minorEastAsia" w:hAnsiTheme="minorEastAsia" w:eastAsiaTheme="minorEastAsia"/>
                <w:color w:val="000000"/>
                <w:szCs w:val="21"/>
              </w:rPr>
              <w:t>kV</w:t>
            </w:r>
            <w:r>
              <w:rPr>
                <w:rFonts w:hint="eastAsia" w:cs="仿宋" w:asciiTheme="minorEastAsia" w:hAnsiTheme="minorEastAsia" w:eastAsiaTheme="minorEastAsia"/>
                <w:szCs w:val="21"/>
              </w:rPr>
              <w:t>以上架空线杆塔基础</w:t>
            </w:r>
          </w:p>
        </w:tc>
        <w:tc>
          <w:tcPr>
            <w:tcW w:w="1522"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4.00</w:t>
            </w:r>
          </w:p>
        </w:tc>
        <w:tc>
          <w:tcPr>
            <w:tcW w:w="1592"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14" w:type="dxa"/>
            <w:gridSpan w:val="2"/>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建筑物基础（边线）</w:t>
            </w:r>
          </w:p>
        </w:tc>
        <w:tc>
          <w:tcPr>
            <w:tcW w:w="1522"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0.60</w:t>
            </w:r>
          </w:p>
        </w:tc>
        <w:tc>
          <w:tcPr>
            <w:tcW w:w="1592"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4" w:type="dxa"/>
            <w:gridSpan w:val="2"/>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排水沟</w:t>
            </w:r>
          </w:p>
        </w:tc>
        <w:tc>
          <w:tcPr>
            <w:tcW w:w="1522"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1.00</w:t>
            </w:r>
          </w:p>
        </w:tc>
        <w:tc>
          <w:tcPr>
            <w:tcW w:w="1592" w:type="dxa"/>
            <w:vAlign w:val="center"/>
          </w:tcPr>
          <w:p>
            <w:pPr>
              <w:pStyle w:val="41"/>
              <w:spacing w:line="360" w:lineRule="auto"/>
              <w:ind w:firstLine="0" w:firstLineChars="0"/>
              <w:jc w:val="center"/>
              <w:rPr>
                <w:rFonts w:cs="仿宋" w:asciiTheme="minorEastAsia" w:hAnsiTheme="minorEastAsia" w:eastAsiaTheme="minorEastAsia"/>
                <w:szCs w:val="21"/>
              </w:rPr>
            </w:pPr>
            <w:r>
              <w:rPr>
                <w:rFonts w:hint="eastAsia" w:cs="仿宋" w:asciiTheme="minorEastAsia" w:hAnsiTheme="minorEastAsia" w:eastAsiaTheme="minorEastAsia"/>
                <w:szCs w:val="21"/>
              </w:rPr>
              <w:t>0.50</w:t>
            </w:r>
          </w:p>
        </w:tc>
      </w:tr>
    </w:tbl>
    <w:p>
      <w:pPr>
        <w:pStyle w:val="41"/>
        <w:spacing w:line="360" w:lineRule="auto"/>
        <w:ind w:firstLine="0" w:firstLineChars="0"/>
        <w:jc w:val="center"/>
        <w:rPr>
          <w:rFonts w:cs="仿宋" w:asciiTheme="minorEastAsia" w:hAnsiTheme="minorEastAsia" w:eastAsiaTheme="minorEastAsia"/>
          <w:szCs w:val="21"/>
        </w:rPr>
      </w:pPr>
    </w:p>
    <w:p>
      <w:pPr>
        <w:pStyle w:val="41"/>
        <w:numPr>
          <w:ilvl w:val="1"/>
          <w:numId w:val="86"/>
        </w:num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rPr>
        <w:t>当采取隔离或防护措施时，可按下列规定执行：</w:t>
      </w:r>
    </w:p>
    <w:p>
      <w:pPr>
        <w:spacing w:line="360" w:lineRule="auto"/>
        <w:ind w:left="850" w:leftChars="405"/>
        <w:rPr>
          <w:rFonts w:cs="仿宋" w:asciiTheme="minorEastAsia" w:hAnsiTheme="minorEastAsia" w:eastAsiaTheme="minorEastAsia"/>
          <w:szCs w:val="21"/>
        </w:rPr>
      </w:pPr>
      <w:r>
        <w:rPr>
          <w:rFonts w:hint="eastAsia" w:cs="仿宋" w:asciiTheme="minorEastAsia" w:hAnsiTheme="minorEastAsia" w:eastAsiaTheme="minorEastAsia"/>
          <w:szCs w:val="21"/>
        </w:rPr>
        <w:t>1）电力电缆间及其与控制电缆间或不同部门使用的电缆间，当电缆穿管或用隔板隔开时，平行净距可为</w:t>
      </w:r>
      <w:r>
        <w:rPr>
          <w:rFonts w:hint="eastAsia" w:cs="仿宋" w:asciiTheme="minorEastAsia" w:hAnsiTheme="minorEastAsia" w:eastAsiaTheme="minorEastAsia"/>
          <w:color w:val="000000"/>
          <w:szCs w:val="21"/>
        </w:rPr>
        <w:t>0.1</w:t>
      </w:r>
      <w:r>
        <w:rPr>
          <w:rFonts w:hint="eastAsia" w:cs="仿宋" w:asciiTheme="minorEastAsia" w:hAnsiTheme="minorEastAsia" w:eastAsiaTheme="minorEastAsia"/>
          <w:color w:val="000000"/>
          <w:spacing w:val="0"/>
          <w:w w:val="15"/>
          <w:kern w:val="0"/>
          <w:szCs w:val="21"/>
          <w:fitText w:val="42" w:id="811557005"/>
        </w:rPr>
        <w:t xml:space="preserve">　 </w:t>
      </w:r>
      <w:r>
        <w:rPr>
          <w:rFonts w:hint="eastAsia" w:cs="仿宋" w:asciiTheme="minorEastAsia" w:hAnsiTheme="minorEastAsia" w:eastAsiaTheme="minorEastAsia"/>
          <w:color w:val="000000"/>
          <w:spacing w:val="-17"/>
          <w:w w:val="15"/>
          <w:kern w:val="0"/>
          <w:szCs w:val="21"/>
          <w:fitText w:val="42" w:id="811557005"/>
        </w:rPr>
        <w:t>　</w:t>
      </w:r>
      <w:r>
        <w:rPr>
          <w:rFonts w:hint="eastAsia" w:cs="仿宋" w:asciiTheme="minorEastAsia" w:hAnsiTheme="minorEastAsia" w:eastAsiaTheme="minorEastAsia"/>
          <w:color w:val="000000"/>
          <w:szCs w:val="21"/>
        </w:rPr>
        <w:t>m</w:t>
      </w:r>
      <w:r>
        <w:rPr>
          <w:rFonts w:hint="eastAsia" w:cs="仿宋" w:asciiTheme="minorEastAsia" w:hAnsiTheme="minorEastAsia" w:eastAsiaTheme="minorEastAsia"/>
          <w:szCs w:val="21"/>
        </w:rPr>
        <w:t>；</w:t>
      </w:r>
    </w:p>
    <w:p>
      <w:pPr>
        <w:spacing w:line="360" w:lineRule="auto"/>
        <w:ind w:left="850" w:leftChars="405"/>
        <w:rPr>
          <w:rFonts w:cs="仿宋" w:asciiTheme="minorEastAsia" w:hAnsiTheme="minorEastAsia" w:eastAsiaTheme="minorEastAsia"/>
          <w:szCs w:val="21"/>
        </w:rPr>
      </w:pPr>
      <w:r>
        <w:rPr>
          <w:rFonts w:cs="仿宋" w:asciiTheme="minorEastAsia" w:hAnsiTheme="minorEastAsia" w:eastAsiaTheme="minorEastAsia"/>
          <w:szCs w:val="21"/>
        </w:rPr>
        <w:t>2</w:t>
      </w:r>
      <w:r>
        <w:rPr>
          <w:rFonts w:hint="eastAsia" w:cs="仿宋" w:asciiTheme="minorEastAsia" w:hAnsiTheme="minorEastAsia" w:eastAsiaTheme="minorEastAsia"/>
          <w:szCs w:val="21"/>
        </w:rPr>
        <w:t>）电力电缆间及其与控制电缆间或不同部门使用的电缆间，在交叉点前后</w:t>
      </w:r>
      <w:r>
        <w:rPr>
          <w:rFonts w:hint="eastAsia" w:cs="仿宋" w:asciiTheme="minorEastAsia" w:hAnsiTheme="minorEastAsia" w:eastAsiaTheme="minorEastAsia"/>
          <w:color w:val="000000"/>
          <w:szCs w:val="21"/>
        </w:rPr>
        <w:t>1 m</w:t>
      </w:r>
      <w:r>
        <w:rPr>
          <w:rFonts w:hint="eastAsia" w:cs="仿宋" w:asciiTheme="minorEastAsia" w:hAnsiTheme="minorEastAsia" w:eastAsiaTheme="minorEastAsia"/>
          <w:szCs w:val="21"/>
        </w:rPr>
        <w:t>范围内，当电缆穿入管中或用隔板隔开时，其交叉净距可为</w:t>
      </w:r>
      <w:r>
        <w:rPr>
          <w:rFonts w:hint="eastAsia" w:cs="仿宋" w:asciiTheme="minorEastAsia" w:hAnsiTheme="minorEastAsia" w:eastAsiaTheme="minorEastAsia"/>
          <w:color w:val="000000"/>
          <w:szCs w:val="21"/>
        </w:rPr>
        <w:t>0.25</w:t>
      </w:r>
      <w:r>
        <w:rPr>
          <w:rFonts w:hint="eastAsia" w:cs="仿宋" w:asciiTheme="minorEastAsia" w:hAnsiTheme="minorEastAsia" w:eastAsiaTheme="minorEastAsia"/>
          <w:color w:val="000000"/>
          <w:spacing w:val="0"/>
          <w:w w:val="15"/>
          <w:kern w:val="0"/>
          <w:szCs w:val="21"/>
          <w:fitText w:val="42" w:id="912852925"/>
        </w:rPr>
        <w:t xml:space="preserve">　 </w:t>
      </w:r>
      <w:r>
        <w:rPr>
          <w:rFonts w:hint="eastAsia" w:cs="仿宋" w:asciiTheme="minorEastAsia" w:hAnsiTheme="minorEastAsia" w:eastAsiaTheme="minorEastAsia"/>
          <w:color w:val="000000"/>
          <w:spacing w:val="-17"/>
          <w:w w:val="15"/>
          <w:kern w:val="0"/>
          <w:szCs w:val="21"/>
          <w:fitText w:val="42" w:id="912852925"/>
        </w:rPr>
        <w:t>　</w:t>
      </w:r>
      <w:r>
        <w:rPr>
          <w:rFonts w:hint="eastAsia" w:cs="仿宋" w:asciiTheme="minorEastAsia" w:hAnsiTheme="minorEastAsia" w:eastAsiaTheme="minorEastAsia"/>
          <w:color w:val="000000"/>
          <w:szCs w:val="21"/>
        </w:rPr>
        <w:t>m</w:t>
      </w:r>
      <w:r>
        <w:rPr>
          <w:rFonts w:hint="eastAsia" w:cs="仿宋" w:asciiTheme="minorEastAsia" w:hAnsiTheme="minorEastAsia" w:eastAsiaTheme="minorEastAsia"/>
          <w:szCs w:val="21"/>
        </w:rPr>
        <w:t>；</w:t>
      </w:r>
    </w:p>
    <w:p>
      <w:pPr>
        <w:spacing w:line="360" w:lineRule="auto"/>
        <w:ind w:left="850" w:leftChars="405"/>
        <w:rPr>
          <w:rFonts w:cs="仿宋" w:asciiTheme="minorEastAsia" w:hAnsiTheme="minorEastAsia" w:eastAsiaTheme="minorEastAsia"/>
          <w:szCs w:val="21"/>
        </w:rPr>
      </w:pPr>
      <w:r>
        <w:rPr>
          <w:rFonts w:cs="仿宋" w:asciiTheme="minorEastAsia" w:hAnsiTheme="minorEastAsia" w:eastAsiaTheme="minorEastAsia"/>
          <w:szCs w:val="21"/>
        </w:rPr>
        <w:t>3</w:t>
      </w:r>
      <w:r>
        <w:rPr>
          <w:rFonts w:hint="eastAsia" w:cs="仿宋" w:asciiTheme="minorEastAsia" w:hAnsiTheme="minorEastAsia" w:eastAsiaTheme="minorEastAsia"/>
          <w:szCs w:val="21"/>
        </w:rPr>
        <w:t>）电缆与热管道</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沟）、油管道</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沟）、可燃气体及易燃液体管道</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沟）、热力设备或其他管道</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沟</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之间，虽净距能满足要求，但检修管路可能伤及电缆时，在交叉点前后</w:t>
      </w:r>
      <w:r>
        <w:rPr>
          <w:rFonts w:hint="eastAsia" w:cs="仿宋" w:asciiTheme="minorEastAsia" w:hAnsiTheme="minorEastAsia" w:eastAsiaTheme="minorEastAsia"/>
          <w:color w:val="000000"/>
          <w:szCs w:val="21"/>
        </w:rPr>
        <w:t>1 m</w:t>
      </w:r>
      <w:r>
        <w:rPr>
          <w:rFonts w:hint="eastAsia" w:cs="仿宋" w:asciiTheme="minorEastAsia" w:hAnsiTheme="minorEastAsia" w:eastAsiaTheme="minorEastAsia"/>
          <w:szCs w:val="21"/>
        </w:rPr>
        <w:t>范围内，尚应采取保护措施；当交叉净距离不能满足要求时，应将电缆穿入管中，其净距可为</w:t>
      </w:r>
      <w:r>
        <w:rPr>
          <w:rFonts w:hint="eastAsia" w:cs="仿宋" w:asciiTheme="minorEastAsia" w:hAnsiTheme="minorEastAsia" w:eastAsiaTheme="minorEastAsia"/>
          <w:color w:val="000000"/>
          <w:szCs w:val="21"/>
        </w:rPr>
        <w:t>0.25</w:t>
      </w:r>
      <w:r>
        <w:rPr>
          <w:rFonts w:hint="eastAsia" w:cs="仿宋" w:asciiTheme="minorEastAsia" w:hAnsiTheme="minorEastAsia" w:eastAsiaTheme="minorEastAsia"/>
          <w:color w:val="000000"/>
          <w:spacing w:val="0"/>
          <w:w w:val="15"/>
          <w:kern w:val="0"/>
          <w:szCs w:val="21"/>
          <w:fitText w:val="42" w:id="456417374"/>
        </w:rPr>
        <w:t xml:space="preserve">　 </w:t>
      </w:r>
      <w:r>
        <w:rPr>
          <w:rFonts w:hint="eastAsia" w:cs="仿宋" w:asciiTheme="minorEastAsia" w:hAnsiTheme="minorEastAsia" w:eastAsiaTheme="minorEastAsia"/>
          <w:color w:val="000000"/>
          <w:spacing w:val="-17"/>
          <w:w w:val="15"/>
          <w:kern w:val="0"/>
          <w:szCs w:val="21"/>
          <w:fitText w:val="42" w:id="456417374"/>
        </w:rPr>
        <w:t>　</w:t>
      </w:r>
      <w:r>
        <w:rPr>
          <w:rFonts w:hint="eastAsia" w:cs="仿宋" w:asciiTheme="minorEastAsia" w:hAnsiTheme="minorEastAsia" w:eastAsiaTheme="minorEastAsia"/>
          <w:color w:val="000000"/>
          <w:szCs w:val="21"/>
        </w:rPr>
        <w:t>m</w:t>
      </w:r>
      <w:r>
        <w:rPr>
          <w:rFonts w:hint="eastAsia" w:cs="仿宋" w:asciiTheme="minorEastAsia" w:hAnsiTheme="minorEastAsia" w:eastAsiaTheme="minorEastAsia"/>
          <w:szCs w:val="21"/>
        </w:rPr>
        <w:t>；</w:t>
      </w:r>
    </w:p>
    <w:p>
      <w:pPr>
        <w:spacing w:line="360" w:lineRule="auto"/>
        <w:ind w:left="850" w:leftChars="405"/>
        <w:rPr>
          <w:rFonts w:cs="仿宋" w:asciiTheme="minorEastAsia" w:hAnsiTheme="minorEastAsia" w:eastAsiaTheme="minorEastAsia"/>
          <w:szCs w:val="21"/>
        </w:rPr>
      </w:pPr>
      <w:r>
        <w:rPr>
          <w:rFonts w:cs="仿宋" w:asciiTheme="minorEastAsia" w:hAnsiTheme="minorEastAsia" w:eastAsiaTheme="minorEastAsia"/>
          <w:szCs w:val="21"/>
        </w:rPr>
        <w:t>4</w:t>
      </w:r>
      <w:r>
        <w:rPr>
          <w:rFonts w:hint="eastAsia" w:cs="仿宋" w:asciiTheme="minorEastAsia" w:hAnsiTheme="minorEastAsia" w:eastAsiaTheme="minorEastAsia"/>
          <w:szCs w:val="21"/>
        </w:rPr>
        <w:t>）电缆与热管道</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管沟</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及热力设备平行、交叉时，应采取隔热措施，使电缆周围土壤的温升不超过</w:t>
      </w:r>
      <w:r>
        <w:rPr>
          <w:rFonts w:hint="eastAsia" w:cs="仿宋" w:asciiTheme="minorEastAsia" w:hAnsiTheme="minorEastAsia" w:eastAsiaTheme="minorEastAsia"/>
          <w:color w:val="000000"/>
          <w:szCs w:val="21"/>
        </w:rPr>
        <w:t>10</w:t>
      </w:r>
      <w:r>
        <w:rPr>
          <w:rFonts w:hint="eastAsia" w:cs="仿宋" w:asciiTheme="minorEastAsia" w:hAnsiTheme="minorEastAsia" w:eastAsiaTheme="minorEastAsia"/>
          <w:color w:val="000000"/>
          <w:spacing w:val="0"/>
          <w:w w:val="15"/>
          <w:kern w:val="0"/>
          <w:szCs w:val="21"/>
          <w:fitText w:val="42" w:id="456417374"/>
        </w:rPr>
        <w:t xml:space="preserve">　 </w:t>
      </w:r>
      <w:r>
        <w:rPr>
          <w:rFonts w:hint="eastAsia" w:cs="仿宋" w:asciiTheme="minorEastAsia" w:hAnsiTheme="minorEastAsia" w:eastAsiaTheme="minorEastAsia"/>
          <w:color w:val="000000"/>
          <w:spacing w:val="-17"/>
          <w:w w:val="15"/>
          <w:kern w:val="0"/>
          <w:szCs w:val="21"/>
          <w:fitText w:val="42" w:id="456417374"/>
        </w:rPr>
        <w:t>　</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w:t>
      </w:r>
    </w:p>
    <w:p>
      <w:pPr>
        <w:spacing w:line="360" w:lineRule="auto"/>
        <w:ind w:left="850" w:leftChars="405"/>
        <w:rPr>
          <w:rFonts w:cs="仿宋" w:asciiTheme="minorEastAsia" w:hAnsiTheme="minorEastAsia" w:eastAsiaTheme="minorEastAsia"/>
          <w:szCs w:val="21"/>
        </w:rPr>
      </w:pPr>
      <w:r>
        <w:rPr>
          <w:rFonts w:cs="仿宋" w:asciiTheme="minorEastAsia" w:hAnsiTheme="minorEastAsia" w:eastAsiaTheme="minorEastAsia"/>
          <w:szCs w:val="21"/>
        </w:rPr>
        <w:t>5</w:t>
      </w:r>
      <w:r>
        <w:rPr>
          <w:rFonts w:hint="eastAsia" w:cs="仿宋" w:asciiTheme="minorEastAsia" w:hAnsiTheme="minorEastAsia" w:eastAsiaTheme="minorEastAsia"/>
          <w:szCs w:val="21"/>
        </w:rPr>
        <w:t>）当直流电缆与电气化铁路路轨平行、交叉</w:t>
      </w:r>
      <w:r>
        <w:rPr>
          <w:rFonts w:hint="eastAsia" w:cs="仿宋" w:asciiTheme="minorEastAsia" w:hAnsiTheme="minorEastAsia" w:eastAsiaTheme="minorEastAsia"/>
          <w:color w:val="000000"/>
          <w:szCs w:val="21"/>
        </w:rPr>
        <w:t>其</w:t>
      </w:r>
      <w:r>
        <w:rPr>
          <w:rFonts w:hint="eastAsia" w:cs="仿宋" w:asciiTheme="minorEastAsia" w:hAnsiTheme="minorEastAsia" w:eastAsiaTheme="minorEastAsia"/>
          <w:szCs w:val="21"/>
        </w:rPr>
        <w:t>净距不能满足要求时，应采取防电化腐蚀措施；</w:t>
      </w:r>
    </w:p>
    <w:p>
      <w:pPr>
        <w:spacing w:line="360" w:lineRule="auto"/>
        <w:ind w:left="850" w:leftChars="405"/>
        <w:rPr>
          <w:rFonts w:cs="仿宋" w:asciiTheme="minorEastAsia" w:hAnsiTheme="minorEastAsia" w:eastAsiaTheme="minorEastAsia"/>
          <w:szCs w:val="21"/>
        </w:rPr>
      </w:pPr>
      <w:r>
        <w:rPr>
          <w:rFonts w:cs="仿宋" w:asciiTheme="minorEastAsia" w:hAnsiTheme="minorEastAsia" w:eastAsiaTheme="minorEastAsia"/>
          <w:szCs w:val="21"/>
        </w:rPr>
        <w:t>6</w:t>
      </w:r>
      <w:r>
        <w:rPr>
          <w:rFonts w:hint="eastAsia" w:cs="仿宋" w:asciiTheme="minorEastAsia" w:hAnsiTheme="minorEastAsia" w:eastAsiaTheme="minorEastAsia"/>
          <w:szCs w:val="21"/>
        </w:rPr>
        <w:t>）直埋电缆穿越城市街道、公路、铁路，或穿过有载重车辆通过的大门，进入建筑物的墙角处，进入隧道、人井，或从地下引出到地面时，应将电缆敷设在满足强度要求的管道内，并将管口封堵严密；</w:t>
      </w:r>
    </w:p>
    <w:p>
      <w:pPr>
        <w:spacing w:line="360" w:lineRule="auto"/>
        <w:ind w:left="850" w:leftChars="405"/>
        <w:rPr>
          <w:rFonts w:cs="仿宋" w:asciiTheme="minorEastAsia" w:hAnsiTheme="minorEastAsia" w:eastAsiaTheme="minorEastAsia"/>
          <w:szCs w:val="21"/>
        </w:rPr>
      </w:pPr>
      <w:r>
        <w:rPr>
          <w:rFonts w:cs="仿宋" w:asciiTheme="minorEastAsia" w:hAnsiTheme="minorEastAsia" w:eastAsiaTheme="minorEastAsia"/>
          <w:szCs w:val="21"/>
        </w:rPr>
        <w:t>7</w:t>
      </w:r>
      <w:r>
        <w:rPr>
          <w:rFonts w:hint="eastAsia" w:cs="仿宋" w:asciiTheme="minorEastAsia" w:hAnsiTheme="minorEastAsia" w:eastAsiaTheme="minorEastAsia"/>
          <w:szCs w:val="21"/>
        </w:rPr>
        <w:t>）当电缆穿管敷设时，与公路、街道路面、杆塔基础、建筑物基础、排水沟等的平行最小间距可按表5.4.14中的数据减半。</w:t>
      </w:r>
    </w:p>
    <w:p>
      <w:pPr>
        <w:pStyle w:val="41"/>
        <w:numPr>
          <w:ilvl w:val="1"/>
          <w:numId w:val="86"/>
        </w:num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rPr>
        <w:t>当采取隔离或防护措施时</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应符合下列规定</w:t>
      </w:r>
      <w:r>
        <w:rPr>
          <w:rFonts w:hint="eastAsia" w:cs="仿宋" w:asciiTheme="minorEastAsia" w:hAnsiTheme="minorEastAsia" w:eastAsiaTheme="minorEastAsia"/>
          <w:color w:val="000000"/>
          <w:szCs w:val="21"/>
        </w:rPr>
        <w:t>：</w:t>
      </w:r>
    </w:p>
    <w:p>
      <w:pPr>
        <w:spacing w:line="360" w:lineRule="auto"/>
        <w:ind w:left="850" w:leftChars="405"/>
        <w:rPr>
          <w:rFonts w:cs="仿宋" w:asciiTheme="minorEastAsia" w:hAnsiTheme="minorEastAsia"/>
          <w:szCs w:val="21"/>
        </w:rPr>
      </w:pPr>
      <w:r>
        <w:rPr>
          <w:rFonts w:hint="eastAsia" w:cs="仿宋" w:asciiTheme="minorEastAsia" w:hAnsiTheme="minorEastAsia" w:eastAsiaTheme="minorEastAsia"/>
          <w:szCs w:val="21"/>
        </w:rPr>
        <w:t>1）电力电缆间及其与控制电缆间或不同使用部门的电缆间，当电缆穿管或用隔板隔开时</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平行净距可降低为</w:t>
      </w:r>
      <w:r>
        <w:rPr>
          <w:rFonts w:hint="eastAsia" w:cs="仿宋" w:asciiTheme="minorEastAsia" w:hAnsiTheme="minorEastAsia" w:eastAsiaTheme="minorEastAsia"/>
          <w:color w:val="000000"/>
          <w:szCs w:val="21"/>
        </w:rPr>
        <w:t>0.1</w:t>
      </w:r>
      <w:r>
        <w:rPr>
          <w:rFonts w:hint="eastAsia" w:cs="仿宋" w:asciiTheme="minorEastAsia" w:hAnsiTheme="minorEastAsia" w:eastAsiaTheme="minorEastAsia"/>
          <w:color w:val="000000"/>
          <w:spacing w:val="0"/>
          <w:w w:val="15"/>
          <w:kern w:val="0"/>
          <w:szCs w:val="21"/>
          <w:fitText w:val="42" w:id="1187792463"/>
        </w:rPr>
        <w:t xml:space="preserve">　 </w:t>
      </w:r>
      <w:r>
        <w:rPr>
          <w:rFonts w:hint="eastAsia" w:cs="仿宋" w:asciiTheme="minorEastAsia" w:hAnsiTheme="minorEastAsia" w:eastAsiaTheme="minorEastAsia"/>
          <w:color w:val="000000"/>
          <w:spacing w:val="-17"/>
          <w:w w:val="15"/>
          <w:kern w:val="0"/>
          <w:szCs w:val="21"/>
          <w:fitText w:val="42" w:id="1187792463"/>
        </w:rPr>
        <w:t>　</w:t>
      </w:r>
      <w:r>
        <w:rPr>
          <w:rFonts w:hint="eastAsia" w:cs="仿宋" w:asciiTheme="minorEastAsia" w:hAnsiTheme="minorEastAsia" w:eastAsiaTheme="minorEastAsia"/>
          <w:color w:val="000000"/>
          <w:szCs w:val="21"/>
        </w:rPr>
        <w:t>m</w:t>
      </w:r>
      <w:r>
        <w:rPr>
          <w:rFonts w:hint="eastAsia" w:cs="仿宋" w:asciiTheme="minorEastAsia" w:hAnsiTheme="minorEastAsia" w:eastAsiaTheme="minorEastAsia"/>
          <w:szCs w:val="21"/>
        </w:rPr>
        <w:t>；</w:t>
      </w:r>
    </w:p>
    <w:p>
      <w:pPr>
        <w:spacing w:line="360" w:lineRule="auto"/>
        <w:ind w:left="850" w:leftChars="405"/>
        <w:rPr>
          <w:rFonts w:cs="仿宋" w:asciiTheme="minorEastAsia" w:hAnsiTheme="minorEastAsia"/>
          <w:szCs w:val="21"/>
        </w:rPr>
      </w:pPr>
      <w:r>
        <w:rPr>
          <w:rFonts w:cs="仿宋" w:asciiTheme="minorEastAsia" w:hAnsiTheme="minorEastAsia" w:eastAsiaTheme="minorEastAsia"/>
          <w:szCs w:val="21"/>
        </w:rPr>
        <w:t>2</w:t>
      </w:r>
      <w:r>
        <w:rPr>
          <w:rFonts w:hint="eastAsia" w:cs="仿宋" w:asciiTheme="minorEastAsia" w:hAnsiTheme="minorEastAsia" w:eastAsiaTheme="minorEastAsia"/>
          <w:szCs w:val="21"/>
        </w:rPr>
        <w:t>）电力电缆间、控制电缆间以及它们相互之间</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 xml:space="preserve">不同使用部门的电缆间在交叉点前后 </w:t>
      </w:r>
      <w:r>
        <w:rPr>
          <w:rFonts w:hint="eastAsia" w:cs="仿宋" w:asciiTheme="minorEastAsia" w:hAnsiTheme="minorEastAsia" w:eastAsiaTheme="minorEastAsia"/>
          <w:color w:val="000000"/>
          <w:szCs w:val="21"/>
        </w:rPr>
        <w:t>1 m</w:t>
      </w:r>
      <w:r>
        <w:rPr>
          <w:rFonts w:hint="eastAsia" w:cs="仿宋" w:asciiTheme="minorEastAsia" w:hAnsiTheme="minorEastAsia" w:eastAsiaTheme="minorEastAsia"/>
          <w:szCs w:val="21"/>
        </w:rPr>
        <w:t xml:space="preserve"> 范围内</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当电缆</w:t>
      </w:r>
      <w:r>
        <w:rPr>
          <w:rFonts w:hint="eastAsia" w:cs="仿宋" w:asciiTheme="minorEastAsia" w:hAnsiTheme="minorEastAsia" w:eastAsiaTheme="minorEastAsia"/>
          <w:color w:val="000000"/>
          <w:szCs w:val="21"/>
        </w:rPr>
        <w:t>穿入</w:t>
      </w:r>
      <w:r>
        <w:rPr>
          <w:rFonts w:hint="eastAsia" w:cs="仿宋" w:asciiTheme="minorEastAsia" w:hAnsiTheme="minorEastAsia" w:eastAsiaTheme="minorEastAsia"/>
          <w:szCs w:val="21"/>
        </w:rPr>
        <w:t>管中或用隔板隔开时</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其交叉净距可降低为</w:t>
      </w:r>
      <w:r>
        <w:rPr>
          <w:rFonts w:hint="eastAsia" w:cs="仿宋" w:asciiTheme="minorEastAsia" w:hAnsiTheme="minorEastAsia" w:eastAsiaTheme="minorEastAsia"/>
          <w:color w:val="000000"/>
          <w:szCs w:val="21"/>
        </w:rPr>
        <w:t>0.25 m</w:t>
      </w:r>
      <w:r>
        <w:rPr>
          <w:rFonts w:hint="eastAsia" w:cs="仿宋" w:asciiTheme="minorEastAsia" w:hAnsiTheme="minorEastAsia" w:eastAsiaTheme="minorEastAsia"/>
          <w:szCs w:val="21"/>
        </w:rPr>
        <w:t>；</w:t>
      </w:r>
    </w:p>
    <w:p>
      <w:pPr>
        <w:spacing w:line="360" w:lineRule="auto"/>
        <w:ind w:left="850" w:leftChars="405"/>
        <w:rPr>
          <w:rFonts w:cs="仿宋" w:asciiTheme="minorEastAsia" w:hAnsiTheme="minorEastAsia" w:eastAsiaTheme="minorEastAsia"/>
          <w:b/>
          <w:i/>
          <w:szCs w:val="21"/>
        </w:rPr>
      </w:pPr>
      <w:r>
        <w:rPr>
          <w:rFonts w:cs="仿宋" w:asciiTheme="minorEastAsia" w:hAnsiTheme="minorEastAsia" w:eastAsiaTheme="minorEastAsia"/>
          <w:szCs w:val="21"/>
        </w:rPr>
        <w:t>3</w:t>
      </w:r>
      <w:r>
        <w:rPr>
          <w:rFonts w:hint="eastAsia" w:cs="仿宋" w:asciiTheme="minorEastAsia" w:hAnsiTheme="minorEastAsia" w:eastAsiaTheme="minorEastAsia"/>
          <w:szCs w:val="21"/>
        </w:rPr>
        <w:t>）电缆与热管道</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管沟）、油管道</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管沟）、可燃气体及易燃液体管道</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沟）、热力设备或其他管道</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管沟</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之间</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虽净距能满足要求，但检修管路可能伤及电缆时</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 xml:space="preserve">在交叉点前后 </w:t>
      </w:r>
      <w:r>
        <w:rPr>
          <w:rFonts w:hint="eastAsia" w:cs="仿宋" w:asciiTheme="minorEastAsia" w:hAnsiTheme="minorEastAsia" w:eastAsiaTheme="minorEastAsia"/>
          <w:color w:val="000000"/>
          <w:szCs w:val="21"/>
        </w:rPr>
        <w:t>1</w:t>
      </w:r>
      <w:r>
        <w:rPr>
          <w:rFonts w:hint="eastAsia" w:cs="仿宋" w:asciiTheme="minorEastAsia" w:hAnsiTheme="minorEastAsia" w:eastAsiaTheme="minorEastAsia"/>
          <w:color w:val="000000"/>
          <w:spacing w:val="0"/>
          <w:w w:val="15"/>
          <w:kern w:val="0"/>
          <w:szCs w:val="21"/>
          <w:fitText w:val="42" w:id="1582778126"/>
        </w:rPr>
        <w:t xml:space="preserve">　 </w:t>
      </w:r>
      <w:r>
        <w:rPr>
          <w:rFonts w:hint="eastAsia" w:cs="仿宋" w:asciiTheme="minorEastAsia" w:hAnsiTheme="minorEastAsia" w:eastAsiaTheme="minorEastAsia"/>
          <w:color w:val="000000"/>
          <w:spacing w:val="-17"/>
          <w:w w:val="15"/>
          <w:kern w:val="0"/>
          <w:szCs w:val="21"/>
          <w:fitText w:val="42" w:id="1582778126"/>
        </w:rPr>
        <w:t>　</w:t>
      </w:r>
      <w:r>
        <w:rPr>
          <w:rFonts w:hint="eastAsia" w:cs="仿宋" w:asciiTheme="minorEastAsia" w:hAnsiTheme="minorEastAsia" w:eastAsiaTheme="minorEastAsia"/>
          <w:color w:val="000000"/>
          <w:szCs w:val="21"/>
        </w:rPr>
        <w:t>m</w:t>
      </w:r>
      <w:r>
        <w:rPr>
          <w:rFonts w:hint="eastAsia" w:cs="仿宋" w:asciiTheme="minorEastAsia" w:hAnsiTheme="minorEastAsia" w:eastAsiaTheme="minorEastAsia"/>
          <w:szCs w:val="21"/>
        </w:rPr>
        <w:t>范围内</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尚应采取保护措施</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当交叉净距离不能满足要求时</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应将电缆</w:t>
      </w:r>
      <w:r>
        <w:rPr>
          <w:rFonts w:hint="eastAsia" w:cs="仿宋" w:asciiTheme="minorEastAsia" w:hAnsiTheme="minorEastAsia" w:eastAsiaTheme="minorEastAsia"/>
          <w:color w:val="000000"/>
          <w:szCs w:val="21"/>
        </w:rPr>
        <w:t>穿入</w:t>
      </w:r>
      <w:r>
        <w:rPr>
          <w:rFonts w:hint="eastAsia" w:cs="仿宋" w:asciiTheme="minorEastAsia" w:hAnsiTheme="minorEastAsia" w:eastAsiaTheme="minorEastAsia"/>
          <w:szCs w:val="21"/>
        </w:rPr>
        <w:t>管中</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其净距可降低为</w:t>
      </w:r>
      <w:r>
        <w:rPr>
          <w:rFonts w:hint="eastAsia" w:cs="仿宋" w:asciiTheme="minorEastAsia" w:hAnsiTheme="minorEastAsia" w:eastAsiaTheme="minorEastAsia"/>
          <w:color w:val="000000"/>
          <w:szCs w:val="21"/>
        </w:rPr>
        <w:t>0.25 m</w:t>
      </w:r>
      <w:r>
        <w:rPr>
          <w:rFonts w:hint="eastAsia" w:cs="仿宋" w:asciiTheme="minorEastAsia" w:hAnsiTheme="minorEastAsia" w:eastAsiaTheme="minorEastAsia"/>
          <w:szCs w:val="21"/>
        </w:rPr>
        <w:t>。</w:t>
      </w:r>
    </w:p>
    <w:p>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检查数量：全数检查。</w:t>
      </w:r>
    </w:p>
    <w:p>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检查方法：</w:t>
      </w:r>
      <w:r>
        <w:rPr>
          <w:rFonts w:hint="eastAsia" w:cs="仿宋" w:asciiTheme="minorEastAsia" w:hAnsiTheme="minorEastAsia" w:eastAsiaTheme="minorEastAsia"/>
          <w:color w:val="000000"/>
          <w:szCs w:val="21"/>
        </w:rPr>
        <w:t>尺量</w:t>
      </w:r>
      <w:r>
        <w:rPr>
          <w:rFonts w:hint="eastAsia" w:cs="仿宋" w:asciiTheme="minorEastAsia" w:hAnsiTheme="minorEastAsia" w:eastAsiaTheme="minorEastAsia"/>
          <w:szCs w:val="21"/>
        </w:rPr>
        <w:t>、观察检查。</w:t>
      </w:r>
    </w:p>
    <w:p>
      <w:pPr>
        <w:pStyle w:val="41"/>
        <w:numPr>
          <w:ilvl w:val="0"/>
          <w:numId w:val="79"/>
        </w:numPr>
        <w:spacing w:line="360" w:lineRule="auto"/>
        <w:ind w:left="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桥梁上电缆的敷设方式应符合设计要求。当设计无要求时，敷设方式应根据桥梁结构和特点确定，并应符合下列规定：</w:t>
      </w:r>
    </w:p>
    <w:p>
      <w:pPr>
        <w:pStyle w:val="41"/>
        <w:numPr>
          <w:ilvl w:val="1"/>
          <w:numId w:val="87"/>
        </w:num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rPr>
        <w:t>应具有防止电缆着火危害桥梁的可靠措施；</w:t>
      </w:r>
    </w:p>
    <w:p>
      <w:pPr>
        <w:pStyle w:val="41"/>
        <w:numPr>
          <w:ilvl w:val="1"/>
          <w:numId w:val="87"/>
        </w:num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rPr>
        <w:t>应有防止外力损伤电缆的措施。在人员不易接触处可裸露敷设，但宜采取避免太阳直接照射的措施或采用满足耐候性要求的电缆。</w:t>
      </w:r>
    </w:p>
    <w:p>
      <w:pPr>
        <w:pStyle w:val="41"/>
        <w:spacing w:line="360" w:lineRule="auto"/>
        <w:ind w:left="42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检查数量：全数检查。</w:t>
      </w:r>
    </w:p>
    <w:p>
      <w:pPr>
        <w:pStyle w:val="41"/>
        <w:spacing w:line="360" w:lineRule="auto"/>
        <w:ind w:left="42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检查方法：观察检查。</w:t>
      </w:r>
    </w:p>
    <w:p>
      <w:pPr>
        <w:pStyle w:val="41"/>
        <w:numPr>
          <w:ilvl w:val="0"/>
          <w:numId w:val="79"/>
        </w:numPr>
        <w:spacing w:line="360" w:lineRule="auto"/>
        <w:ind w:left="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在桥梁上敷设电缆，应采取防止振动、伸缩变形、位移等影响电缆安全运行的措施。</w:t>
      </w:r>
    </w:p>
    <w:p>
      <w:pPr>
        <w:pStyle w:val="41"/>
        <w:spacing w:line="360" w:lineRule="auto"/>
        <w:ind w:left="42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检查数量：全数检查。</w:t>
      </w:r>
    </w:p>
    <w:p>
      <w:pPr>
        <w:pStyle w:val="41"/>
        <w:spacing w:line="360" w:lineRule="auto"/>
        <w:ind w:left="42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检查方法：观察检查。</w:t>
      </w:r>
    </w:p>
    <w:p>
      <w:pPr>
        <w:pStyle w:val="41"/>
        <w:numPr>
          <w:ilvl w:val="0"/>
          <w:numId w:val="79"/>
        </w:numPr>
        <w:spacing w:line="360" w:lineRule="auto"/>
        <w:ind w:left="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电缆架空敷设时，电缆的金属护套、铠装及悬吊线均应有良好的接地，杆塔和配套金具均应根据电缆的结构和性能进行配套设计，且应满足规程及强度要求。</w:t>
      </w:r>
    </w:p>
    <w:p>
      <w:pPr>
        <w:pStyle w:val="41"/>
        <w:spacing w:line="360" w:lineRule="auto"/>
        <w:ind w:left="42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检查数量：全数检查。</w:t>
      </w:r>
    </w:p>
    <w:p>
      <w:pPr>
        <w:pStyle w:val="41"/>
        <w:spacing w:line="360" w:lineRule="auto"/>
        <w:ind w:left="42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检查方法：观察检查。</w:t>
      </w:r>
    </w:p>
    <w:p>
      <w:pPr>
        <w:pStyle w:val="41"/>
        <w:numPr>
          <w:ilvl w:val="0"/>
          <w:numId w:val="79"/>
        </w:numPr>
        <w:spacing w:line="360" w:lineRule="auto"/>
        <w:ind w:left="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对于较短且不便于直埋的电缆可采用架空敷设，架空敷设的电缆截面不宜过大，架空敷设的电缆允许载流量应根据环境条件进行修正。</w:t>
      </w:r>
    </w:p>
    <w:p>
      <w:pPr>
        <w:pStyle w:val="41"/>
        <w:spacing w:line="360" w:lineRule="auto"/>
        <w:ind w:left="42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检查数量：全数检查。</w:t>
      </w:r>
    </w:p>
    <w:p>
      <w:pPr>
        <w:pStyle w:val="41"/>
        <w:spacing w:line="360" w:lineRule="auto"/>
        <w:ind w:left="42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检查方法：查阅设计文件。</w:t>
      </w:r>
    </w:p>
    <w:p>
      <w:pPr>
        <w:pStyle w:val="41"/>
        <w:numPr>
          <w:ilvl w:val="0"/>
          <w:numId w:val="79"/>
        </w:numPr>
        <w:spacing w:line="360" w:lineRule="auto"/>
        <w:ind w:left="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电缆敷设在有周期性振动场所，应在支持</w:t>
      </w:r>
      <w:r>
        <w:rPr>
          <w:rFonts w:hint="eastAsia" w:cs="仿宋" w:asciiTheme="minorEastAsia" w:hAnsiTheme="minorEastAsia" w:eastAsiaTheme="minorEastAsia"/>
          <w:color w:val="000000"/>
          <w:szCs w:val="21"/>
        </w:rPr>
        <w:t>电缆</w:t>
      </w:r>
      <w:r>
        <w:rPr>
          <w:rFonts w:hint="eastAsia" w:cs="仿宋" w:asciiTheme="minorEastAsia" w:hAnsiTheme="minorEastAsia" w:eastAsiaTheme="minorEastAsia"/>
          <w:szCs w:val="21"/>
        </w:rPr>
        <w:t>部位设置橡胶等弹性材料制成衬垫。电缆穿越结构缝、伸缩缝时应留有一定裕度，电缆蛇形敷设不满足伸缩缝变形要求时，应设置伸缩装置。</w:t>
      </w:r>
    </w:p>
    <w:p>
      <w:pPr>
        <w:pStyle w:val="41"/>
        <w:spacing w:line="360" w:lineRule="auto"/>
        <w:ind w:left="42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检查数量：全数检查。</w:t>
      </w:r>
    </w:p>
    <w:p>
      <w:pPr>
        <w:pStyle w:val="41"/>
        <w:spacing w:line="360" w:lineRule="auto"/>
        <w:ind w:left="42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检查方法：观察检查。</w:t>
      </w:r>
    </w:p>
    <w:p>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112" w:name="_Toc136868043"/>
      <w:bookmarkStart w:id="113" w:name="_Toc137216237"/>
      <w:bookmarkStart w:id="114" w:name="_Toc136869078"/>
      <w:r>
        <w:rPr>
          <w:rFonts w:hint="eastAsia" w:asciiTheme="minorEastAsia" w:hAnsiTheme="minorEastAsia" w:eastAsiaTheme="minorEastAsia"/>
          <w:sz w:val="24"/>
          <w:szCs w:val="24"/>
        </w:rPr>
        <w:t>5</w:t>
      </w:r>
      <w:r>
        <w:rPr>
          <w:rFonts w:asciiTheme="minorEastAsia" w:hAnsiTheme="minorEastAsia" w:eastAsiaTheme="minorEastAsia"/>
          <w:sz w:val="24"/>
          <w:szCs w:val="24"/>
        </w:rPr>
        <w:t xml:space="preserve">.5 </w:t>
      </w:r>
      <w:r>
        <w:rPr>
          <w:rFonts w:hint="eastAsia" w:asciiTheme="minorEastAsia" w:hAnsiTheme="minorEastAsia" w:eastAsiaTheme="minorEastAsia"/>
          <w:sz w:val="24"/>
          <w:szCs w:val="24"/>
        </w:rPr>
        <w:t>矿物电缆敷设</w:t>
      </w:r>
      <w:bookmarkEnd w:id="112"/>
      <w:bookmarkEnd w:id="113"/>
      <w:bookmarkEnd w:id="114"/>
    </w:p>
    <w:p>
      <w:pPr>
        <w:pStyle w:val="4"/>
        <w:spacing w:before="120" w:beforeLines="50" w:after="120" w:afterLines="50"/>
        <w:ind w:left="3570"/>
        <w:jc w:val="both"/>
        <w:rPr>
          <w:rFonts w:asciiTheme="minorEastAsia" w:hAnsiTheme="minorEastAsia" w:eastAsiaTheme="minorEastAsia"/>
          <w:sz w:val="21"/>
          <w:szCs w:val="21"/>
        </w:rPr>
      </w:pPr>
      <w:r>
        <w:t>I</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主控项目</w:t>
      </w:r>
    </w:p>
    <w:p>
      <w:pPr>
        <w:pStyle w:val="41"/>
        <w:numPr>
          <w:ilvl w:val="0"/>
          <w:numId w:val="88"/>
        </w:numPr>
        <w:spacing w:line="360" w:lineRule="auto"/>
        <w:ind w:left="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矿物绝缘电缆及附件的型号、规格应符合设计要求，进场检验应符合规定。</w:t>
      </w:r>
    </w:p>
    <w:p>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检查数量：全数检查。</w:t>
      </w:r>
    </w:p>
    <w:p>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检查方法：查阅性能检测报告和物资进场检验记录等质量证明文件。</w:t>
      </w:r>
    </w:p>
    <w:p>
      <w:pPr>
        <w:pStyle w:val="41"/>
        <w:numPr>
          <w:ilvl w:val="0"/>
          <w:numId w:val="8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电缆铜护套、</w:t>
      </w:r>
      <w:r>
        <w:rPr>
          <w:rFonts w:asciiTheme="minorEastAsia" w:hAnsiTheme="minorEastAsia" w:eastAsiaTheme="minorEastAsia"/>
          <w:szCs w:val="21"/>
        </w:rPr>
        <w:t>金属电缆支</w:t>
      </w:r>
      <w:r>
        <w:rPr>
          <w:rFonts w:hint="eastAsia" w:asciiTheme="minorEastAsia" w:hAnsiTheme="minorEastAsia" w:eastAsiaTheme="minorEastAsia"/>
          <w:szCs w:val="21"/>
        </w:rPr>
        <w:t>（吊）</w:t>
      </w:r>
      <w:r>
        <w:rPr>
          <w:rFonts w:asciiTheme="minorEastAsia" w:hAnsiTheme="minorEastAsia" w:eastAsiaTheme="minorEastAsia"/>
          <w:szCs w:val="21"/>
        </w:rPr>
        <w:t>架</w:t>
      </w:r>
      <w:r>
        <w:rPr>
          <w:rFonts w:hint="eastAsia" w:asciiTheme="minorEastAsia" w:hAnsiTheme="minorEastAsia" w:eastAsiaTheme="minorEastAsia"/>
          <w:szCs w:val="21"/>
        </w:rPr>
        <w:t>、金属槽盒及金属保护管</w:t>
      </w:r>
      <w:r>
        <w:rPr>
          <w:rFonts w:asciiTheme="minorEastAsia" w:hAnsiTheme="minorEastAsia" w:eastAsiaTheme="minorEastAsia"/>
          <w:szCs w:val="21"/>
        </w:rPr>
        <w:t>必须与保护导体可靠连接</w:t>
      </w:r>
      <w:r>
        <w:rPr>
          <w:rFonts w:hint="eastAsia" w:asciiTheme="minorEastAsia" w:hAnsiTheme="minorEastAsia" w:eastAsiaTheme="minorEastAsia"/>
          <w:szCs w:val="21"/>
        </w:rPr>
        <w:t>。</w:t>
      </w:r>
    </w:p>
    <w:p>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szCs w:val="21"/>
        </w:rPr>
        <w:t>：</w:t>
      </w:r>
      <w:r>
        <w:rPr>
          <w:rFonts w:asciiTheme="minorEastAsia" w:hAnsiTheme="minorEastAsia" w:eastAsiaTheme="minorEastAsia"/>
          <w:szCs w:val="21"/>
        </w:rPr>
        <w:t>明敷的全数检查，暗敷的按每个检验批抽查20</w:t>
      </w:r>
      <w:r>
        <w:rPr>
          <w:rFonts w:hint="eastAsia" w:asciiTheme="minorEastAsia" w:hAnsiTheme="minorEastAsia" w:eastAsiaTheme="minorEastAsia"/>
          <w:szCs w:val="21"/>
        </w:rPr>
        <w:t>%</w:t>
      </w:r>
      <w:r>
        <w:rPr>
          <w:rFonts w:asciiTheme="minorEastAsia" w:hAnsiTheme="minorEastAsia" w:eastAsiaTheme="minorEastAsia"/>
          <w:szCs w:val="21"/>
        </w:rPr>
        <w:t>，且不得少于2处</w:t>
      </w:r>
      <w:r>
        <w:rPr>
          <w:rFonts w:hint="eastAsia" w:asciiTheme="minorEastAsia" w:hAnsiTheme="minorEastAsia" w:eastAsiaTheme="minorEastAsia"/>
          <w:szCs w:val="21"/>
        </w:rPr>
        <w:t>。</w:t>
      </w:r>
    </w:p>
    <w:p>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szCs w:val="21"/>
        </w:rPr>
        <w:t>：</w:t>
      </w:r>
      <w:r>
        <w:rPr>
          <w:rFonts w:asciiTheme="minorEastAsia" w:hAnsiTheme="minorEastAsia" w:eastAsiaTheme="minorEastAsia"/>
          <w:szCs w:val="21"/>
        </w:rPr>
        <w:t>观察检查并查阅隐蔽工程检查记录</w:t>
      </w:r>
      <w:r>
        <w:rPr>
          <w:rFonts w:hint="eastAsia" w:asciiTheme="minorEastAsia" w:hAnsiTheme="minorEastAsia" w:eastAsiaTheme="minorEastAsia"/>
          <w:szCs w:val="21"/>
        </w:rPr>
        <w:t>。</w:t>
      </w:r>
    </w:p>
    <w:p>
      <w:pPr>
        <w:pStyle w:val="41"/>
        <w:numPr>
          <w:ilvl w:val="0"/>
          <w:numId w:val="8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矿物绝缘电缆敷设时，如有多只中间连接器时，其位置应相互错开敷设。电缆的终端应牢固可靠地固定在电气设备上。</w:t>
      </w:r>
    </w:p>
    <w:p>
      <w:pPr>
        <w:pStyle w:val="41"/>
        <w:spacing w:line="360" w:lineRule="auto"/>
        <w:ind w:left="420" w:firstLine="0" w:firstLineChars="0"/>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szCs w:val="21"/>
        </w:rPr>
        <w:t>：全数检查。</w:t>
      </w:r>
    </w:p>
    <w:p>
      <w:pPr>
        <w:pStyle w:val="41"/>
        <w:spacing w:line="360" w:lineRule="auto"/>
        <w:ind w:left="420" w:firstLine="0" w:firstLineChars="0"/>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szCs w:val="21"/>
        </w:rPr>
        <w:t>：观察检查。</w:t>
      </w:r>
    </w:p>
    <w:p>
      <w:pPr>
        <w:pStyle w:val="41"/>
        <w:numPr>
          <w:ilvl w:val="0"/>
          <w:numId w:val="88"/>
        </w:numPr>
        <w:spacing w:line="360" w:lineRule="auto"/>
        <w:ind w:left="0" w:firstLine="0" w:firstLineChars="0"/>
        <w:rPr>
          <w:rFonts w:asciiTheme="minorEastAsia" w:hAnsiTheme="minorEastAsia" w:eastAsiaTheme="minorEastAsia"/>
          <w:szCs w:val="21"/>
        </w:rPr>
      </w:pPr>
      <w:r>
        <w:rPr>
          <w:rFonts w:asciiTheme="minorEastAsia" w:hAnsiTheme="minorEastAsia" w:eastAsiaTheme="minorEastAsia"/>
          <w:szCs w:val="21"/>
        </w:rPr>
        <w:t>电缆的敷设和排列布置应符合设计要求</w:t>
      </w:r>
      <w:r>
        <w:rPr>
          <w:rFonts w:hint="eastAsia" w:asciiTheme="minorEastAsia" w:hAnsiTheme="minorEastAsia" w:eastAsiaTheme="minorEastAsia"/>
          <w:szCs w:val="21"/>
        </w:rPr>
        <w:t>，</w:t>
      </w:r>
      <w:r>
        <w:rPr>
          <w:rFonts w:asciiTheme="minorEastAsia" w:hAnsiTheme="minorEastAsia" w:eastAsiaTheme="minorEastAsia"/>
          <w:szCs w:val="21"/>
        </w:rPr>
        <w:t>矿物绝缘电缆敷设在温度变化大的场所、振动场所或穿越建筑物变形缝时应采取</w:t>
      </w:r>
      <w:r>
        <w:rPr>
          <w:rFonts w:hint="eastAsia" w:asciiTheme="minorEastAsia" w:hAnsiTheme="minorEastAsia" w:eastAsiaTheme="minorEastAsia"/>
          <w:szCs w:val="21"/>
        </w:rPr>
        <w:t>“</w:t>
      </w:r>
      <w:r>
        <w:rPr>
          <w:rFonts w:asciiTheme="minorEastAsia" w:hAnsiTheme="minorEastAsia" w:eastAsiaTheme="minorEastAsia"/>
          <w:szCs w:val="21"/>
        </w:rPr>
        <w:t>S</w:t>
      </w:r>
      <w:r>
        <w:rPr>
          <w:rFonts w:hint="eastAsia" w:asciiTheme="minorEastAsia" w:hAnsiTheme="minorEastAsia" w:eastAsiaTheme="minorEastAsia"/>
          <w:szCs w:val="21"/>
        </w:rPr>
        <w:t>”</w:t>
      </w:r>
      <w:r>
        <w:rPr>
          <w:rFonts w:asciiTheme="minorEastAsia" w:hAnsiTheme="minorEastAsia" w:eastAsiaTheme="minorEastAsia"/>
          <w:szCs w:val="21"/>
        </w:rPr>
        <w:t>或</w:t>
      </w:r>
      <w:r>
        <w:rPr>
          <w:rFonts w:hint="eastAsia" w:asciiTheme="minorEastAsia" w:hAnsiTheme="minorEastAsia" w:eastAsiaTheme="minorEastAsia"/>
          <w:szCs w:val="21"/>
        </w:rPr>
        <w:t>“</w:t>
      </w:r>
      <w:r>
        <w:rPr>
          <w:rFonts w:asciiTheme="minorEastAsia" w:hAnsiTheme="minorEastAsia" w:eastAsiaTheme="minorEastAsia"/>
          <w:szCs w:val="21"/>
        </w:rPr>
        <w:t>Ω</w:t>
      </w:r>
      <w:r>
        <w:rPr>
          <w:rFonts w:hint="eastAsia" w:asciiTheme="minorEastAsia" w:hAnsiTheme="minorEastAsia" w:eastAsiaTheme="minorEastAsia"/>
          <w:szCs w:val="21"/>
        </w:rPr>
        <w:t>”</w:t>
      </w:r>
      <w:r>
        <w:rPr>
          <w:rFonts w:asciiTheme="minorEastAsia" w:hAnsiTheme="minorEastAsia" w:eastAsiaTheme="minorEastAsia"/>
          <w:szCs w:val="21"/>
        </w:rPr>
        <w:t>弯</w:t>
      </w:r>
      <w:r>
        <w:rPr>
          <w:rFonts w:hint="eastAsia" w:asciiTheme="minorEastAsia" w:hAnsiTheme="minorEastAsia" w:eastAsiaTheme="minorEastAsia"/>
          <w:szCs w:val="21"/>
        </w:rPr>
        <w:t>。</w:t>
      </w:r>
    </w:p>
    <w:p>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szCs w:val="21"/>
        </w:rPr>
        <w:t>：</w:t>
      </w:r>
      <w:r>
        <w:rPr>
          <w:rFonts w:asciiTheme="minorEastAsia" w:hAnsiTheme="minorEastAsia" w:eastAsiaTheme="minorEastAsia"/>
          <w:szCs w:val="21"/>
        </w:rPr>
        <w:t>全数检查</w:t>
      </w:r>
      <w:r>
        <w:rPr>
          <w:rFonts w:hint="eastAsia" w:asciiTheme="minorEastAsia" w:hAnsiTheme="minorEastAsia" w:eastAsiaTheme="minorEastAsia"/>
          <w:szCs w:val="21"/>
        </w:rPr>
        <w:t>。</w:t>
      </w:r>
    </w:p>
    <w:p>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szCs w:val="21"/>
        </w:rPr>
        <w:t>：</w:t>
      </w:r>
      <w:r>
        <w:rPr>
          <w:rFonts w:asciiTheme="minorEastAsia" w:hAnsiTheme="minorEastAsia" w:eastAsiaTheme="minorEastAsia"/>
          <w:szCs w:val="21"/>
        </w:rPr>
        <w:t>观察检查</w:t>
      </w:r>
      <w:r>
        <w:rPr>
          <w:rFonts w:hint="eastAsia" w:asciiTheme="minorEastAsia" w:hAnsiTheme="minorEastAsia" w:eastAsiaTheme="minorEastAsia"/>
          <w:szCs w:val="21"/>
        </w:rPr>
        <w:t>。</w:t>
      </w:r>
    </w:p>
    <w:p>
      <w:pPr>
        <w:pStyle w:val="4"/>
        <w:spacing w:before="120" w:beforeLines="50" w:after="120" w:afterLines="50"/>
        <w:ind w:left="3570"/>
        <w:jc w:val="both"/>
        <w:rPr>
          <w:rFonts w:asciiTheme="minorEastAsia" w:hAnsiTheme="minorEastAsia" w:eastAsiaTheme="minorEastAsia"/>
          <w:sz w:val="21"/>
          <w:szCs w:val="21"/>
        </w:rPr>
      </w:pPr>
      <w:r>
        <w:t>Ⅱ</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一般项目</w:t>
      </w:r>
    </w:p>
    <w:p>
      <w:pPr>
        <w:pStyle w:val="41"/>
        <w:numPr>
          <w:ilvl w:val="0"/>
          <w:numId w:val="8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电缆敷设完毕后应对绝缘电阻进行测试，其绝缘电阻值不应小于</w:t>
      </w:r>
      <w:r>
        <w:rPr>
          <w:rFonts w:hint="eastAsia" w:asciiTheme="minorEastAsia" w:hAnsiTheme="minorEastAsia" w:eastAsiaTheme="minorEastAsia"/>
          <w:color w:val="000000"/>
          <w:szCs w:val="21"/>
        </w:rPr>
        <w:t>20</w:t>
      </w:r>
      <w:r>
        <w:rPr>
          <w:rFonts w:hint="eastAsia" w:cs="仿宋" w:asciiTheme="minorEastAsia" w:hAnsiTheme="minorEastAsia" w:eastAsiaTheme="minorEastAsia"/>
          <w:color w:val="000000"/>
          <w:spacing w:val="0"/>
          <w:w w:val="15"/>
          <w:kern w:val="0"/>
          <w:szCs w:val="21"/>
          <w:fitText w:val="42" w:id="479875603"/>
        </w:rPr>
        <w:t xml:space="preserve">　 </w:t>
      </w:r>
      <w:r>
        <w:rPr>
          <w:rFonts w:hint="eastAsia" w:cs="仿宋" w:asciiTheme="minorEastAsia" w:hAnsiTheme="minorEastAsia" w:eastAsiaTheme="minorEastAsia"/>
          <w:color w:val="000000"/>
          <w:spacing w:val="-17"/>
          <w:w w:val="15"/>
          <w:kern w:val="0"/>
          <w:szCs w:val="21"/>
          <w:fitText w:val="42" w:id="479875603"/>
        </w:rPr>
        <w:t>　</w:t>
      </w:r>
      <w:r>
        <w:rPr>
          <w:rFonts w:hint="eastAsia" w:asciiTheme="minorEastAsia" w:hAnsiTheme="minorEastAsia" w:eastAsiaTheme="minorEastAsia"/>
          <w:color w:val="000000"/>
          <w:szCs w:val="21"/>
        </w:rPr>
        <w:t>M</w:t>
      </w:r>
      <w:r>
        <w:rPr>
          <w:rFonts w:asciiTheme="minorEastAsia" w:hAnsiTheme="minorEastAsia" w:eastAsiaTheme="minorEastAsia"/>
          <w:color w:val="000000"/>
          <w:szCs w:val="21"/>
        </w:rPr>
        <w:t>Ω</w:t>
      </w:r>
      <w:r>
        <w:rPr>
          <w:rFonts w:hint="eastAsia" w:asciiTheme="minorEastAsia" w:hAnsiTheme="minorEastAsia" w:eastAsiaTheme="minorEastAsia"/>
          <w:szCs w:val="21"/>
        </w:rPr>
        <w:t>。</w:t>
      </w:r>
    </w:p>
    <w:p>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szCs w:val="21"/>
        </w:rPr>
        <w:t>：全数检查。</w:t>
      </w:r>
    </w:p>
    <w:p>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szCs w:val="21"/>
        </w:rPr>
        <w:t>：查阅电缆绝缘电阻测试记录。</w:t>
      </w:r>
    </w:p>
    <w:p>
      <w:pPr>
        <w:pStyle w:val="41"/>
        <w:numPr>
          <w:ilvl w:val="0"/>
          <w:numId w:val="8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电缆终端附件及中间连接附件应安装牢固，电缆铜护套应接地可靠。</w:t>
      </w:r>
    </w:p>
    <w:p>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szCs w:val="21"/>
        </w:rPr>
        <w:t>：全数检查。</w:t>
      </w:r>
    </w:p>
    <w:p>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szCs w:val="21"/>
        </w:rPr>
        <w:t>：查阅全负荷试验中间接头测温记录，观察检查。</w:t>
      </w:r>
    </w:p>
    <w:p>
      <w:pPr>
        <w:pStyle w:val="41"/>
        <w:numPr>
          <w:ilvl w:val="0"/>
          <w:numId w:val="8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当采用无挤塑外护层电缆敷设于人体易触及的部位时，电缆与伸臂范围内的金属物体应做辅助等电位联结。当采用无挤塑外护层电缆敷设在潮湿环境时，支（吊）架与电缆铜护套直接接触的部位应采取防电化学腐蚀措施；在人能同时接触到的外露可导电部分和装置外可导电部分之间应做辅助等电位联结。</w:t>
      </w:r>
    </w:p>
    <w:p>
      <w:pPr>
        <w:pStyle w:val="41"/>
        <w:spacing w:line="360" w:lineRule="auto"/>
        <w:ind w:left="420" w:firstLine="0" w:firstLineChars="0"/>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szCs w:val="21"/>
        </w:rPr>
        <w:t>：全数检查。</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szCs w:val="21"/>
        </w:rPr>
        <w:t>：观察检查。</w:t>
      </w:r>
    </w:p>
    <w:p>
      <w:pPr>
        <w:pStyle w:val="41"/>
        <w:numPr>
          <w:ilvl w:val="0"/>
          <w:numId w:val="8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交流系统单芯电缆敷设应采取下列防涡流措施：</w:t>
      </w:r>
    </w:p>
    <w:p>
      <w:pPr>
        <w:pStyle w:val="41"/>
        <w:numPr>
          <w:ilvl w:val="1"/>
          <w:numId w:val="8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电缆应分回路进出钢制配电箱（柜）、桥架；</w:t>
      </w:r>
    </w:p>
    <w:p>
      <w:pPr>
        <w:pStyle w:val="41"/>
        <w:numPr>
          <w:ilvl w:val="1"/>
          <w:numId w:val="8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电缆应采用金属件固定或金属线绑扎，且不得形成闭合铁磁回路；</w:t>
      </w:r>
    </w:p>
    <w:p>
      <w:pPr>
        <w:pStyle w:val="41"/>
        <w:numPr>
          <w:ilvl w:val="1"/>
          <w:numId w:val="8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当电缆穿过钢管（钢套管）或钢筋混凝土楼板、墙体的预留洞时，电缆应分回路敷设。</w:t>
      </w:r>
    </w:p>
    <w:p>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szCs w:val="21"/>
        </w:rPr>
        <w:t>：全数检查。</w:t>
      </w:r>
    </w:p>
    <w:p>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szCs w:val="21"/>
        </w:rPr>
        <w:t>：查阅施工记录，观察检查。</w:t>
      </w:r>
    </w:p>
    <w:p>
      <w:pPr>
        <w:pStyle w:val="41"/>
        <w:numPr>
          <w:ilvl w:val="0"/>
          <w:numId w:val="8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电缆排列整齐，无机械损伤，固定可靠；标志牌应装设齐全、正确、清晰。</w:t>
      </w:r>
    </w:p>
    <w:p>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szCs w:val="21"/>
        </w:rPr>
        <w:t>：全数检查。</w:t>
      </w:r>
    </w:p>
    <w:p>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szCs w:val="21"/>
        </w:rPr>
        <w:t>：查阅施工记录，观察检查。</w:t>
      </w:r>
    </w:p>
    <w:p>
      <w:pPr>
        <w:pStyle w:val="41"/>
        <w:numPr>
          <w:ilvl w:val="0"/>
          <w:numId w:val="8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当无挤塑外护套电缆沿支架敷设时，电缆与支架应做辅助等电位联结，其间距不应大于</w:t>
      </w:r>
      <w:r>
        <w:rPr>
          <w:rFonts w:hint="eastAsia" w:asciiTheme="minorEastAsia" w:hAnsiTheme="minorEastAsia" w:eastAsiaTheme="minorEastAsia"/>
          <w:color w:val="000000"/>
          <w:szCs w:val="21"/>
        </w:rPr>
        <w:t>25</w:t>
      </w:r>
      <w:r>
        <w:rPr>
          <w:rFonts w:hint="eastAsia" w:cs="仿宋" w:asciiTheme="minorEastAsia" w:hAnsiTheme="minorEastAsia" w:eastAsiaTheme="minorEastAsia"/>
          <w:color w:val="000000"/>
          <w:spacing w:val="0"/>
          <w:w w:val="15"/>
          <w:kern w:val="0"/>
          <w:szCs w:val="21"/>
          <w:fitText w:val="42" w:id="743782263"/>
        </w:rPr>
        <w:t xml:space="preserve">　 </w:t>
      </w:r>
      <w:r>
        <w:rPr>
          <w:rFonts w:hint="eastAsia" w:cs="仿宋" w:asciiTheme="minorEastAsia" w:hAnsiTheme="minorEastAsia" w:eastAsiaTheme="minorEastAsia"/>
          <w:color w:val="000000"/>
          <w:spacing w:val="-17"/>
          <w:w w:val="15"/>
          <w:kern w:val="0"/>
          <w:szCs w:val="21"/>
          <w:fitText w:val="42" w:id="743782263"/>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w:t>
      </w:r>
    </w:p>
    <w:p>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szCs w:val="21"/>
        </w:rPr>
        <w:t>：全数检查。</w:t>
      </w:r>
    </w:p>
    <w:p>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szCs w:val="21"/>
        </w:rPr>
        <w:t>：观察检查。</w:t>
      </w:r>
    </w:p>
    <w:p>
      <w:pPr>
        <w:pStyle w:val="41"/>
        <w:numPr>
          <w:ilvl w:val="0"/>
          <w:numId w:val="8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有耐火要求的线路，矿物绝缘电缆中间连接附件的耐火等级不应低于电缆本体的耐火等级。</w:t>
      </w:r>
    </w:p>
    <w:p>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szCs w:val="21"/>
        </w:rPr>
        <w:t>：全数检查。</w:t>
      </w:r>
    </w:p>
    <w:p>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szCs w:val="21"/>
        </w:rPr>
        <w:t>：查阅性能检测报告和物资进场检验记录等质量证明文件。</w:t>
      </w:r>
    </w:p>
    <w:p>
      <w:pPr>
        <w:pStyle w:val="41"/>
        <w:numPr>
          <w:ilvl w:val="0"/>
          <w:numId w:val="88"/>
        </w:numPr>
        <w:spacing w:line="360" w:lineRule="auto"/>
        <w:ind w:left="0" w:firstLine="0" w:firstLineChars="0"/>
        <w:rPr>
          <w:rFonts w:asciiTheme="minorEastAsia" w:hAnsiTheme="minorEastAsia" w:eastAsiaTheme="minorEastAsia"/>
          <w:bCs/>
          <w:iCs/>
          <w:szCs w:val="21"/>
        </w:rPr>
      </w:pPr>
      <w:r>
        <w:rPr>
          <w:rFonts w:hint="eastAsia" w:asciiTheme="minorEastAsia" w:hAnsiTheme="minorEastAsia" w:eastAsiaTheme="minorEastAsia"/>
          <w:bCs/>
          <w:iCs/>
          <w:szCs w:val="21"/>
        </w:rPr>
        <w:t>矿物绝缘电缆建议单独敷设，如无法与其他绝缘电缆分开敷设，建议采用隔板分隔。当矿物绝缘电缆与其他绝缘电缆使用温度不一致时，应单独敷设或隔板分隔。</w:t>
      </w:r>
    </w:p>
    <w:p>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szCs w:val="21"/>
        </w:rPr>
        <w:t>：全数检查。</w:t>
      </w:r>
    </w:p>
    <w:p>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szCs w:val="21"/>
        </w:rPr>
        <w:t>：观察检查。</w:t>
      </w:r>
    </w:p>
    <w:p>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115" w:name="_Toc136869079"/>
      <w:bookmarkStart w:id="116" w:name="_Toc136868044"/>
      <w:bookmarkStart w:id="117" w:name="_Toc137216238"/>
      <w:r>
        <w:rPr>
          <w:rFonts w:hint="eastAsia" w:asciiTheme="minorEastAsia" w:hAnsiTheme="minorEastAsia" w:eastAsiaTheme="minorEastAsia"/>
          <w:sz w:val="24"/>
          <w:szCs w:val="24"/>
        </w:rPr>
        <w:t>5</w:t>
      </w:r>
      <w:r>
        <w:rPr>
          <w:rFonts w:asciiTheme="minorEastAsia" w:hAnsiTheme="minorEastAsia" w:eastAsiaTheme="minorEastAsia"/>
          <w:sz w:val="24"/>
          <w:szCs w:val="24"/>
        </w:rPr>
        <w:t xml:space="preserve">.6 </w:t>
      </w:r>
      <w:r>
        <w:rPr>
          <w:rFonts w:hint="eastAsia" w:asciiTheme="minorEastAsia" w:hAnsiTheme="minorEastAsia" w:eastAsiaTheme="minorEastAsia"/>
          <w:sz w:val="24"/>
          <w:szCs w:val="24"/>
        </w:rPr>
        <w:t>预分支电缆</w:t>
      </w:r>
      <w:bookmarkEnd w:id="115"/>
      <w:bookmarkEnd w:id="116"/>
      <w:bookmarkEnd w:id="117"/>
    </w:p>
    <w:p>
      <w:pPr>
        <w:pStyle w:val="4"/>
        <w:spacing w:before="120" w:beforeLines="50" w:after="120" w:afterLines="50"/>
        <w:rPr>
          <w:rFonts w:asciiTheme="minorEastAsia" w:hAnsiTheme="minorEastAsia" w:eastAsiaTheme="minorEastAsia"/>
          <w:sz w:val="21"/>
          <w:szCs w:val="21"/>
        </w:rPr>
      </w:pPr>
      <w:r>
        <w:t>I</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主控项目</w:t>
      </w:r>
    </w:p>
    <w:p>
      <w:pPr>
        <w:pStyle w:val="41"/>
        <w:numPr>
          <w:ilvl w:val="0"/>
          <w:numId w:val="90"/>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预分支电缆订货选型时，应向厂家明确主干和分支电缆的规格及长度、设备布置安装平面图、断面图、分支接头距配电箱的距离以及分支电缆进入配电设备的进线方式。</w:t>
      </w:r>
    </w:p>
    <w:p>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szCs w:val="21"/>
        </w:rPr>
        <w:t>：全数检查。</w:t>
      </w:r>
    </w:p>
    <w:p>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szCs w:val="21"/>
        </w:rPr>
        <w:t>：查阅设计文件。</w:t>
      </w:r>
    </w:p>
    <w:p>
      <w:pPr>
        <w:pStyle w:val="41"/>
        <w:numPr>
          <w:ilvl w:val="0"/>
          <w:numId w:val="90"/>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预分支电缆的分支电缆应在主电缆300～</w:t>
      </w:r>
      <w:r>
        <w:rPr>
          <w:rFonts w:hint="eastAsia" w:asciiTheme="minorEastAsia" w:hAnsiTheme="minorEastAsia" w:eastAsiaTheme="minorEastAsia"/>
          <w:color w:val="000000"/>
          <w:szCs w:val="21"/>
        </w:rPr>
        <w:t>500</w:t>
      </w:r>
      <w:r>
        <w:rPr>
          <w:rFonts w:hint="eastAsia" w:cs="仿宋" w:asciiTheme="minorEastAsia" w:hAnsiTheme="minorEastAsia" w:eastAsiaTheme="minorEastAsia"/>
          <w:color w:val="000000"/>
          <w:spacing w:val="0"/>
          <w:w w:val="15"/>
          <w:kern w:val="0"/>
          <w:szCs w:val="21"/>
          <w:fitText w:val="42" w:id="519005722"/>
        </w:rPr>
        <w:t xml:space="preserve">　 </w:t>
      </w:r>
      <w:r>
        <w:rPr>
          <w:rFonts w:hint="eastAsia" w:cs="仿宋" w:asciiTheme="minorEastAsia" w:hAnsiTheme="minorEastAsia" w:eastAsiaTheme="minorEastAsia"/>
          <w:color w:val="000000"/>
          <w:spacing w:val="-17"/>
          <w:w w:val="15"/>
          <w:kern w:val="0"/>
          <w:szCs w:val="21"/>
          <w:fitText w:val="42" w:id="519005722"/>
        </w:rPr>
        <w:t>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处使用不形成闭合磁场的金属卡具固定。</w:t>
      </w:r>
    </w:p>
    <w:p>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szCs w:val="21"/>
        </w:rPr>
        <w:t>：</w:t>
      </w:r>
      <w:r>
        <w:rPr>
          <w:rFonts w:asciiTheme="minorEastAsia" w:hAnsiTheme="minorEastAsia" w:eastAsiaTheme="minorEastAsia"/>
          <w:szCs w:val="21"/>
        </w:rPr>
        <w:t>全数检查</w:t>
      </w:r>
      <w:r>
        <w:rPr>
          <w:rFonts w:hint="eastAsia" w:asciiTheme="minorEastAsia" w:hAnsiTheme="minorEastAsia" w:eastAsiaTheme="minorEastAsia"/>
          <w:szCs w:val="21"/>
        </w:rPr>
        <w:t>。</w:t>
      </w:r>
    </w:p>
    <w:p>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szCs w:val="21"/>
        </w:rPr>
        <w:t>：</w:t>
      </w:r>
      <w:r>
        <w:rPr>
          <w:rFonts w:asciiTheme="minorEastAsia" w:hAnsiTheme="minorEastAsia" w:eastAsiaTheme="minorEastAsia"/>
          <w:szCs w:val="21"/>
        </w:rPr>
        <w:t>观察检查</w:t>
      </w:r>
      <w:r>
        <w:rPr>
          <w:rFonts w:hint="eastAsia" w:asciiTheme="minorEastAsia" w:hAnsiTheme="minorEastAsia" w:eastAsiaTheme="minorEastAsia"/>
          <w:szCs w:val="21"/>
        </w:rPr>
        <w:t>。</w:t>
      </w:r>
    </w:p>
    <w:p>
      <w:pPr>
        <w:pStyle w:val="41"/>
        <w:numPr>
          <w:ilvl w:val="0"/>
          <w:numId w:val="90"/>
        </w:numPr>
        <w:spacing w:line="360" w:lineRule="auto"/>
        <w:ind w:left="0" w:firstLine="0" w:firstLineChars="0"/>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预分支电缆敷设前和敷设后均需对电缆进行绝缘测试。</w:t>
      </w:r>
    </w:p>
    <w:p>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szCs w:val="21"/>
        </w:rPr>
        <w:t>：</w:t>
      </w:r>
      <w:r>
        <w:rPr>
          <w:rFonts w:asciiTheme="minorEastAsia" w:hAnsiTheme="minorEastAsia" w:eastAsiaTheme="minorEastAsia"/>
          <w:szCs w:val="21"/>
        </w:rPr>
        <w:t>全数检查</w:t>
      </w:r>
      <w:r>
        <w:rPr>
          <w:rFonts w:hint="eastAsia" w:asciiTheme="minorEastAsia" w:hAnsiTheme="minorEastAsia" w:eastAsiaTheme="minorEastAsia"/>
          <w:szCs w:val="21"/>
        </w:rPr>
        <w:t>。</w:t>
      </w:r>
    </w:p>
    <w:p>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szCs w:val="21"/>
        </w:rPr>
        <w:t>：绝缘遥测</w:t>
      </w:r>
      <w:r>
        <w:rPr>
          <w:rFonts w:asciiTheme="minorEastAsia" w:hAnsiTheme="minorEastAsia" w:eastAsiaTheme="minorEastAsia"/>
          <w:szCs w:val="21"/>
        </w:rPr>
        <w:t>检查</w:t>
      </w:r>
      <w:r>
        <w:rPr>
          <w:rFonts w:hint="eastAsia" w:asciiTheme="minorEastAsia" w:hAnsiTheme="minorEastAsia" w:eastAsiaTheme="minorEastAsia"/>
          <w:szCs w:val="21"/>
        </w:rPr>
        <w:t>。</w:t>
      </w:r>
    </w:p>
    <w:p>
      <w:pPr>
        <w:pStyle w:val="41"/>
        <w:numPr>
          <w:ilvl w:val="0"/>
          <w:numId w:val="90"/>
        </w:numPr>
        <w:spacing w:line="360" w:lineRule="auto"/>
        <w:ind w:left="0" w:firstLine="0" w:firstLineChars="0"/>
        <w:rPr>
          <w:rFonts w:asciiTheme="minorEastAsia" w:hAnsiTheme="minorEastAsia" w:eastAsiaTheme="minorEastAsia"/>
          <w:szCs w:val="21"/>
        </w:rPr>
      </w:pPr>
      <w:r>
        <w:rPr>
          <w:rFonts w:asciiTheme="minorEastAsia" w:hAnsiTheme="minorEastAsia" w:eastAsiaTheme="minorEastAsia"/>
          <w:szCs w:val="21"/>
        </w:rPr>
        <w:t>预制分支电缆布线，应防止在电缆敷设和使用过程中，因电缆自重和敷设过程中的附加外力等机械应力作用而带来的损害。</w:t>
      </w:r>
    </w:p>
    <w:p>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szCs w:val="21"/>
        </w:rPr>
        <w:t>：</w:t>
      </w:r>
      <w:r>
        <w:rPr>
          <w:rFonts w:asciiTheme="minorEastAsia" w:hAnsiTheme="minorEastAsia" w:eastAsiaTheme="minorEastAsia"/>
          <w:szCs w:val="21"/>
        </w:rPr>
        <w:t>全数检查</w:t>
      </w:r>
      <w:r>
        <w:rPr>
          <w:rFonts w:hint="eastAsia" w:asciiTheme="minorEastAsia" w:hAnsiTheme="minorEastAsia" w:eastAsiaTheme="minorEastAsia"/>
          <w:szCs w:val="21"/>
        </w:rPr>
        <w:t>。</w:t>
      </w:r>
    </w:p>
    <w:p>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szCs w:val="21"/>
        </w:rPr>
        <w:t>：</w:t>
      </w:r>
      <w:r>
        <w:rPr>
          <w:rFonts w:asciiTheme="minorEastAsia" w:hAnsiTheme="minorEastAsia" w:eastAsiaTheme="minorEastAsia"/>
          <w:szCs w:val="21"/>
        </w:rPr>
        <w:t>观察检查</w:t>
      </w:r>
      <w:r>
        <w:rPr>
          <w:rFonts w:hint="eastAsia" w:asciiTheme="minorEastAsia" w:hAnsiTheme="minorEastAsia" w:eastAsiaTheme="minorEastAsia"/>
          <w:szCs w:val="21"/>
        </w:rPr>
        <w:t>。</w:t>
      </w:r>
    </w:p>
    <w:p>
      <w:pPr>
        <w:pStyle w:val="4"/>
        <w:spacing w:before="120" w:beforeLines="50" w:after="120" w:afterLines="50"/>
        <w:rPr>
          <w:rFonts w:asciiTheme="minorEastAsia" w:hAnsiTheme="minorEastAsia" w:eastAsiaTheme="minorEastAsia"/>
          <w:sz w:val="21"/>
          <w:szCs w:val="21"/>
        </w:rPr>
      </w:pPr>
      <w:r>
        <w:t>Ⅱ</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一般项目</w:t>
      </w:r>
    </w:p>
    <w:p>
      <w:pPr>
        <w:pStyle w:val="41"/>
        <w:numPr>
          <w:ilvl w:val="0"/>
          <w:numId w:val="90"/>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预分支电缆敷设完毕后应对绝缘电阻进行测试，其绝缘电阻值不应小于</w:t>
      </w:r>
      <w:r>
        <w:rPr>
          <w:rFonts w:hint="eastAsia" w:asciiTheme="minorEastAsia" w:hAnsiTheme="minorEastAsia" w:eastAsiaTheme="minorEastAsia"/>
          <w:color w:val="000000"/>
          <w:szCs w:val="21"/>
        </w:rPr>
        <w:t>20</w:t>
      </w:r>
      <w:r>
        <w:rPr>
          <w:rFonts w:hint="eastAsia" w:cs="仿宋" w:asciiTheme="minorEastAsia" w:hAnsiTheme="minorEastAsia" w:eastAsiaTheme="minorEastAsia"/>
          <w:color w:val="000000"/>
          <w:spacing w:val="0"/>
          <w:w w:val="15"/>
          <w:kern w:val="0"/>
          <w:szCs w:val="21"/>
          <w:fitText w:val="42" w:id="816521923"/>
        </w:rPr>
        <w:t xml:space="preserve">　 </w:t>
      </w:r>
      <w:r>
        <w:rPr>
          <w:rFonts w:hint="eastAsia" w:cs="仿宋" w:asciiTheme="minorEastAsia" w:hAnsiTheme="minorEastAsia" w:eastAsiaTheme="minorEastAsia"/>
          <w:color w:val="000000"/>
          <w:spacing w:val="-17"/>
          <w:w w:val="15"/>
          <w:kern w:val="0"/>
          <w:szCs w:val="21"/>
          <w:fitText w:val="42" w:id="816521923"/>
        </w:rPr>
        <w:t>　</w:t>
      </w:r>
      <w:r>
        <w:rPr>
          <w:rFonts w:hint="eastAsia" w:asciiTheme="minorEastAsia" w:hAnsiTheme="minorEastAsia" w:eastAsiaTheme="minorEastAsia"/>
          <w:color w:val="000000"/>
          <w:szCs w:val="21"/>
        </w:rPr>
        <w:t>M</w:t>
      </w:r>
      <w:r>
        <w:rPr>
          <w:rFonts w:asciiTheme="minorEastAsia" w:hAnsiTheme="minorEastAsia" w:eastAsiaTheme="minorEastAsia"/>
          <w:color w:val="000000"/>
          <w:szCs w:val="21"/>
        </w:rPr>
        <w:t>Ω</w:t>
      </w:r>
      <w:r>
        <w:rPr>
          <w:rFonts w:hint="eastAsia" w:asciiTheme="minorEastAsia" w:hAnsiTheme="minorEastAsia" w:eastAsiaTheme="minorEastAsia"/>
          <w:szCs w:val="21"/>
        </w:rPr>
        <w:t>。</w:t>
      </w:r>
    </w:p>
    <w:p>
      <w:pPr>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szCs w:val="21"/>
        </w:rPr>
        <w:t>：全数检查。</w:t>
      </w:r>
    </w:p>
    <w:p>
      <w:pPr>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szCs w:val="21"/>
        </w:rPr>
        <w:t>：查阅电缆绝缘电阻测试记录。</w:t>
      </w:r>
    </w:p>
    <w:p>
      <w:pPr>
        <w:pStyle w:val="41"/>
        <w:numPr>
          <w:ilvl w:val="0"/>
          <w:numId w:val="90"/>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预分支电缆终端附件及中间连接附件应安装牢固，铠装电缆应接地可靠。</w:t>
      </w:r>
    </w:p>
    <w:p>
      <w:pPr>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szCs w:val="21"/>
        </w:rPr>
        <w:t>：全数检查。</w:t>
      </w:r>
    </w:p>
    <w:p>
      <w:pPr>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szCs w:val="21"/>
        </w:rPr>
        <w:t>：查阅全负荷试验中间接头测温记录，观察检查。</w:t>
      </w:r>
    </w:p>
    <w:p>
      <w:pPr>
        <w:pStyle w:val="41"/>
        <w:numPr>
          <w:ilvl w:val="0"/>
          <w:numId w:val="90"/>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 xml:space="preserve">预制分支电缆出厂时，分支电缆固定在主干电缆上，敷设时待主干电缆安装固定后， </w:t>
      </w:r>
      <w:r>
        <w:rPr>
          <w:rFonts w:asciiTheme="minorEastAsia" w:hAnsiTheme="minorEastAsia" w:eastAsiaTheme="minorEastAsia"/>
          <w:szCs w:val="21"/>
        </w:rPr>
        <w:t xml:space="preserve"> </w:t>
      </w:r>
      <w:r>
        <w:rPr>
          <w:rFonts w:hint="eastAsia" w:asciiTheme="minorEastAsia" w:hAnsiTheme="minorEastAsia" w:eastAsiaTheme="minorEastAsia"/>
          <w:szCs w:val="21"/>
        </w:rPr>
        <w:t>再将分支电缆分离。安装前电缆顶端用封头帽做防水处理，再用热缩管压紧。</w:t>
      </w:r>
    </w:p>
    <w:p>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szCs w:val="21"/>
        </w:rPr>
        <w:t>：全数检查。</w:t>
      </w:r>
    </w:p>
    <w:p>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szCs w:val="21"/>
        </w:rPr>
        <w:t>：观察检查。</w:t>
      </w:r>
    </w:p>
    <w:p>
      <w:pPr>
        <w:pStyle w:val="41"/>
        <w:spacing w:line="360" w:lineRule="auto"/>
        <w:ind w:firstLine="0" w:firstLineChars="0"/>
        <w:rPr>
          <w:rFonts w:asciiTheme="minorEastAsia" w:hAnsiTheme="minorEastAsia" w:eastAsiaTheme="minorEastAsia"/>
          <w:szCs w:val="21"/>
        </w:rPr>
      </w:pPr>
      <w:r>
        <w:rPr>
          <w:rFonts w:hint="eastAsia" w:asciiTheme="minorEastAsia" w:hAnsiTheme="minorEastAsia" w:eastAsiaTheme="minorEastAsia"/>
          <w:szCs w:val="21"/>
        </w:rPr>
        <w:t>（本条引自国标图集《预制分支和铝合金电力电缆》13 D101-7第6.2.1条。）</w:t>
      </w:r>
    </w:p>
    <w:p>
      <w:pPr>
        <w:pStyle w:val="41"/>
        <w:numPr>
          <w:ilvl w:val="0"/>
          <w:numId w:val="90"/>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预制分支电缆垂直敷设不同于普通电缆的敷设，需配套安装附件，安装附件包括拖挂器（横担）、电缆支架、电缆固定线夹和上端固定用的吊钩等。</w:t>
      </w:r>
    </w:p>
    <w:p>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szCs w:val="21"/>
        </w:rPr>
        <w:t>：全数检查。</w:t>
      </w:r>
    </w:p>
    <w:p>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szCs w:val="21"/>
        </w:rPr>
        <w:t>：观察检查。</w:t>
      </w:r>
    </w:p>
    <w:p>
      <w:pPr>
        <w:pStyle w:val="41"/>
        <w:numPr>
          <w:ilvl w:val="0"/>
          <w:numId w:val="90"/>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预制分支电缆安装过程中应固定好分支电缆，避免分支电缆晃动，以保证分支接头内部压接部分接触良好。</w:t>
      </w:r>
    </w:p>
    <w:p>
      <w:pPr>
        <w:pStyle w:val="41"/>
        <w:spacing w:line="360" w:lineRule="auto"/>
        <w:ind w:left="420" w:firstLine="0" w:firstLineChars="0"/>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szCs w:val="21"/>
        </w:rPr>
        <w:t>：全数检查。</w:t>
      </w:r>
    </w:p>
    <w:p>
      <w:pPr>
        <w:pStyle w:val="41"/>
        <w:spacing w:line="360" w:lineRule="auto"/>
        <w:ind w:left="420" w:firstLine="0" w:firstLineChars="0"/>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szCs w:val="21"/>
        </w:rPr>
        <w:t>：观察检查。</w:t>
      </w:r>
    </w:p>
    <w:p>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118" w:name="_Toc136868045"/>
      <w:bookmarkStart w:id="119" w:name="_Toc136869080"/>
      <w:bookmarkStart w:id="120" w:name="_Toc137216239"/>
      <w:bookmarkStart w:id="121" w:name="_Toc124168150"/>
      <w:r>
        <w:rPr>
          <w:rFonts w:hint="eastAsia" w:asciiTheme="minorEastAsia" w:hAnsiTheme="minorEastAsia" w:eastAsiaTheme="minorEastAsia"/>
          <w:sz w:val="24"/>
          <w:szCs w:val="24"/>
        </w:rPr>
        <w:t>5</w:t>
      </w:r>
      <w:r>
        <w:rPr>
          <w:rFonts w:asciiTheme="minorEastAsia" w:hAnsiTheme="minorEastAsia" w:eastAsiaTheme="minorEastAsia"/>
          <w:sz w:val="24"/>
          <w:szCs w:val="24"/>
        </w:rPr>
        <w:t xml:space="preserve">.7 </w:t>
      </w:r>
      <w:r>
        <w:rPr>
          <w:rFonts w:hint="eastAsia" w:asciiTheme="minorEastAsia" w:hAnsiTheme="minorEastAsia" w:eastAsiaTheme="minorEastAsia"/>
          <w:sz w:val="24"/>
          <w:szCs w:val="24"/>
        </w:rPr>
        <w:t>导管内穿线和槽盒内敷线</w:t>
      </w:r>
      <w:bookmarkEnd w:id="118"/>
      <w:bookmarkEnd w:id="119"/>
      <w:bookmarkEnd w:id="120"/>
      <w:bookmarkEnd w:id="121"/>
    </w:p>
    <w:p>
      <w:pPr>
        <w:pStyle w:val="4"/>
        <w:spacing w:before="120" w:beforeLines="50" w:after="120" w:afterLines="50"/>
        <w:rPr>
          <w:rFonts w:asciiTheme="minorEastAsia" w:hAnsiTheme="minorEastAsia" w:eastAsiaTheme="minorEastAsia"/>
          <w:sz w:val="21"/>
          <w:szCs w:val="21"/>
        </w:rPr>
      </w:pPr>
      <w:r>
        <w:t>I</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主控项目</w:t>
      </w:r>
    </w:p>
    <w:p>
      <w:pPr>
        <w:pStyle w:val="41"/>
        <w:numPr>
          <w:ilvl w:val="0"/>
          <w:numId w:val="91"/>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同一交流回路的绝缘导线不应敷设于不同的金属槽盒内或穿于不同金属导管内。</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检查数量：按每个检验批的配线总回路数抽查20%，且不得少于1个回路。</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pPr>
        <w:pStyle w:val="41"/>
        <w:numPr>
          <w:ilvl w:val="0"/>
          <w:numId w:val="91"/>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绝缘导线接头应设置在专用接线盒（箱）或器具内，不得设置在导管和槽盒内，盒（箱）的设置位置应便于检修。</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检查数量：按每个检验批的配线总回路数抽查20%，且不得少于1个回路。</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pPr>
        <w:pStyle w:val="41"/>
        <w:numPr>
          <w:ilvl w:val="0"/>
          <w:numId w:val="91"/>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除了设计要求以外，不同回路、不同电压等级和交流与直流线路的绝缘导线不应穿于同一导管内。</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检查数量：按每个检验批的配线回路总数抽查10%，且不得少于1个回路。</w:t>
      </w:r>
    </w:p>
    <w:p>
      <w:pPr>
        <w:pStyle w:val="41"/>
        <w:spacing w:line="360" w:lineRule="auto"/>
      </w:pPr>
      <w:r>
        <w:rPr>
          <w:rFonts w:hint="eastAsia" w:asciiTheme="minorEastAsia" w:hAnsiTheme="minorEastAsia" w:eastAsiaTheme="minorEastAsia"/>
          <w:szCs w:val="21"/>
        </w:rPr>
        <w:t>检查方法：观察检查并用尺量检查。</w:t>
      </w:r>
    </w:p>
    <w:p>
      <w:pPr>
        <w:pStyle w:val="4"/>
        <w:spacing w:before="120" w:beforeLines="50" w:after="120" w:afterLines="50"/>
        <w:rPr>
          <w:rFonts w:asciiTheme="minorEastAsia" w:hAnsiTheme="minorEastAsia" w:eastAsiaTheme="minorEastAsia"/>
          <w:sz w:val="21"/>
          <w:szCs w:val="21"/>
        </w:rPr>
      </w:pPr>
      <w:r>
        <w:t>Ⅱ</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一般项目</w:t>
      </w:r>
    </w:p>
    <w:p>
      <w:pPr>
        <w:pStyle w:val="41"/>
        <w:numPr>
          <w:ilvl w:val="0"/>
          <w:numId w:val="91"/>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绝缘导线穿管前，应清除管内杂物和积水，绝缘导线穿入导管的管口在穿线前应装设护线口，不应切开护线口</w:t>
      </w:r>
      <w:r>
        <w:rPr>
          <w:rFonts w:hint="eastAsia" w:asciiTheme="minorEastAsia" w:hAnsiTheme="minorEastAsia" w:eastAsiaTheme="minorEastAsia"/>
          <w:color w:val="000000"/>
          <w:szCs w:val="21"/>
        </w:rPr>
        <w:t>补装</w:t>
      </w:r>
      <w:r>
        <w:rPr>
          <w:rFonts w:hint="eastAsia" w:asciiTheme="minorEastAsia" w:hAnsiTheme="minorEastAsia" w:eastAsiaTheme="minorEastAsia"/>
          <w:szCs w:val="21"/>
        </w:rPr>
        <w:t>。</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检查数量：按每个检验批的绝缘导线配线回路数抽查10%，且不得少于1个回路。</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pPr>
        <w:pStyle w:val="41"/>
        <w:numPr>
          <w:ilvl w:val="0"/>
          <w:numId w:val="91"/>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除塑料护套线外，绝缘导线应采取导管或槽盒保护，不可裸露明敷。且导管内的绝缘导线总截面积（包括外护套）不应超过槽盒内截面积的40%。</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检查数量：按每个检验批的绝缘导线穿管数抽查10%，且不得少于1根导管。</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检查方法：施工中观察检查。</w:t>
      </w:r>
    </w:p>
    <w:p>
      <w:pPr>
        <w:pStyle w:val="41"/>
        <w:numPr>
          <w:ilvl w:val="0"/>
          <w:numId w:val="91"/>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与槽盒连接的接线盒（箱）应选用明装盒（箱），明装盒（箱）宜安装于槽盒侧身，配线工程完成后，盒（箱）盖板应齐全、严密、完好。</w:t>
      </w:r>
    </w:p>
    <w:p>
      <w:pPr>
        <w:pStyle w:val="41"/>
        <w:spacing w:line="360" w:lineRule="auto"/>
        <w:ind w:left="640" w:firstLine="0" w:firstLineChars="0"/>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pPr>
        <w:pStyle w:val="41"/>
        <w:spacing w:line="360" w:lineRule="auto"/>
        <w:ind w:left="640" w:firstLine="0" w:firstLineChars="0"/>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pPr>
        <w:pStyle w:val="41"/>
        <w:numPr>
          <w:ilvl w:val="0"/>
          <w:numId w:val="91"/>
        </w:numPr>
        <w:spacing w:line="360" w:lineRule="auto"/>
        <w:ind w:left="0" w:firstLine="0" w:firstLineChars="0"/>
        <w:rPr>
          <w:rFonts w:asciiTheme="minorEastAsia" w:hAnsiTheme="minorEastAsia" w:eastAsiaTheme="minorEastAsia"/>
          <w:szCs w:val="21"/>
        </w:rPr>
      </w:pPr>
      <w:r>
        <w:rPr>
          <w:rFonts w:asciiTheme="minorEastAsia" w:hAnsiTheme="minorEastAsia" w:eastAsiaTheme="minorEastAsia"/>
          <w:szCs w:val="21"/>
        </w:rPr>
        <w:t>当</w:t>
      </w:r>
      <w:r>
        <w:rPr>
          <w:rFonts w:hint="eastAsia" w:asciiTheme="minorEastAsia" w:hAnsiTheme="minorEastAsia" w:eastAsiaTheme="minorEastAsia"/>
          <w:szCs w:val="21"/>
        </w:rPr>
        <w:t>采用多相供电时，同一建（构）筑物的绝缘导线绝缘层颜色应一致。</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检查数量：按每个检验批的绝缘导线配线总回路数抽查10%，且不得少于1个回路。</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pPr>
        <w:pStyle w:val="41"/>
        <w:numPr>
          <w:ilvl w:val="0"/>
          <w:numId w:val="91"/>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除设计要求外，槽盒内敷线应符合下列规定：</w:t>
      </w:r>
    </w:p>
    <w:p>
      <w:pPr>
        <w:pStyle w:val="41"/>
        <w:numPr>
          <w:ilvl w:val="1"/>
          <w:numId w:val="9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同一槽盒内不宜同时敷设绝缘导线和电缆。</w:t>
      </w:r>
    </w:p>
    <w:p>
      <w:pPr>
        <w:pStyle w:val="41"/>
        <w:numPr>
          <w:ilvl w:val="1"/>
          <w:numId w:val="9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同一路径无防干扰要求的线路，可敷设于同一槽盒内；槽盒内的绝缘导线总截面积（包括外护套）不应超过槽盒内截面积的40%，且载流导体不宜超过30根。</w:t>
      </w:r>
    </w:p>
    <w:p>
      <w:pPr>
        <w:pStyle w:val="41"/>
        <w:numPr>
          <w:ilvl w:val="1"/>
          <w:numId w:val="9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当控制和信号等非电力线路敷设于同一槽盒内时，绝缘导线的总截面积不应超过槽盒内截面积的50%。</w:t>
      </w:r>
    </w:p>
    <w:p>
      <w:pPr>
        <w:pStyle w:val="41"/>
        <w:numPr>
          <w:ilvl w:val="1"/>
          <w:numId w:val="9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分支接头处绝缘导线的总截面面积（包括外护层）不应大于该</w:t>
      </w:r>
      <w:r>
        <w:rPr>
          <w:rFonts w:hint="eastAsia" w:asciiTheme="minorEastAsia" w:hAnsiTheme="minorEastAsia" w:eastAsiaTheme="minorEastAsia"/>
          <w:color w:val="000000"/>
          <w:szCs w:val="21"/>
        </w:rPr>
        <w:t>电</w:t>
      </w:r>
      <w:r>
        <w:rPr>
          <w:rFonts w:hint="eastAsia" w:asciiTheme="minorEastAsia" w:hAnsiTheme="minorEastAsia" w:eastAsiaTheme="minorEastAsia"/>
          <w:szCs w:val="21"/>
        </w:rPr>
        <w:t>盒（箱）内截面面积的75%。</w:t>
      </w:r>
    </w:p>
    <w:p>
      <w:pPr>
        <w:pStyle w:val="41"/>
        <w:numPr>
          <w:ilvl w:val="1"/>
          <w:numId w:val="9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绝缘导线在槽盒内应留有一定余量，并应按回路分段绑扎，绑扎点间距不应大于</w:t>
      </w:r>
      <w:r>
        <w:rPr>
          <w:rFonts w:hint="eastAsia" w:asciiTheme="minorEastAsia" w:hAnsiTheme="minorEastAsia" w:eastAsiaTheme="minorEastAsia"/>
          <w:color w:val="000000"/>
          <w:szCs w:val="21"/>
        </w:rPr>
        <w:t>1.5 m</w:t>
      </w:r>
      <w:r>
        <w:rPr>
          <w:rFonts w:hint="eastAsia" w:asciiTheme="minorEastAsia" w:hAnsiTheme="minorEastAsia" w:eastAsiaTheme="minorEastAsia"/>
          <w:szCs w:val="21"/>
        </w:rPr>
        <w:t>；当垂直或大于45°倾斜敷设时，应将绝缘导线分段固定在槽盒内的专用部件上，每段至少应有一个固定点；当直线段长度大于</w:t>
      </w:r>
      <w:r>
        <w:rPr>
          <w:rFonts w:hint="eastAsia" w:asciiTheme="minorEastAsia" w:hAnsiTheme="minorEastAsia" w:eastAsiaTheme="minorEastAsia"/>
          <w:color w:val="000000"/>
          <w:szCs w:val="21"/>
        </w:rPr>
        <w:t>3.2</w:t>
      </w:r>
      <w:r>
        <w:rPr>
          <w:rFonts w:hint="eastAsia" w:cs="仿宋" w:asciiTheme="minorEastAsia" w:hAnsiTheme="minorEastAsia" w:eastAsiaTheme="minorEastAsia"/>
          <w:color w:val="000000"/>
          <w:spacing w:val="0"/>
          <w:w w:val="15"/>
          <w:kern w:val="0"/>
          <w:szCs w:val="21"/>
          <w:fitText w:val="42" w:id="1530736182"/>
        </w:rPr>
        <w:t xml:space="preserve">　 </w:t>
      </w:r>
      <w:r>
        <w:rPr>
          <w:rFonts w:hint="eastAsia" w:cs="仿宋" w:asciiTheme="minorEastAsia" w:hAnsiTheme="minorEastAsia" w:eastAsiaTheme="minorEastAsia"/>
          <w:color w:val="000000"/>
          <w:spacing w:val="-17"/>
          <w:w w:val="15"/>
          <w:kern w:val="0"/>
          <w:szCs w:val="21"/>
          <w:fitText w:val="42" w:id="1530736182"/>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时，其固定点间距不应大于</w:t>
      </w:r>
      <w:r>
        <w:rPr>
          <w:rFonts w:hint="eastAsia" w:asciiTheme="minorEastAsia" w:hAnsiTheme="minorEastAsia" w:eastAsiaTheme="minorEastAsia"/>
          <w:color w:val="000000"/>
          <w:szCs w:val="21"/>
        </w:rPr>
        <w:t>1.6</w:t>
      </w:r>
      <w:r>
        <w:rPr>
          <w:rFonts w:hint="eastAsia" w:cs="仿宋" w:asciiTheme="minorEastAsia" w:hAnsiTheme="minorEastAsia" w:eastAsiaTheme="minorEastAsia"/>
          <w:color w:val="000000"/>
          <w:spacing w:val="0"/>
          <w:w w:val="15"/>
          <w:kern w:val="0"/>
          <w:szCs w:val="21"/>
          <w:fitText w:val="42" w:id="1137447359"/>
        </w:rPr>
        <w:t xml:space="preserve">　 </w:t>
      </w:r>
      <w:r>
        <w:rPr>
          <w:rFonts w:hint="eastAsia" w:cs="仿宋" w:asciiTheme="minorEastAsia" w:hAnsiTheme="minorEastAsia" w:eastAsiaTheme="minorEastAsia"/>
          <w:color w:val="000000"/>
          <w:spacing w:val="-17"/>
          <w:w w:val="15"/>
          <w:kern w:val="0"/>
          <w:szCs w:val="21"/>
          <w:fitText w:val="42" w:id="1137447359"/>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槽盒内导线排列应整齐、有序，不得交叉。</w:t>
      </w:r>
    </w:p>
    <w:p>
      <w:pPr>
        <w:pStyle w:val="41"/>
        <w:numPr>
          <w:ilvl w:val="1"/>
          <w:numId w:val="9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敷线完成后，槽盒盖板应复位，盖板应齐全、平整、严密、牢固。</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检查数量：按每个检验批的槽盒总长度抽查10%，且不得少于</w:t>
      </w:r>
      <w:r>
        <w:rPr>
          <w:rFonts w:hint="eastAsia" w:asciiTheme="minorEastAsia" w:hAnsiTheme="minorEastAsia" w:eastAsiaTheme="minorEastAsia"/>
          <w:color w:val="000000"/>
          <w:szCs w:val="21"/>
        </w:rPr>
        <w:t>1</w:t>
      </w:r>
      <w:r>
        <w:rPr>
          <w:rFonts w:hint="eastAsia" w:cs="仿宋" w:asciiTheme="minorEastAsia" w:hAnsiTheme="minorEastAsia" w:eastAsiaTheme="minorEastAsia"/>
          <w:color w:val="000000"/>
          <w:spacing w:val="0"/>
          <w:w w:val="15"/>
          <w:kern w:val="0"/>
          <w:szCs w:val="21"/>
          <w:fitText w:val="42" w:id="1823563816"/>
        </w:rPr>
        <w:t xml:space="preserve">　 </w:t>
      </w:r>
      <w:r>
        <w:rPr>
          <w:rFonts w:hint="eastAsia" w:cs="仿宋" w:asciiTheme="minorEastAsia" w:hAnsiTheme="minorEastAsia" w:eastAsiaTheme="minorEastAsia"/>
          <w:color w:val="000000"/>
          <w:spacing w:val="-17"/>
          <w:w w:val="15"/>
          <w:kern w:val="0"/>
          <w:szCs w:val="21"/>
          <w:fitText w:val="42" w:id="1823563816"/>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检查方法：观察检查并用尺量检查。</w:t>
      </w:r>
    </w:p>
    <w:p>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122" w:name="_Toc124168153"/>
      <w:bookmarkStart w:id="123" w:name="_Toc136869081"/>
      <w:bookmarkStart w:id="124" w:name="_Toc136868046"/>
      <w:bookmarkStart w:id="125" w:name="_Toc137216240"/>
      <w:r>
        <w:rPr>
          <w:rFonts w:hint="eastAsia" w:asciiTheme="minorEastAsia" w:hAnsiTheme="minorEastAsia" w:eastAsiaTheme="minorEastAsia"/>
          <w:sz w:val="24"/>
          <w:szCs w:val="24"/>
        </w:rPr>
        <w:t>5</w:t>
      </w:r>
      <w:r>
        <w:rPr>
          <w:rFonts w:asciiTheme="minorEastAsia" w:hAnsiTheme="minorEastAsia" w:eastAsiaTheme="minorEastAsia"/>
          <w:sz w:val="24"/>
          <w:szCs w:val="24"/>
        </w:rPr>
        <w:t xml:space="preserve">.8 </w:t>
      </w:r>
      <w:r>
        <w:rPr>
          <w:rFonts w:hint="eastAsia" w:asciiTheme="minorEastAsia" w:hAnsiTheme="minorEastAsia" w:eastAsiaTheme="minorEastAsia"/>
          <w:sz w:val="24"/>
          <w:szCs w:val="24"/>
        </w:rPr>
        <w:t>塑料护套线直敷布线</w:t>
      </w:r>
      <w:bookmarkEnd w:id="122"/>
      <w:bookmarkEnd w:id="123"/>
      <w:bookmarkEnd w:id="124"/>
      <w:bookmarkEnd w:id="125"/>
    </w:p>
    <w:p>
      <w:pPr>
        <w:pStyle w:val="4"/>
        <w:spacing w:before="120" w:beforeLines="50" w:after="120" w:afterLines="50"/>
        <w:rPr>
          <w:rFonts w:asciiTheme="minorEastAsia" w:hAnsiTheme="minorEastAsia" w:eastAsiaTheme="minorEastAsia"/>
          <w:sz w:val="21"/>
          <w:szCs w:val="21"/>
        </w:rPr>
      </w:pPr>
      <w:r>
        <w:t>I</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主控项目</w:t>
      </w:r>
    </w:p>
    <w:p>
      <w:pPr>
        <w:pStyle w:val="41"/>
        <w:numPr>
          <w:ilvl w:val="0"/>
          <w:numId w:val="93"/>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塑料护套线严禁直接敷设在建筑物顶棚内、墙体内、抹灰层内、保温层内、装饰面内或室外受阳光直射的场所。</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检查方法：施工中观察检查。</w:t>
      </w:r>
    </w:p>
    <w:p>
      <w:pPr>
        <w:pStyle w:val="41"/>
        <w:numPr>
          <w:ilvl w:val="0"/>
          <w:numId w:val="93"/>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塑料护套线与保护导体或不发热管道等紧贴和交叉处及穿梁、墙、楼板处等易受机械损伤的部位，应采取中型及以上塑料导管或钢套管保护。</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pPr>
        <w:pStyle w:val="41"/>
        <w:numPr>
          <w:ilvl w:val="0"/>
          <w:numId w:val="93"/>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塑料护套线在室内沿建筑物表面水平敷设高度距地面不应小于</w:t>
      </w:r>
      <w:r>
        <w:rPr>
          <w:rFonts w:hint="eastAsia" w:asciiTheme="minorEastAsia" w:hAnsiTheme="minorEastAsia" w:eastAsiaTheme="minorEastAsia"/>
          <w:color w:val="000000"/>
          <w:szCs w:val="21"/>
        </w:rPr>
        <w:t>2.5 m</w:t>
      </w:r>
      <w:r>
        <w:rPr>
          <w:rFonts w:hint="eastAsia" w:asciiTheme="minorEastAsia" w:hAnsiTheme="minorEastAsia" w:eastAsiaTheme="minorEastAsia"/>
          <w:szCs w:val="21"/>
        </w:rPr>
        <w:t>，垂直敷设时距地面高度</w:t>
      </w:r>
      <w:r>
        <w:rPr>
          <w:rFonts w:hint="eastAsia" w:asciiTheme="minorEastAsia" w:hAnsiTheme="minorEastAsia" w:eastAsiaTheme="minorEastAsia"/>
          <w:color w:val="000000"/>
          <w:szCs w:val="21"/>
        </w:rPr>
        <w:t>1.8</w:t>
      </w:r>
      <w:r>
        <w:rPr>
          <w:rFonts w:hint="eastAsia" w:cs="仿宋" w:asciiTheme="minorEastAsia" w:hAnsiTheme="minorEastAsia" w:eastAsiaTheme="minorEastAsia"/>
          <w:color w:val="000000"/>
          <w:spacing w:val="0"/>
          <w:w w:val="15"/>
          <w:kern w:val="0"/>
          <w:szCs w:val="21"/>
          <w:fitText w:val="42" w:id="1332239333"/>
        </w:rPr>
        <w:t xml:space="preserve">　 </w:t>
      </w:r>
      <w:r>
        <w:rPr>
          <w:rFonts w:hint="eastAsia" w:cs="仿宋" w:asciiTheme="minorEastAsia" w:hAnsiTheme="minorEastAsia" w:eastAsiaTheme="minorEastAsia"/>
          <w:color w:val="000000"/>
          <w:spacing w:val="-17"/>
          <w:w w:val="15"/>
          <w:kern w:val="0"/>
          <w:szCs w:val="21"/>
          <w:fitText w:val="42" w:id="1332239333"/>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以下的部分应采取保护措施且符合5</w:t>
      </w:r>
      <w:r>
        <w:rPr>
          <w:rFonts w:asciiTheme="minorEastAsia" w:hAnsiTheme="minorEastAsia" w:eastAsiaTheme="minorEastAsia"/>
          <w:szCs w:val="21"/>
        </w:rPr>
        <w:t>.8.2</w:t>
      </w:r>
      <w:r>
        <w:rPr>
          <w:rFonts w:hint="eastAsia" w:asciiTheme="minorEastAsia" w:hAnsiTheme="minorEastAsia" w:eastAsiaTheme="minorEastAsia"/>
          <w:szCs w:val="21"/>
        </w:rPr>
        <w:t>条。</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pPr>
        <w:pStyle w:val="41"/>
        <w:spacing w:line="360" w:lineRule="auto"/>
      </w:pPr>
      <w:r>
        <w:rPr>
          <w:rFonts w:hint="eastAsia" w:asciiTheme="minorEastAsia" w:hAnsiTheme="minorEastAsia" w:eastAsiaTheme="minorEastAsia"/>
          <w:szCs w:val="21"/>
        </w:rPr>
        <w:t>检查方法：观察检查并用尺量检查。</w:t>
      </w:r>
    </w:p>
    <w:p>
      <w:pPr>
        <w:pStyle w:val="4"/>
        <w:spacing w:before="120" w:beforeLines="50" w:after="120" w:afterLines="50"/>
        <w:rPr>
          <w:rFonts w:asciiTheme="minorEastAsia" w:hAnsiTheme="minorEastAsia" w:eastAsiaTheme="minorEastAsia"/>
          <w:sz w:val="21"/>
          <w:szCs w:val="21"/>
        </w:rPr>
      </w:pPr>
      <w:r>
        <w:t>Ⅱ</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一般项目</w:t>
      </w:r>
    </w:p>
    <w:p>
      <w:pPr>
        <w:pStyle w:val="41"/>
        <w:numPr>
          <w:ilvl w:val="0"/>
          <w:numId w:val="93"/>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当塑料护套线侧弯或平弯时，其弯曲处护套和导线绝缘层均应完整无损伤，侧弯和平弯弯曲半径应分别不小于护套线宽度和厚度的3倍。</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检查数量：按侧弯及平弯的总数量抽查20%，且各不得少于1处。</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检查方法：尺量检查、观察检查。</w:t>
      </w:r>
    </w:p>
    <w:p>
      <w:pPr>
        <w:pStyle w:val="41"/>
        <w:numPr>
          <w:ilvl w:val="0"/>
          <w:numId w:val="93"/>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塑料护套线进入盒（箱）或与设备、器具连接，其护套层应进入盒（箱）或设备、器具内，护套层与盒（箱）入口处应密封。</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pPr>
        <w:pStyle w:val="41"/>
        <w:numPr>
          <w:ilvl w:val="0"/>
          <w:numId w:val="93"/>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塑料护套线的固定应符合下列规定：</w:t>
      </w:r>
    </w:p>
    <w:p>
      <w:pPr>
        <w:pStyle w:val="41"/>
        <w:numPr>
          <w:ilvl w:val="1"/>
          <w:numId w:val="94"/>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固定应顺直、不松弛、不扭绞；</w:t>
      </w:r>
    </w:p>
    <w:p>
      <w:pPr>
        <w:pStyle w:val="41"/>
        <w:numPr>
          <w:ilvl w:val="1"/>
          <w:numId w:val="94"/>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护套线应采用线卡固定，固定点间距应均匀、稳固，固定点间距宜为</w:t>
      </w:r>
      <w:r>
        <w:rPr>
          <w:rFonts w:hint="eastAsia" w:asciiTheme="minorEastAsia" w:hAnsiTheme="minorEastAsia" w:eastAsiaTheme="minorEastAsia"/>
          <w:color w:val="000000"/>
          <w:szCs w:val="21"/>
        </w:rPr>
        <w:t>150</w:t>
      </w:r>
      <w:r>
        <w:rPr>
          <w:rFonts w:hint="eastAsia" w:cs="仿宋" w:asciiTheme="minorEastAsia" w:hAnsiTheme="minorEastAsia" w:eastAsiaTheme="minorEastAsia"/>
          <w:color w:val="000000"/>
          <w:spacing w:val="0"/>
          <w:w w:val="15"/>
          <w:kern w:val="0"/>
          <w:szCs w:val="21"/>
          <w:fitText w:val="42" w:id="1984069317"/>
        </w:rPr>
        <w:t xml:space="preserve">　 </w:t>
      </w:r>
      <w:r>
        <w:rPr>
          <w:rFonts w:hint="eastAsia" w:cs="仿宋" w:asciiTheme="minorEastAsia" w:hAnsiTheme="minorEastAsia" w:eastAsiaTheme="minorEastAsia"/>
          <w:color w:val="000000"/>
          <w:spacing w:val="-17"/>
          <w:w w:val="15"/>
          <w:kern w:val="0"/>
          <w:szCs w:val="21"/>
          <w:fitText w:val="42" w:id="1984069317"/>
        </w:rPr>
        <w:t>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200 mm</w:t>
      </w:r>
      <w:r>
        <w:rPr>
          <w:rFonts w:hint="eastAsia" w:asciiTheme="minorEastAsia" w:hAnsiTheme="minorEastAsia" w:eastAsiaTheme="minorEastAsia"/>
          <w:szCs w:val="21"/>
        </w:rPr>
        <w:t>；</w:t>
      </w:r>
    </w:p>
    <w:p>
      <w:pPr>
        <w:pStyle w:val="41"/>
        <w:numPr>
          <w:ilvl w:val="1"/>
          <w:numId w:val="94"/>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在终端、转弯和进入盒（箱）、设备或器具等处，均应装设线卡固定，线卡距终端、转弯中点、盒（箱）、设备或器具边缘的距离宜为</w:t>
      </w:r>
      <w:r>
        <w:rPr>
          <w:rFonts w:hint="eastAsia" w:asciiTheme="minorEastAsia" w:hAnsiTheme="minorEastAsia" w:eastAsiaTheme="minorEastAsia"/>
          <w:color w:val="000000"/>
          <w:szCs w:val="21"/>
        </w:rPr>
        <w:t>50</w:t>
      </w:r>
      <w:r>
        <w:rPr>
          <w:rFonts w:hint="eastAsia" w:cs="仿宋" w:asciiTheme="minorEastAsia" w:hAnsiTheme="minorEastAsia" w:eastAsiaTheme="minorEastAsia"/>
          <w:color w:val="000000"/>
          <w:spacing w:val="0"/>
          <w:w w:val="15"/>
          <w:kern w:val="0"/>
          <w:szCs w:val="21"/>
          <w:fitText w:val="42" w:id="1578066300"/>
        </w:rPr>
        <w:t xml:space="preserve">　 </w:t>
      </w:r>
      <w:r>
        <w:rPr>
          <w:rFonts w:hint="eastAsia" w:cs="仿宋" w:asciiTheme="minorEastAsia" w:hAnsiTheme="minorEastAsia" w:eastAsiaTheme="minorEastAsia"/>
          <w:color w:val="000000"/>
          <w:spacing w:val="-17"/>
          <w:w w:val="15"/>
          <w:kern w:val="0"/>
          <w:szCs w:val="21"/>
          <w:fitText w:val="42" w:id="1578066300"/>
        </w:rPr>
        <w:t>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100</w:t>
      </w:r>
      <w:r>
        <w:rPr>
          <w:rFonts w:hint="eastAsia" w:cs="仿宋" w:asciiTheme="minorEastAsia" w:hAnsiTheme="minorEastAsia" w:eastAsiaTheme="minorEastAsia"/>
          <w:color w:val="000000"/>
          <w:spacing w:val="0"/>
          <w:w w:val="15"/>
          <w:kern w:val="0"/>
          <w:szCs w:val="21"/>
          <w:fitText w:val="42" w:id="768346579"/>
        </w:rPr>
        <w:t xml:space="preserve">　 </w:t>
      </w:r>
      <w:r>
        <w:rPr>
          <w:rFonts w:hint="eastAsia" w:cs="仿宋" w:asciiTheme="minorEastAsia" w:hAnsiTheme="minorEastAsia" w:eastAsiaTheme="minorEastAsia"/>
          <w:color w:val="000000"/>
          <w:spacing w:val="-17"/>
          <w:w w:val="15"/>
          <w:kern w:val="0"/>
          <w:szCs w:val="21"/>
          <w:fitText w:val="42" w:id="768346579"/>
        </w:rPr>
        <w:t>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w:t>
      </w:r>
    </w:p>
    <w:p>
      <w:pPr>
        <w:pStyle w:val="41"/>
        <w:numPr>
          <w:ilvl w:val="1"/>
          <w:numId w:val="94"/>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塑料护套线的接头应设在明装盒（箱）或器具内，多尘场所应采用IP5 X等级的密闭式盒（箱），潮湿场所应采用IPX5等级的密闭式盒（箱），盒（箱）的配件应齐全，固定应可靠。</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检查数量：按每检验批的配线回路数量抽查20%，且不得少于1处。</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pPr>
        <w:pStyle w:val="41"/>
        <w:numPr>
          <w:ilvl w:val="0"/>
          <w:numId w:val="93"/>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多根塑料护套线平行敷设的间距应一致，分支和弯头处应整齐，弯头应一致；竖向敷设应顺直不宜交叉缠绕。</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检查数量：按多根塑料护套线平行敷设的数量抽查20%，且不得少于1处。</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126" w:name="_Toc137216241"/>
      <w:bookmarkStart w:id="127" w:name="_Toc136869082"/>
      <w:bookmarkStart w:id="128" w:name="_Toc136868047"/>
      <w:bookmarkStart w:id="129" w:name="_Toc124168156"/>
      <w:r>
        <w:rPr>
          <w:rFonts w:hint="eastAsia" w:asciiTheme="minorEastAsia" w:hAnsiTheme="minorEastAsia" w:eastAsiaTheme="minorEastAsia"/>
          <w:sz w:val="24"/>
          <w:szCs w:val="24"/>
        </w:rPr>
        <w:t>5</w:t>
      </w:r>
      <w:r>
        <w:rPr>
          <w:rFonts w:asciiTheme="minorEastAsia" w:hAnsiTheme="minorEastAsia" w:eastAsiaTheme="minorEastAsia"/>
          <w:sz w:val="24"/>
          <w:szCs w:val="24"/>
        </w:rPr>
        <w:t xml:space="preserve">.9 </w:t>
      </w:r>
      <w:r>
        <w:rPr>
          <w:rFonts w:hint="eastAsia" w:asciiTheme="minorEastAsia" w:hAnsiTheme="minorEastAsia" w:eastAsiaTheme="minorEastAsia"/>
          <w:sz w:val="24"/>
          <w:szCs w:val="24"/>
        </w:rPr>
        <w:t>钢索配线</w:t>
      </w:r>
      <w:bookmarkEnd w:id="126"/>
      <w:bookmarkEnd w:id="127"/>
      <w:bookmarkEnd w:id="128"/>
      <w:bookmarkEnd w:id="129"/>
    </w:p>
    <w:p>
      <w:pPr>
        <w:pStyle w:val="4"/>
        <w:spacing w:before="120" w:beforeLines="50" w:after="120" w:afterLines="50"/>
        <w:rPr>
          <w:rFonts w:asciiTheme="minorEastAsia" w:hAnsiTheme="minorEastAsia" w:eastAsiaTheme="minorEastAsia"/>
          <w:sz w:val="21"/>
          <w:szCs w:val="21"/>
        </w:rPr>
      </w:pPr>
      <w:r>
        <w:t>I</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主控项目</w:t>
      </w:r>
    </w:p>
    <w:p>
      <w:pPr>
        <w:pStyle w:val="41"/>
        <w:numPr>
          <w:ilvl w:val="0"/>
          <w:numId w:val="95"/>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钢索配线应采用镀锌钢索，不应采用含油芯的钢索。钢索的钢丝直径应小于</w:t>
      </w:r>
      <w:r>
        <w:rPr>
          <w:rFonts w:hint="eastAsia" w:asciiTheme="minorEastAsia" w:hAnsiTheme="minorEastAsia" w:eastAsiaTheme="minorEastAsia"/>
          <w:color w:val="000000"/>
          <w:szCs w:val="21"/>
        </w:rPr>
        <w:t>0.5 mm</w:t>
      </w:r>
      <w:r>
        <w:rPr>
          <w:rFonts w:hint="eastAsia" w:asciiTheme="minorEastAsia" w:hAnsiTheme="minorEastAsia" w:eastAsiaTheme="minorEastAsia"/>
          <w:szCs w:val="21"/>
        </w:rPr>
        <w:t>，钢索不应有扭曲和断股等缺陷，钢索配线所采用的钢索的截面积，应根据跨距、荷重和机械强度等因素确定，且不宜小于</w:t>
      </w:r>
      <w:r>
        <w:rPr>
          <w:rFonts w:hint="eastAsia" w:asciiTheme="minorEastAsia" w:hAnsiTheme="minorEastAsia" w:eastAsiaTheme="minorEastAsia"/>
          <w:color w:val="000000"/>
          <w:szCs w:val="21"/>
        </w:rPr>
        <w:t>10</w:t>
      </w:r>
      <w:r>
        <w:rPr>
          <w:rFonts w:hint="eastAsia" w:cs="仿宋" w:asciiTheme="minorEastAsia" w:hAnsiTheme="minorEastAsia" w:eastAsiaTheme="minorEastAsia"/>
          <w:color w:val="000000"/>
          <w:spacing w:val="0"/>
          <w:w w:val="15"/>
          <w:kern w:val="0"/>
          <w:szCs w:val="21"/>
          <w:fitText w:val="42" w:id="1639737057"/>
        </w:rPr>
        <w:t xml:space="preserve">　 </w:t>
      </w:r>
      <w:r>
        <w:rPr>
          <w:rFonts w:hint="eastAsia" w:cs="仿宋" w:asciiTheme="minorEastAsia" w:hAnsiTheme="minorEastAsia" w:eastAsiaTheme="minorEastAsia"/>
          <w:color w:val="000000"/>
          <w:spacing w:val="-17"/>
          <w:w w:val="15"/>
          <w:kern w:val="0"/>
          <w:szCs w:val="21"/>
          <w:fitText w:val="42" w:id="1639737057"/>
        </w:rPr>
        <w:t>　</w:t>
      </w:r>
      <w:r>
        <w:rPr>
          <w:rFonts w:hint="eastAsia" w:asciiTheme="minorEastAsia" w:hAnsiTheme="minorEastAsia" w:eastAsiaTheme="minorEastAsia"/>
          <w:color w:val="000000"/>
          <w:szCs w:val="21"/>
        </w:rPr>
        <w:t>mm2</w:t>
      </w:r>
      <w:r>
        <w:rPr>
          <w:rFonts w:hint="eastAsia" w:asciiTheme="minorEastAsia" w:hAnsiTheme="minorEastAsia" w:eastAsiaTheme="minorEastAsia"/>
          <w:szCs w:val="21"/>
        </w:rPr>
        <w:t>，对钢索有腐蚀的场所，应采取防腐蚀措施。</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检查方法：尺量检查、观察检查，查验材料证明文件及材料进场验收记录。</w:t>
      </w:r>
    </w:p>
    <w:p>
      <w:pPr>
        <w:pStyle w:val="41"/>
        <w:numPr>
          <w:ilvl w:val="0"/>
          <w:numId w:val="95"/>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钢索与终端拉环套接应采用心形环，固定钢索的线卡不应少于2个，钢索端头应用镀锌铁线绑扎紧密，且应与保护导体可靠连接。</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检查方法：施工中观察检查并查阅隐蔽工程检查记录。</w:t>
      </w:r>
    </w:p>
    <w:p>
      <w:pPr>
        <w:pStyle w:val="41"/>
        <w:numPr>
          <w:ilvl w:val="0"/>
          <w:numId w:val="95"/>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钢索终端拉环埋件应牢固可靠，并应能承受在钢索全部负荷下的拉力，在挂索前应对拉环做过载试验，过载试验的拉力应为设计承载拉力的3.5倍。</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检查方法：试验时观察检查并查阅过载试验记录。</w:t>
      </w:r>
    </w:p>
    <w:p>
      <w:pPr>
        <w:pStyle w:val="41"/>
        <w:numPr>
          <w:ilvl w:val="0"/>
          <w:numId w:val="95"/>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当钢索长度小于或等于</w:t>
      </w:r>
      <w:r>
        <w:rPr>
          <w:rFonts w:hint="eastAsia" w:asciiTheme="minorEastAsia" w:hAnsiTheme="minorEastAsia" w:eastAsiaTheme="minorEastAsia"/>
          <w:color w:val="000000"/>
          <w:szCs w:val="21"/>
        </w:rPr>
        <w:t>50</w:t>
      </w:r>
      <w:r>
        <w:rPr>
          <w:rFonts w:hint="eastAsia" w:cs="仿宋" w:asciiTheme="minorEastAsia" w:hAnsiTheme="minorEastAsia" w:eastAsiaTheme="minorEastAsia"/>
          <w:color w:val="000000"/>
          <w:spacing w:val="0"/>
          <w:w w:val="15"/>
          <w:kern w:val="0"/>
          <w:szCs w:val="21"/>
          <w:fitText w:val="42" w:id="260637678"/>
        </w:rPr>
        <w:t xml:space="preserve">　 </w:t>
      </w:r>
      <w:r>
        <w:rPr>
          <w:rFonts w:hint="eastAsia" w:cs="仿宋" w:asciiTheme="minorEastAsia" w:hAnsiTheme="minorEastAsia" w:eastAsiaTheme="minorEastAsia"/>
          <w:color w:val="000000"/>
          <w:spacing w:val="-17"/>
          <w:w w:val="15"/>
          <w:kern w:val="0"/>
          <w:szCs w:val="21"/>
          <w:fitText w:val="42" w:id="260637678"/>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时，应在钢索一端装设索具螺旋扣紧固；当钢索长度大于</w:t>
      </w:r>
      <w:r>
        <w:rPr>
          <w:rFonts w:hint="eastAsia" w:asciiTheme="minorEastAsia" w:hAnsiTheme="minorEastAsia" w:eastAsiaTheme="minorEastAsia"/>
          <w:color w:val="000000"/>
          <w:szCs w:val="21"/>
        </w:rPr>
        <w:t>50</w:t>
      </w:r>
      <w:r>
        <w:rPr>
          <w:rFonts w:hint="eastAsia" w:cs="仿宋" w:asciiTheme="minorEastAsia" w:hAnsiTheme="minorEastAsia" w:eastAsiaTheme="minorEastAsia"/>
          <w:color w:val="000000"/>
          <w:spacing w:val="0"/>
          <w:w w:val="15"/>
          <w:kern w:val="0"/>
          <w:szCs w:val="21"/>
          <w:fitText w:val="42" w:id="1804416533"/>
        </w:rPr>
        <w:t xml:space="preserve">　 </w:t>
      </w:r>
      <w:r>
        <w:rPr>
          <w:rFonts w:hint="eastAsia" w:cs="仿宋" w:asciiTheme="minorEastAsia" w:hAnsiTheme="minorEastAsia" w:eastAsiaTheme="minorEastAsia"/>
          <w:color w:val="000000"/>
          <w:spacing w:val="-17"/>
          <w:w w:val="15"/>
          <w:kern w:val="0"/>
          <w:szCs w:val="21"/>
          <w:fitText w:val="42" w:id="1804416533"/>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时，应在钢索两端装设索具螺旋扣紧固。</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pPr>
        <w:pStyle w:val="41"/>
        <w:spacing w:line="360" w:lineRule="auto"/>
      </w:pPr>
      <w:r>
        <w:rPr>
          <w:rFonts w:hint="eastAsia" w:asciiTheme="minorEastAsia" w:hAnsiTheme="minorEastAsia" w:eastAsiaTheme="minorEastAsia"/>
          <w:szCs w:val="21"/>
        </w:rPr>
        <w:t>检查方法：观察检查。</w:t>
      </w:r>
    </w:p>
    <w:p>
      <w:pPr>
        <w:pStyle w:val="4"/>
        <w:spacing w:before="120" w:beforeLines="50" w:after="120" w:afterLines="50"/>
        <w:rPr>
          <w:rFonts w:asciiTheme="minorEastAsia" w:hAnsiTheme="minorEastAsia" w:eastAsiaTheme="minorEastAsia"/>
          <w:sz w:val="21"/>
          <w:szCs w:val="21"/>
        </w:rPr>
      </w:pPr>
      <w:r>
        <w:t>Ⅱ</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一般项目</w:t>
      </w:r>
    </w:p>
    <w:p>
      <w:pPr>
        <w:pStyle w:val="41"/>
        <w:numPr>
          <w:ilvl w:val="0"/>
          <w:numId w:val="95"/>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钢索固定件应镀锌或涂防腐漆。钢索除两端拉紧外，跨距大的应在中间增加支持点，其间距不宜大于</w:t>
      </w:r>
      <w:r>
        <w:rPr>
          <w:rFonts w:hint="eastAsia" w:asciiTheme="minorEastAsia" w:hAnsiTheme="minorEastAsia" w:eastAsiaTheme="minorEastAsia"/>
          <w:color w:val="000000"/>
          <w:szCs w:val="21"/>
        </w:rPr>
        <w:t>12 m</w:t>
      </w:r>
      <w:r>
        <w:rPr>
          <w:rFonts w:hint="eastAsia" w:asciiTheme="minorEastAsia" w:hAnsiTheme="minorEastAsia" w:eastAsiaTheme="minorEastAsia"/>
          <w:szCs w:val="21"/>
        </w:rPr>
        <w:t>。吊架与钢索连接处的吊钩深度不应小于</w:t>
      </w:r>
      <w:r>
        <w:rPr>
          <w:rFonts w:hint="eastAsia" w:asciiTheme="minorEastAsia" w:hAnsiTheme="minorEastAsia" w:eastAsiaTheme="minorEastAsia"/>
          <w:color w:val="000000"/>
          <w:szCs w:val="21"/>
        </w:rPr>
        <w:t>20 mm</w:t>
      </w:r>
      <w:r>
        <w:rPr>
          <w:rFonts w:hint="eastAsia" w:asciiTheme="minorEastAsia" w:hAnsiTheme="minorEastAsia" w:eastAsiaTheme="minorEastAsia"/>
          <w:szCs w:val="21"/>
        </w:rPr>
        <w:t>，并应有防止钢索跳出的锁定零件。</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检查数量：按钢索总数抽查50%，且不得少于1道钢索。</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检查方法：观察检查并用尺量检查。</w:t>
      </w:r>
    </w:p>
    <w:p>
      <w:pPr>
        <w:pStyle w:val="41"/>
        <w:numPr>
          <w:ilvl w:val="0"/>
          <w:numId w:val="95"/>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绝缘导线和灯具在钢索上安装后，钢索应承受全部负载，且钢索表面应整洁、无锈蚀。</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pPr>
        <w:pStyle w:val="41"/>
        <w:numPr>
          <w:ilvl w:val="0"/>
          <w:numId w:val="95"/>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在钢索上吊装金属导管或塑料导管布线时，钢索配线的支持件之间及支持件与灯头盒之间最大距离应符合表5.</w:t>
      </w:r>
      <w:r>
        <w:rPr>
          <w:rFonts w:asciiTheme="minorEastAsia" w:hAnsiTheme="minorEastAsia" w:eastAsiaTheme="minorEastAsia"/>
          <w:szCs w:val="21"/>
        </w:rPr>
        <w:t>9</w:t>
      </w:r>
      <w:r>
        <w:rPr>
          <w:rFonts w:hint="eastAsia" w:asciiTheme="minorEastAsia" w:hAnsiTheme="minorEastAsia" w:eastAsiaTheme="minorEastAsia"/>
          <w:szCs w:val="21"/>
        </w:rPr>
        <w:t>.7的规定。</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检查数量：按支持件和灯头盒的总数抽查20%，且不得少于1处。</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pPr>
        <w:pStyle w:val="41"/>
        <w:spacing w:line="360" w:lineRule="auto"/>
        <w:ind w:firstLine="0" w:firstLineChars="0"/>
        <w:jc w:val="center"/>
        <w:rPr>
          <w:rFonts w:ascii="黑体" w:hAnsi="黑体" w:eastAsia="黑体"/>
          <w:szCs w:val="21"/>
        </w:rPr>
      </w:pPr>
      <w:r>
        <w:rPr>
          <w:rFonts w:hint="eastAsia" w:ascii="黑体" w:hAnsi="黑体" w:eastAsia="黑体"/>
          <w:szCs w:val="21"/>
        </w:rPr>
        <w:t>表5.</w:t>
      </w:r>
      <w:r>
        <w:rPr>
          <w:rFonts w:ascii="黑体" w:hAnsi="黑体" w:eastAsia="黑体"/>
          <w:szCs w:val="21"/>
        </w:rPr>
        <w:t xml:space="preserve">9.7 </w:t>
      </w:r>
      <w:r>
        <w:rPr>
          <w:rFonts w:hint="eastAsia" w:ascii="黑体" w:hAnsi="黑体" w:eastAsia="黑体"/>
          <w:szCs w:val="21"/>
        </w:rPr>
        <w:t>钢索配线的支持件之间及支持件与灯头盒之间最大距离</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0"/>
        <w:gridCol w:w="2835"/>
        <w:gridCol w:w="3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61" w:type="pct"/>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配线类别</w:t>
            </w:r>
          </w:p>
        </w:tc>
        <w:tc>
          <w:tcPr>
            <w:tcW w:w="1662" w:type="pct"/>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支持件之间最</w:t>
            </w:r>
            <w:r>
              <w:rPr>
                <w:rFonts w:hint="eastAsia" w:asciiTheme="minorEastAsia" w:hAnsiTheme="minorEastAsia" w:eastAsiaTheme="minorEastAsia"/>
                <w:color w:val="000000"/>
                <w:szCs w:val="21"/>
              </w:rPr>
              <w:t>大距离</w:t>
            </w:r>
          </w:p>
        </w:tc>
        <w:tc>
          <w:tcPr>
            <w:tcW w:w="2277" w:type="pct"/>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支持件与灯头盒之间最大距离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1061" w:type="pct"/>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钢    管</w:t>
            </w:r>
          </w:p>
        </w:tc>
        <w:tc>
          <w:tcPr>
            <w:tcW w:w="1662" w:type="pct"/>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color w:val="000000"/>
                <w:szCs w:val="21"/>
              </w:rPr>
              <w:t>1500</w:t>
            </w:r>
            <w:r>
              <w:rPr>
                <w:rFonts w:hint="eastAsia" w:cs="仿宋" w:asciiTheme="minorEastAsia" w:hAnsiTheme="minorEastAsia" w:eastAsiaTheme="minorEastAsia"/>
                <w:color w:val="000000"/>
                <w:spacing w:val="0"/>
                <w:w w:val="15"/>
                <w:kern w:val="0"/>
                <w:szCs w:val="21"/>
                <w:fitText w:val="42" w:id="316227517"/>
              </w:rPr>
              <w:t xml:space="preserve">　 </w:t>
            </w:r>
            <w:r>
              <w:rPr>
                <w:rFonts w:hint="eastAsia" w:cs="仿宋" w:asciiTheme="minorEastAsia" w:hAnsiTheme="minorEastAsia" w:eastAsiaTheme="minorEastAsia"/>
                <w:color w:val="000000"/>
                <w:spacing w:val="-17"/>
                <w:w w:val="15"/>
                <w:kern w:val="0"/>
                <w:szCs w:val="21"/>
                <w:fitText w:val="42" w:id="316227517"/>
              </w:rPr>
              <w:t>　</w:t>
            </w:r>
            <w:r>
              <w:rPr>
                <w:rFonts w:hint="eastAsia" w:asciiTheme="minorEastAsia" w:hAnsiTheme="minorEastAsia" w:eastAsiaTheme="minorEastAsia"/>
                <w:color w:val="000000"/>
                <w:szCs w:val="21"/>
              </w:rPr>
              <w:t>mm</w:t>
            </w:r>
          </w:p>
        </w:tc>
        <w:tc>
          <w:tcPr>
            <w:tcW w:w="2277" w:type="pct"/>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color w:val="000000"/>
                <w:szCs w:val="21"/>
              </w:rPr>
              <w:t>200</w:t>
            </w:r>
            <w:r>
              <w:rPr>
                <w:rFonts w:hint="eastAsia" w:cs="仿宋" w:asciiTheme="minorEastAsia" w:hAnsiTheme="minorEastAsia" w:eastAsiaTheme="minorEastAsia"/>
                <w:color w:val="000000"/>
                <w:spacing w:val="0"/>
                <w:w w:val="15"/>
                <w:kern w:val="0"/>
                <w:szCs w:val="21"/>
                <w:fitText w:val="42" w:id="1246306590"/>
              </w:rPr>
              <w:t xml:space="preserve">　 </w:t>
            </w:r>
            <w:r>
              <w:rPr>
                <w:rFonts w:hint="eastAsia" w:cs="仿宋" w:asciiTheme="minorEastAsia" w:hAnsiTheme="minorEastAsia" w:eastAsiaTheme="minorEastAsia"/>
                <w:color w:val="000000"/>
                <w:spacing w:val="-17"/>
                <w:w w:val="15"/>
                <w:kern w:val="0"/>
                <w:szCs w:val="21"/>
                <w:fitText w:val="42" w:id="1246306590"/>
              </w:rPr>
              <w:t>　</w:t>
            </w:r>
            <w:r>
              <w:rPr>
                <w:rFonts w:hint="eastAsia" w:asciiTheme="minorEastAsia" w:hAnsiTheme="minorEastAsia" w:eastAsiaTheme="minorEastAsia"/>
                <w:color w:val="000000"/>
                <w:szCs w:val="21"/>
              </w:rPr>
              <w:t>m</w:t>
            </w:r>
            <w:r>
              <w:rPr>
                <w:rFonts w:asciiTheme="minorEastAsia" w:hAnsiTheme="minorEastAsia" w:eastAsiaTheme="minorEastAsia"/>
                <w:color w:val="00000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61" w:type="pct"/>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塑料导管</w:t>
            </w:r>
          </w:p>
        </w:tc>
        <w:tc>
          <w:tcPr>
            <w:tcW w:w="1662" w:type="pct"/>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color w:val="000000"/>
                <w:szCs w:val="21"/>
              </w:rPr>
              <w:t>1000</w:t>
            </w:r>
            <w:r>
              <w:rPr>
                <w:rFonts w:hint="eastAsia" w:cs="仿宋" w:asciiTheme="minorEastAsia" w:hAnsiTheme="minorEastAsia" w:eastAsiaTheme="minorEastAsia"/>
                <w:color w:val="000000"/>
                <w:spacing w:val="0"/>
                <w:w w:val="15"/>
                <w:kern w:val="0"/>
                <w:szCs w:val="21"/>
                <w:fitText w:val="42" w:id="146766157"/>
              </w:rPr>
              <w:t xml:space="preserve">　 </w:t>
            </w:r>
            <w:r>
              <w:rPr>
                <w:rFonts w:hint="eastAsia" w:cs="仿宋" w:asciiTheme="minorEastAsia" w:hAnsiTheme="minorEastAsia" w:eastAsiaTheme="minorEastAsia"/>
                <w:color w:val="000000"/>
                <w:spacing w:val="-17"/>
                <w:w w:val="15"/>
                <w:kern w:val="0"/>
                <w:szCs w:val="21"/>
                <w:fitText w:val="42" w:id="146766157"/>
              </w:rPr>
              <w:t>　</w:t>
            </w:r>
            <w:r>
              <w:rPr>
                <w:rFonts w:hint="eastAsia" w:asciiTheme="minorEastAsia" w:hAnsiTheme="minorEastAsia" w:eastAsiaTheme="minorEastAsia"/>
                <w:color w:val="000000"/>
                <w:szCs w:val="21"/>
              </w:rPr>
              <w:t>m</w:t>
            </w:r>
            <w:r>
              <w:rPr>
                <w:rFonts w:asciiTheme="minorEastAsia" w:hAnsiTheme="minorEastAsia" w:eastAsiaTheme="minorEastAsia"/>
                <w:color w:val="000000"/>
                <w:szCs w:val="21"/>
              </w:rPr>
              <w:t>m</w:t>
            </w:r>
          </w:p>
        </w:tc>
        <w:tc>
          <w:tcPr>
            <w:tcW w:w="2277" w:type="pct"/>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color w:val="000000"/>
                <w:szCs w:val="21"/>
              </w:rPr>
              <w:t>150</w:t>
            </w:r>
            <w:r>
              <w:rPr>
                <w:rFonts w:hint="eastAsia" w:cs="仿宋" w:asciiTheme="minorEastAsia" w:hAnsiTheme="minorEastAsia" w:eastAsiaTheme="minorEastAsia"/>
                <w:color w:val="000000"/>
                <w:spacing w:val="0"/>
                <w:w w:val="15"/>
                <w:kern w:val="0"/>
                <w:szCs w:val="21"/>
                <w:fitText w:val="42" w:id="848843788"/>
              </w:rPr>
              <w:t xml:space="preserve">　 </w:t>
            </w:r>
            <w:r>
              <w:rPr>
                <w:rFonts w:hint="eastAsia" w:cs="仿宋" w:asciiTheme="minorEastAsia" w:hAnsiTheme="minorEastAsia" w:eastAsiaTheme="minorEastAsia"/>
                <w:color w:val="000000"/>
                <w:spacing w:val="-17"/>
                <w:w w:val="15"/>
                <w:kern w:val="0"/>
                <w:szCs w:val="21"/>
                <w:fitText w:val="42" w:id="848843788"/>
              </w:rPr>
              <w:t>　</w:t>
            </w:r>
            <w:r>
              <w:rPr>
                <w:rFonts w:hint="eastAsia" w:asciiTheme="minorEastAsia" w:hAnsiTheme="minorEastAsia" w:eastAsiaTheme="minorEastAsia"/>
                <w:color w:val="000000"/>
                <w:szCs w:val="21"/>
              </w:rPr>
              <w:t>m</w:t>
            </w:r>
            <w:r>
              <w:rPr>
                <w:rFonts w:asciiTheme="minorEastAsia" w:hAnsiTheme="minorEastAsia" w:eastAsiaTheme="minorEastAsia"/>
                <w:color w:val="00000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1061" w:type="pct"/>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塑料护套线</w:t>
            </w:r>
          </w:p>
        </w:tc>
        <w:tc>
          <w:tcPr>
            <w:tcW w:w="1662" w:type="pct"/>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color w:val="000000"/>
                <w:szCs w:val="21"/>
              </w:rPr>
              <w:t>200</w:t>
            </w:r>
            <w:r>
              <w:rPr>
                <w:rFonts w:hint="eastAsia" w:cs="仿宋" w:asciiTheme="minorEastAsia" w:hAnsiTheme="minorEastAsia" w:eastAsiaTheme="minorEastAsia"/>
                <w:color w:val="000000"/>
                <w:spacing w:val="0"/>
                <w:w w:val="15"/>
                <w:kern w:val="0"/>
                <w:szCs w:val="21"/>
                <w:fitText w:val="42" w:id="556483254"/>
              </w:rPr>
              <w:t xml:space="preserve">　 </w:t>
            </w:r>
            <w:r>
              <w:rPr>
                <w:rFonts w:hint="eastAsia" w:cs="仿宋" w:asciiTheme="minorEastAsia" w:hAnsiTheme="minorEastAsia" w:eastAsiaTheme="minorEastAsia"/>
                <w:color w:val="000000"/>
                <w:spacing w:val="-17"/>
                <w:w w:val="15"/>
                <w:kern w:val="0"/>
                <w:szCs w:val="21"/>
                <w:fitText w:val="42" w:id="556483254"/>
              </w:rPr>
              <w:t>　</w:t>
            </w:r>
            <w:r>
              <w:rPr>
                <w:rFonts w:hint="eastAsia" w:asciiTheme="minorEastAsia" w:hAnsiTheme="minorEastAsia" w:eastAsiaTheme="minorEastAsia"/>
                <w:color w:val="000000"/>
                <w:szCs w:val="21"/>
              </w:rPr>
              <w:t>m</w:t>
            </w:r>
            <w:r>
              <w:rPr>
                <w:rFonts w:asciiTheme="minorEastAsia" w:hAnsiTheme="minorEastAsia" w:eastAsiaTheme="minorEastAsia"/>
                <w:color w:val="000000"/>
                <w:szCs w:val="21"/>
              </w:rPr>
              <w:t>m</w:t>
            </w:r>
          </w:p>
        </w:tc>
        <w:tc>
          <w:tcPr>
            <w:tcW w:w="2277" w:type="pct"/>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color w:val="000000"/>
                <w:szCs w:val="21"/>
              </w:rPr>
              <w:t>100</w:t>
            </w:r>
            <w:r>
              <w:rPr>
                <w:rFonts w:hint="eastAsia" w:cs="仿宋" w:asciiTheme="minorEastAsia" w:hAnsiTheme="minorEastAsia" w:eastAsiaTheme="minorEastAsia"/>
                <w:color w:val="000000"/>
                <w:spacing w:val="0"/>
                <w:w w:val="15"/>
                <w:kern w:val="0"/>
                <w:szCs w:val="21"/>
                <w:fitText w:val="42" w:id="1912294349"/>
              </w:rPr>
              <w:t xml:space="preserve">　 </w:t>
            </w:r>
            <w:r>
              <w:rPr>
                <w:rFonts w:hint="eastAsia" w:cs="仿宋" w:asciiTheme="minorEastAsia" w:hAnsiTheme="minorEastAsia" w:eastAsiaTheme="minorEastAsia"/>
                <w:color w:val="000000"/>
                <w:spacing w:val="-17"/>
                <w:w w:val="15"/>
                <w:kern w:val="0"/>
                <w:szCs w:val="21"/>
                <w:fitText w:val="42" w:id="1912294349"/>
              </w:rPr>
              <w:t>　</w:t>
            </w:r>
            <w:r>
              <w:rPr>
                <w:rFonts w:hint="eastAsia" w:asciiTheme="minorEastAsia" w:hAnsiTheme="minorEastAsia" w:eastAsiaTheme="minorEastAsia"/>
                <w:color w:val="000000"/>
                <w:szCs w:val="21"/>
              </w:rPr>
              <w:t>m</w:t>
            </w:r>
            <w:r>
              <w:rPr>
                <w:rFonts w:asciiTheme="minorEastAsia" w:hAnsiTheme="minorEastAsia" w:eastAsiaTheme="minorEastAsia"/>
                <w:color w:val="000000"/>
                <w:szCs w:val="21"/>
              </w:rPr>
              <w:t>m</w:t>
            </w:r>
          </w:p>
        </w:tc>
      </w:tr>
    </w:tbl>
    <w:p>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130" w:name="_Toc136868048"/>
      <w:bookmarkStart w:id="131" w:name="_Toc136869083"/>
      <w:bookmarkStart w:id="132" w:name="_Toc124168159"/>
      <w:bookmarkStart w:id="133" w:name="_Toc137216242"/>
      <w:r>
        <w:rPr>
          <w:rFonts w:hint="eastAsia" w:asciiTheme="minorEastAsia" w:hAnsiTheme="minorEastAsia" w:eastAsiaTheme="minorEastAsia"/>
          <w:sz w:val="24"/>
          <w:szCs w:val="24"/>
        </w:rPr>
        <w:t>5</w:t>
      </w:r>
      <w:r>
        <w:rPr>
          <w:rFonts w:asciiTheme="minorEastAsia" w:hAnsiTheme="minorEastAsia" w:eastAsiaTheme="minorEastAsia"/>
          <w:sz w:val="24"/>
          <w:szCs w:val="24"/>
        </w:rPr>
        <w:t xml:space="preserve">.10 </w:t>
      </w:r>
      <w:r>
        <w:rPr>
          <w:rFonts w:hint="eastAsia" w:asciiTheme="minorEastAsia" w:hAnsiTheme="minorEastAsia" w:eastAsiaTheme="minorEastAsia"/>
          <w:sz w:val="24"/>
          <w:szCs w:val="24"/>
        </w:rPr>
        <w:t>电缆头制作、导线连接和线路绝缘测试</w:t>
      </w:r>
      <w:bookmarkEnd w:id="130"/>
      <w:bookmarkEnd w:id="131"/>
      <w:bookmarkEnd w:id="132"/>
      <w:bookmarkEnd w:id="133"/>
    </w:p>
    <w:p>
      <w:pPr>
        <w:pStyle w:val="4"/>
        <w:spacing w:before="120" w:beforeLines="50" w:after="120" w:afterLines="50"/>
        <w:rPr>
          <w:rFonts w:asciiTheme="minorEastAsia" w:hAnsiTheme="minorEastAsia" w:eastAsiaTheme="minorEastAsia"/>
          <w:sz w:val="21"/>
          <w:szCs w:val="21"/>
        </w:rPr>
      </w:pPr>
      <w:r>
        <w:t>I</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主控项目</w:t>
      </w:r>
    </w:p>
    <w:p>
      <w:pPr>
        <w:pStyle w:val="41"/>
        <w:numPr>
          <w:ilvl w:val="0"/>
          <w:numId w:val="96"/>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电力电缆通电前应按现行国家标准</w:t>
      </w:r>
      <w:r>
        <w:rPr>
          <w:rFonts w:hint="eastAsia" w:asciiTheme="minorEastAsia" w:hAnsiTheme="minorEastAsia" w:eastAsiaTheme="minorEastAsia"/>
          <w:color w:val="000000"/>
          <w:szCs w:val="21"/>
        </w:rPr>
        <w:t>《电气装置安装工程电气设备交接试验标准》GB 50150</w:t>
      </w:r>
      <w:r>
        <w:rPr>
          <w:rFonts w:hint="eastAsia" w:asciiTheme="minorEastAsia" w:hAnsiTheme="minorEastAsia" w:eastAsiaTheme="minorEastAsia"/>
          <w:szCs w:val="21"/>
        </w:rPr>
        <w:t>的规定进行耐压试验，并应检验合格。</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检查方法：试验时观察检查并查阅交接试验记录。</w:t>
      </w:r>
    </w:p>
    <w:p>
      <w:pPr>
        <w:pStyle w:val="41"/>
        <w:numPr>
          <w:ilvl w:val="0"/>
          <w:numId w:val="96"/>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低压或特低电压配电线路线间和线对地间的绝缘电阻测试电压及绝缘电阻值不应小于表5.</w:t>
      </w:r>
      <w:r>
        <w:rPr>
          <w:rFonts w:asciiTheme="minorEastAsia" w:hAnsiTheme="minorEastAsia" w:eastAsiaTheme="minorEastAsia"/>
          <w:szCs w:val="21"/>
        </w:rPr>
        <w:t>10</w:t>
      </w:r>
      <w:r>
        <w:rPr>
          <w:rFonts w:hint="eastAsia" w:asciiTheme="minorEastAsia" w:hAnsiTheme="minorEastAsia" w:eastAsiaTheme="minorEastAsia"/>
          <w:szCs w:val="21"/>
        </w:rPr>
        <w:t>.2的规定，矿物绝缘电缆线间和线对地间的绝缘电阻应符合国家现行有关产品标准的规定。</w:t>
      </w:r>
    </w:p>
    <w:p>
      <w:pPr>
        <w:spacing w:line="360" w:lineRule="auto"/>
        <w:jc w:val="center"/>
        <w:rPr>
          <w:rFonts w:ascii="黑体" w:hAnsi="黑体" w:eastAsia="黑体"/>
          <w:szCs w:val="21"/>
        </w:rPr>
      </w:pPr>
      <w:r>
        <w:rPr>
          <w:rFonts w:hint="eastAsia" w:ascii="黑体" w:hAnsi="黑体" w:eastAsia="黑体"/>
          <w:szCs w:val="21"/>
        </w:rPr>
        <w:t>表5.</w:t>
      </w:r>
      <w:r>
        <w:rPr>
          <w:rFonts w:ascii="黑体" w:hAnsi="黑体" w:eastAsia="黑体"/>
          <w:szCs w:val="21"/>
        </w:rPr>
        <w:t xml:space="preserve">10.2 </w:t>
      </w:r>
      <w:r>
        <w:rPr>
          <w:rFonts w:hint="eastAsia" w:ascii="黑体" w:hAnsi="黑体" w:eastAsia="黑体"/>
          <w:szCs w:val="21"/>
        </w:rPr>
        <w:t>低压或特低电压配电线路绝缘电阻测试电压及绝缘电阻最小值</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18"/>
        <w:gridCol w:w="2374"/>
        <w:gridCol w:w="2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04" w:type="pct"/>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标称回路电压（</w:t>
            </w:r>
            <w:r>
              <w:rPr>
                <w:rFonts w:hint="eastAsia" w:cs="宋体" w:asciiTheme="minorEastAsia" w:hAnsiTheme="minorEastAsia" w:eastAsiaTheme="minorEastAsia"/>
                <w:szCs w:val="21"/>
              </w:rPr>
              <w:t>V</w:t>
            </w:r>
            <w:r>
              <w:rPr>
                <w:rFonts w:hint="eastAsia" w:asciiTheme="minorEastAsia" w:hAnsiTheme="minorEastAsia" w:eastAsiaTheme="minorEastAsia"/>
                <w:szCs w:val="21"/>
              </w:rPr>
              <w:t>）</w:t>
            </w:r>
          </w:p>
        </w:tc>
        <w:tc>
          <w:tcPr>
            <w:tcW w:w="1392" w:type="pct"/>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直流测试电压（</w:t>
            </w:r>
            <w:r>
              <w:rPr>
                <w:rFonts w:hint="eastAsia" w:cs="宋体" w:asciiTheme="minorEastAsia" w:hAnsiTheme="minorEastAsia" w:eastAsiaTheme="minorEastAsia"/>
                <w:szCs w:val="21"/>
              </w:rPr>
              <w:t>V</w:t>
            </w:r>
            <w:r>
              <w:rPr>
                <w:rFonts w:hint="eastAsia" w:asciiTheme="minorEastAsia" w:hAnsiTheme="minorEastAsia" w:eastAsiaTheme="minorEastAsia"/>
                <w:szCs w:val="21"/>
              </w:rPr>
              <w:t>）</w:t>
            </w:r>
          </w:p>
        </w:tc>
        <w:tc>
          <w:tcPr>
            <w:tcW w:w="1604" w:type="pct"/>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绝缘电阻（</w:t>
            </w:r>
            <w:r>
              <w:rPr>
                <w:rFonts w:hint="eastAsia" w:cs="宋体" w:asciiTheme="minorEastAsia" w:hAnsiTheme="minorEastAsia" w:eastAsiaTheme="minorEastAsia"/>
                <w:szCs w:val="21"/>
              </w:rPr>
              <w:t>ΜΩ</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04" w:type="pct"/>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SELV和PELV</w:t>
            </w:r>
          </w:p>
        </w:tc>
        <w:tc>
          <w:tcPr>
            <w:tcW w:w="1392" w:type="pct"/>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250</w:t>
            </w:r>
          </w:p>
        </w:tc>
        <w:tc>
          <w:tcPr>
            <w:tcW w:w="1604" w:type="pct"/>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04" w:type="pct"/>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color w:val="000000"/>
                <w:szCs w:val="21"/>
              </w:rPr>
              <w:t>500</w:t>
            </w:r>
            <w:r>
              <w:rPr>
                <w:rFonts w:hint="eastAsia" w:cs="仿宋" w:asciiTheme="minorEastAsia" w:hAnsiTheme="minorEastAsia" w:eastAsiaTheme="minorEastAsia"/>
                <w:color w:val="000000"/>
                <w:spacing w:val="0"/>
                <w:w w:val="15"/>
                <w:kern w:val="0"/>
                <w:szCs w:val="21"/>
                <w:fitText w:val="42" w:id="469638975"/>
              </w:rPr>
              <w:t xml:space="preserve">　 </w:t>
            </w:r>
            <w:r>
              <w:rPr>
                <w:rFonts w:hint="eastAsia" w:cs="仿宋" w:asciiTheme="minorEastAsia" w:hAnsiTheme="minorEastAsia" w:eastAsiaTheme="minorEastAsia"/>
                <w:color w:val="000000"/>
                <w:spacing w:val="-17"/>
                <w:w w:val="15"/>
                <w:kern w:val="0"/>
                <w:szCs w:val="21"/>
                <w:fitText w:val="42" w:id="469638975"/>
              </w:rPr>
              <w:t>　</w:t>
            </w:r>
            <w:r>
              <w:rPr>
                <w:rFonts w:hint="eastAsia" w:asciiTheme="minorEastAsia" w:hAnsiTheme="minorEastAsia" w:eastAsiaTheme="minorEastAsia"/>
                <w:color w:val="000000"/>
                <w:szCs w:val="21"/>
              </w:rPr>
              <w:t>V</w:t>
            </w:r>
            <w:r>
              <w:rPr>
                <w:rFonts w:hint="eastAsia" w:cs="宋体" w:asciiTheme="minorEastAsia" w:hAnsiTheme="minorEastAsia" w:eastAsiaTheme="minorEastAsia"/>
                <w:szCs w:val="21"/>
              </w:rPr>
              <w:t>及以下，包括FELV</w:t>
            </w:r>
          </w:p>
        </w:tc>
        <w:tc>
          <w:tcPr>
            <w:tcW w:w="1392" w:type="pct"/>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500</w:t>
            </w:r>
          </w:p>
        </w:tc>
        <w:tc>
          <w:tcPr>
            <w:tcW w:w="1604" w:type="pct"/>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2004" w:type="pct"/>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color w:val="000000"/>
                <w:szCs w:val="21"/>
              </w:rPr>
              <w:t>500</w:t>
            </w:r>
            <w:r>
              <w:rPr>
                <w:rFonts w:hint="eastAsia" w:cs="仿宋" w:asciiTheme="minorEastAsia" w:hAnsiTheme="minorEastAsia" w:eastAsiaTheme="minorEastAsia"/>
                <w:color w:val="000000"/>
                <w:spacing w:val="0"/>
                <w:w w:val="15"/>
                <w:kern w:val="0"/>
                <w:szCs w:val="21"/>
                <w:fitText w:val="42" w:id="1261196725"/>
              </w:rPr>
              <w:t xml:space="preserve">　 </w:t>
            </w:r>
            <w:r>
              <w:rPr>
                <w:rFonts w:hint="eastAsia" w:cs="仿宋" w:asciiTheme="minorEastAsia" w:hAnsiTheme="minorEastAsia" w:eastAsiaTheme="minorEastAsia"/>
                <w:color w:val="000000"/>
                <w:spacing w:val="-17"/>
                <w:w w:val="15"/>
                <w:kern w:val="0"/>
                <w:szCs w:val="21"/>
                <w:fitText w:val="42" w:id="1261196725"/>
              </w:rPr>
              <w:t>　</w:t>
            </w:r>
            <w:r>
              <w:rPr>
                <w:rFonts w:hint="eastAsia" w:asciiTheme="minorEastAsia" w:hAnsiTheme="minorEastAsia" w:eastAsiaTheme="minorEastAsia"/>
                <w:color w:val="000000"/>
                <w:szCs w:val="21"/>
              </w:rPr>
              <w:t>V</w:t>
            </w:r>
            <w:r>
              <w:rPr>
                <w:rFonts w:hint="eastAsia" w:asciiTheme="minorEastAsia" w:hAnsiTheme="minorEastAsia" w:eastAsiaTheme="minorEastAsia"/>
                <w:szCs w:val="21"/>
              </w:rPr>
              <w:t>以上</w:t>
            </w:r>
          </w:p>
        </w:tc>
        <w:tc>
          <w:tcPr>
            <w:tcW w:w="1392" w:type="pct"/>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color w:val="000000"/>
                <w:szCs w:val="21"/>
              </w:rPr>
              <w:t>1000</w:t>
            </w:r>
          </w:p>
        </w:tc>
        <w:tc>
          <w:tcPr>
            <w:tcW w:w="1604" w:type="pct"/>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1.0</w:t>
            </w:r>
          </w:p>
        </w:tc>
      </w:tr>
    </w:tbl>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检查数量：按每检验批的线路数量抽查20%，且不得少于1条线路，并应覆盖不同型号的电缆或电线。</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检查方法：用绝缘电阻测试仪测试并查阅绝缘电阻测试记录。</w:t>
      </w:r>
    </w:p>
    <w:p>
      <w:pPr>
        <w:pStyle w:val="41"/>
        <w:numPr>
          <w:ilvl w:val="0"/>
          <w:numId w:val="96"/>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电力电缆的铜屏蔽层和铠装护套及矿物绝缘电缆的金属护套和金属配件应采用铜绞线或镀锡铜编织线与保护导体做可靠连接，其连接导体的截面积不应小于表5.10.3的规定。当铜屏蔽层和铠装护套及矿物绝缘电缆的金属护套和金属配件作保护导体时，其连接导体的截面积应符合设计要求。</w:t>
      </w:r>
    </w:p>
    <w:p>
      <w:pPr>
        <w:spacing w:line="360" w:lineRule="auto"/>
        <w:jc w:val="center"/>
        <w:rPr>
          <w:rFonts w:ascii="黑体" w:hAnsi="黑体" w:eastAsia="黑体"/>
          <w:szCs w:val="21"/>
        </w:rPr>
      </w:pPr>
      <w:r>
        <w:rPr>
          <w:rFonts w:hint="eastAsia" w:ascii="黑体" w:hAnsi="黑体" w:eastAsia="黑体"/>
          <w:szCs w:val="21"/>
        </w:rPr>
        <w:t>表5.</w:t>
      </w:r>
      <w:r>
        <w:rPr>
          <w:rFonts w:ascii="黑体" w:hAnsi="黑体" w:eastAsia="黑体"/>
          <w:szCs w:val="21"/>
        </w:rPr>
        <w:t>10.3</w:t>
      </w:r>
      <w:r>
        <w:rPr>
          <w:rFonts w:hint="eastAsia" w:ascii="黑体" w:hAnsi="黑体" w:eastAsia="黑体"/>
          <w:szCs w:val="21"/>
        </w:rPr>
        <w:t xml:space="preserve"> 电缆终端保护</w:t>
      </w:r>
      <w:r>
        <w:rPr>
          <w:rFonts w:hint="eastAsia" w:ascii="黑体" w:hAnsi="黑体" w:eastAsia="黑体"/>
          <w:color w:val="000000"/>
          <w:szCs w:val="21"/>
        </w:rPr>
        <w:t>联接</w:t>
      </w:r>
      <w:r>
        <w:rPr>
          <w:rFonts w:hint="eastAsia" w:ascii="黑体" w:hAnsi="黑体" w:eastAsia="黑体"/>
          <w:szCs w:val="21"/>
        </w:rPr>
        <w:t>导体的截面（mm</w:t>
      </w:r>
      <w:r>
        <w:rPr>
          <w:rFonts w:ascii="Calibri" w:hAnsi="Calibri" w:eastAsia="黑体" w:cs="Calibri"/>
          <w:szCs w:val="21"/>
        </w:rPr>
        <w:t>²</w:t>
      </w:r>
      <w:r>
        <w:rPr>
          <w:rFonts w:hint="eastAsia" w:ascii="黑体" w:hAnsi="黑体" w:eastAsia="黑体" w:cs="仿宋_GB2312"/>
          <w:szCs w:val="21"/>
        </w:rPr>
        <w:t>）</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91"/>
        <w:gridCol w:w="4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457" w:type="pct"/>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电缆相导体截面积</w:t>
            </w:r>
          </w:p>
        </w:tc>
        <w:tc>
          <w:tcPr>
            <w:tcW w:w="2543" w:type="pct"/>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保护联结导体截面积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457" w:type="pct"/>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≤16</w:t>
            </w:r>
          </w:p>
        </w:tc>
        <w:tc>
          <w:tcPr>
            <w:tcW w:w="2543" w:type="pct"/>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与电缆导体截面积相同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457" w:type="pct"/>
            <w:vAlign w:val="center"/>
          </w:tcPr>
          <w:p>
            <w:pPr>
              <w:spacing w:line="360" w:lineRule="auto"/>
              <w:jc w:val="center"/>
              <w:rPr>
                <w:rFonts w:asciiTheme="minorEastAsia" w:hAnsiTheme="minorEastAsia" w:eastAsiaTheme="minorEastAsia"/>
                <w:szCs w:val="21"/>
              </w:rPr>
            </w:pPr>
            <w:r>
              <w:rPr>
                <w:rFonts w:hint="eastAsia" w:cs="宋体" w:asciiTheme="minorEastAsia" w:hAnsiTheme="minorEastAsia" w:eastAsiaTheme="minorEastAsia"/>
                <w:szCs w:val="21"/>
              </w:rPr>
              <w:t>＞16，且≤120</w:t>
            </w:r>
          </w:p>
        </w:tc>
        <w:tc>
          <w:tcPr>
            <w:tcW w:w="2543" w:type="pct"/>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457" w:type="pct"/>
            <w:vAlign w:val="center"/>
          </w:tcPr>
          <w:p>
            <w:pPr>
              <w:spacing w:line="360" w:lineRule="auto"/>
              <w:jc w:val="center"/>
              <w:rPr>
                <w:rFonts w:asciiTheme="minorEastAsia" w:hAnsiTheme="minorEastAsia" w:eastAsiaTheme="minorEastAsia"/>
                <w:szCs w:val="21"/>
              </w:rPr>
            </w:pPr>
            <w:r>
              <w:rPr>
                <w:rFonts w:hint="eastAsia" w:cs="宋体" w:asciiTheme="minorEastAsia" w:hAnsiTheme="minorEastAsia" w:eastAsiaTheme="minorEastAsia"/>
                <w:szCs w:val="21"/>
              </w:rPr>
              <w:t>＞120</w:t>
            </w:r>
          </w:p>
        </w:tc>
        <w:tc>
          <w:tcPr>
            <w:tcW w:w="2543" w:type="pct"/>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25</w:t>
            </w:r>
          </w:p>
        </w:tc>
      </w:tr>
    </w:tbl>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检查数量：按每检验批的电缆线路数量抽查20%，且不得少于1条电缆线路并应覆盖不同型号的电缆。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pPr>
        <w:pStyle w:val="41"/>
        <w:numPr>
          <w:ilvl w:val="0"/>
          <w:numId w:val="96"/>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电缆端子与设备或器具连接应符合本规范第5.1.3条和第5.1.7条的规定。</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检查数量：按每检验批的电缆线路数量抽查20%，且不得少于1条电缆线路。</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检查方法：观察检查并用力矩测试仪测试紧固度。</w:t>
      </w:r>
    </w:p>
    <w:p>
      <w:pPr>
        <w:pStyle w:val="4"/>
        <w:spacing w:before="120" w:beforeLines="50" w:after="120" w:afterLines="50"/>
        <w:rPr>
          <w:rFonts w:asciiTheme="minorEastAsia" w:hAnsiTheme="minorEastAsia" w:eastAsiaTheme="minorEastAsia"/>
          <w:sz w:val="21"/>
          <w:szCs w:val="21"/>
        </w:rPr>
      </w:pPr>
      <w:r>
        <w:t>Ⅱ</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一般项目</w:t>
      </w:r>
    </w:p>
    <w:p>
      <w:pPr>
        <w:pStyle w:val="41"/>
        <w:numPr>
          <w:ilvl w:val="0"/>
          <w:numId w:val="96"/>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电缆头应采用刚性件可靠固定，不应使电器元器件或设备端子承受额外应力。</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检查数量：按每检验批的电缆线路数量抽查20%，且不得少于1条电缆线路。</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pPr>
        <w:pStyle w:val="41"/>
        <w:numPr>
          <w:ilvl w:val="0"/>
          <w:numId w:val="96"/>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导线与设备或器具的连接应符合下列规定：</w:t>
      </w:r>
    </w:p>
    <w:p>
      <w:pPr>
        <w:pStyle w:val="41"/>
        <w:numPr>
          <w:ilvl w:val="1"/>
          <w:numId w:val="97"/>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截面积在</w:t>
      </w:r>
      <w:r>
        <w:rPr>
          <w:rFonts w:hint="eastAsia" w:asciiTheme="minorEastAsia" w:hAnsiTheme="minorEastAsia" w:eastAsiaTheme="minorEastAsia"/>
          <w:color w:val="000000"/>
          <w:szCs w:val="21"/>
        </w:rPr>
        <w:t>10</w:t>
      </w:r>
      <w:r>
        <w:rPr>
          <w:rFonts w:hint="eastAsia" w:cs="仿宋" w:asciiTheme="minorEastAsia" w:hAnsiTheme="minorEastAsia" w:eastAsiaTheme="minorEastAsia"/>
          <w:color w:val="000000"/>
          <w:spacing w:val="0"/>
          <w:w w:val="15"/>
          <w:kern w:val="0"/>
          <w:szCs w:val="21"/>
          <w:fitText w:val="42" w:id="543193809"/>
        </w:rPr>
        <w:t xml:space="preserve">　 </w:t>
      </w:r>
      <w:r>
        <w:rPr>
          <w:rFonts w:hint="eastAsia" w:cs="仿宋" w:asciiTheme="minorEastAsia" w:hAnsiTheme="minorEastAsia" w:eastAsiaTheme="minorEastAsia"/>
          <w:color w:val="000000"/>
          <w:spacing w:val="-17"/>
          <w:w w:val="15"/>
          <w:kern w:val="0"/>
          <w:szCs w:val="21"/>
          <w:fitText w:val="42" w:id="543193809"/>
        </w:rPr>
        <w:t>　</w:t>
      </w:r>
      <w:r>
        <w:rPr>
          <w:rFonts w:hint="eastAsia" w:asciiTheme="minorEastAsia" w:hAnsiTheme="minorEastAsia" w:eastAsiaTheme="minorEastAsia"/>
          <w:color w:val="000000"/>
          <w:szCs w:val="21"/>
        </w:rPr>
        <w:t>mm</w:t>
      </w:r>
      <w:r>
        <w:rPr>
          <w:rFonts w:cs="Calibri" w:asciiTheme="minorEastAsia" w:hAnsiTheme="minorEastAsia" w:eastAsiaTheme="minorEastAsia"/>
          <w:color w:val="000000"/>
          <w:szCs w:val="21"/>
        </w:rPr>
        <w:t>²</w:t>
      </w:r>
      <w:r>
        <w:rPr>
          <w:rFonts w:hint="eastAsia" w:cs="仿宋_GB2312" w:asciiTheme="minorEastAsia" w:hAnsiTheme="minorEastAsia" w:eastAsiaTheme="minorEastAsia"/>
          <w:szCs w:val="21"/>
        </w:rPr>
        <w:t>及以下的单股铜芯线和单股铝</w:t>
      </w:r>
      <w:r>
        <w:rPr>
          <w:rFonts w:hint="eastAsia" w:asciiTheme="minorEastAsia" w:hAnsiTheme="minorEastAsia" w:eastAsiaTheme="minorEastAsia"/>
          <w:szCs w:val="21"/>
        </w:rPr>
        <w:t>/铝合金芯线可直接与设备或器具的端子连接。</w:t>
      </w:r>
    </w:p>
    <w:p>
      <w:pPr>
        <w:pStyle w:val="41"/>
        <w:numPr>
          <w:ilvl w:val="1"/>
          <w:numId w:val="97"/>
        </w:num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rPr>
        <w:t>截面积在</w:t>
      </w:r>
      <w:r>
        <w:rPr>
          <w:rFonts w:hint="eastAsia" w:cs="仿宋" w:asciiTheme="minorEastAsia" w:hAnsiTheme="minorEastAsia" w:eastAsiaTheme="minorEastAsia"/>
          <w:color w:val="000000"/>
          <w:szCs w:val="21"/>
        </w:rPr>
        <w:t>2.5</w:t>
      </w:r>
      <w:r>
        <w:rPr>
          <w:rFonts w:hint="eastAsia" w:cs="仿宋" w:asciiTheme="minorEastAsia" w:hAnsiTheme="minorEastAsia" w:eastAsiaTheme="minorEastAsia"/>
          <w:color w:val="000000"/>
          <w:spacing w:val="0"/>
          <w:w w:val="15"/>
          <w:kern w:val="0"/>
          <w:szCs w:val="21"/>
          <w:fitText w:val="42" w:id="1734807226"/>
        </w:rPr>
        <w:t xml:space="preserve">　 </w:t>
      </w:r>
      <w:r>
        <w:rPr>
          <w:rFonts w:hint="eastAsia" w:cs="仿宋" w:asciiTheme="minorEastAsia" w:hAnsiTheme="minorEastAsia" w:eastAsiaTheme="minorEastAsia"/>
          <w:color w:val="000000"/>
          <w:spacing w:val="-17"/>
          <w:w w:val="15"/>
          <w:kern w:val="0"/>
          <w:szCs w:val="21"/>
          <w:fitText w:val="42" w:id="1734807226"/>
        </w:rPr>
        <w:t>　</w:t>
      </w:r>
      <w:r>
        <w:rPr>
          <w:rFonts w:hint="eastAsia" w:cs="仿宋" w:asciiTheme="minorEastAsia" w:hAnsiTheme="minorEastAsia" w:eastAsiaTheme="minorEastAsia"/>
          <w:color w:val="000000"/>
          <w:szCs w:val="21"/>
        </w:rPr>
        <w:t>mm²</w:t>
      </w:r>
      <w:r>
        <w:rPr>
          <w:rFonts w:hint="eastAsia" w:cs="仿宋" w:asciiTheme="minorEastAsia" w:hAnsiTheme="minorEastAsia" w:eastAsiaTheme="minorEastAsia"/>
          <w:szCs w:val="21"/>
        </w:rPr>
        <w:t>及以下的多芯铜芯线应接续端子或拧紧搪锡后</w:t>
      </w:r>
      <w:r>
        <w:rPr>
          <w:rFonts w:hint="eastAsia" w:cs="仿宋" w:asciiTheme="minorEastAsia" w:hAnsiTheme="minorEastAsia" w:eastAsiaTheme="minorEastAsia"/>
          <w:szCs w:val="21"/>
          <w:shd w:val="clear" w:color="auto" w:fill="FFFFFF"/>
        </w:rPr>
        <w:t>或采用压接帽连接，</w:t>
      </w:r>
      <w:r>
        <w:rPr>
          <w:rFonts w:hint="eastAsia" w:cs="仿宋" w:asciiTheme="minorEastAsia" w:hAnsiTheme="minorEastAsia" w:eastAsiaTheme="minorEastAsia"/>
          <w:szCs w:val="21"/>
        </w:rPr>
        <w:t>再与设备或器具的端子连接，</w:t>
      </w:r>
      <w:r>
        <w:rPr>
          <w:rFonts w:hint="eastAsia" w:cs="仿宋" w:asciiTheme="minorEastAsia" w:hAnsiTheme="minorEastAsia" w:eastAsiaTheme="minorEastAsia"/>
          <w:szCs w:val="21"/>
          <w:shd w:val="clear" w:color="auto" w:fill="FFFFFF"/>
        </w:rPr>
        <w:t>连接应牢固紧密、不松动</w:t>
      </w:r>
      <w:r>
        <w:rPr>
          <w:rFonts w:hint="eastAsia" w:cs="仿宋" w:asciiTheme="minorEastAsia" w:hAnsiTheme="minorEastAsia" w:eastAsiaTheme="minorEastAsia"/>
          <w:szCs w:val="21"/>
        </w:rPr>
        <w:t>。</w:t>
      </w:r>
    </w:p>
    <w:p>
      <w:pPr>
        <w:pStyle w:val="41"/>
        <w:numPr>
          <w:ilvl w:val="1"/>
          <w:numId w:val="97"/>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截面积大于</w:t>
      </w:r>
      <w:r>
        <w:rPr>
          <w:rFonts w:hint="eastAsia" w:asciiTheme="minorEastAsia" w:hAnsiTheme="minorEastAsia" w:eastAsiaTheme="minorEastAsia"/>
          <w:color w:val="000000"/>
          <w:szCs w:val="21"/>
        </w:rPr>
        <w:t>2.5</w:t>
      </w:r>
      <w:r>
        <w:rPr>
          <w:rFonts w:hint="eastAsia" w:cs="仿宋" w:asciiTheme="minorEastAsia" w:hAnsiTheme="minorEastAsia" w:eastAsiaTheme="minorEastAsia"/>
          <w:color w:val="000000"/>
          <w:spacing w:val="0"/>
          <w:w w:val="15"/>
          <w:kern w:val="0"/>
          <w:szCs w:val="21"/>
          <w:fitText w:val="42" w:id="1246908889"/>
        </w:rPr>
        <w:t xml:space="preserve">　 </w:t>
      </w:r>
      <w:r>
        <w:rPr>
          <w:rFonts w:hint="eastAsia" w:cs="仿宋" w:asciiTheme="minorEastAsia" w:hAnsiTheme="minorEastAsia" w:eastAsiaTheme="minorEastAsia"/>
          <w:color w:val="000000"/>
          <w:spacing w:val="-17"/>
          <w:w w:val="15"/>
          <w:kern w:val="0"/>
          <w:szCs w:val="21"/>
          <w:fitText w:val="42" w:id="1246908889"/>
        </w:rPr>
        <w:t>　</w:t>
      </w:r>
      <w:r>
        <w:rPr>
          <w:rFonts w:hint="eastAsia" w:asciiTheme="minorEastAsia" w:hAnsiTheme="minorEastAsia" w:eastAsiaTheme="minorEastAsia"/>
          <w:color w:val="000000"/>
          <w:szCs w:val="21"/>
        </w:rPr>
        <w:t>mm</w:t>
      </w:r>
      <w:r>
        <w:rPr>
          <w:rFonts w:cs="Calibri" w:asciiTheme="minorEastAsia" w:hAnsiTheme="minorEastAsia" w:eastAsiaTheme="minorEastAsia"/>
          <w:color w:val="000000"/>
          <w:szCs w:val="21"/>
        </w:rPr>
        <w:t>²</w:t>
      </w:r>
      <w:r>
        <w:rPr>
          <w:rFonts w:hint="eastAsia" w:cs="仿宋_GB2312" w:asciiTheme="minorEastAsia" w:hAnsiTheme="minorEastAsia" w:eastAsiaTheme="minorEastAsia"/>
          <w:szCs w:val="21"/>
        </w:rPr>
        <w:t>的多芯铜芯线，除设备自带插接式端子外，应接续端子后与设备或器具的端子连接；多芯铜芯线与插接式端子连接前，端部应拧紧搪锡。</w:t>
      </w:r>
    </w:p>
    <w:p>
      <w:pPr>
        <w:pStyle w:val="41"/>
        <w:numPr>
          <w:ilvl w:val="1"/>
          <w:numId w:val="97"/>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多芯铝芯线应接续端子后与设备、器具的端子连接，多芯铝芯线接续端子前应去除氧化层并涂抗氧化剂，连接完成后应清洁干净。</w:t>
      </w:r>
    </w:p>
    <w:p>
      <w:pPr>
        <w:pStyle w:val="41"/>
        <w:numPr>
          <w:ilvl w:val="1"/>
          <w:numId w:val="97"/>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每个设备或器具的端子接线不多于2根导线或2个导线端子。</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检查数量：按每检验批的配线回路数量抽查5%，且不得少于1条配线回路，并应覆盖不同型号和规格的导线。</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pPr>
        <w:pStyle w:val="41"/>
        <w:numPr>
          <w:ilvl w:val="0"/>
          <w:numId w:val="96"/>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截面积</w:t>
      </w:r>
      <w:r>
        <w:rPr>
          <w:rFonts w:hint="eastAsia" w:asciiTheme="minorEastAsia" w:hAnsiTheme="minorEastAsia" w:eastAsiaTheme="minorEastAsia"/>
          <w:color w:val="000000"/>
          <w:szCs w:val="21"/>
        </w:rPr>
        <w:t>6</w:t>
      </w:r>
      <w:r>
        <w:rPr>
          <w:rFonts w:hint="eastAsia" w:cs="仿宋" w:asciiTheme="minorEastAsia" w:hAnsiTheme="minorEastAsia" w:eastAsiaTheme="minorEastAsia"/>
          <w:color w:val="000000"/>
          <w:spacing w:val="0"/>
          <w:w w:val="15"/>
          <w:kern w:val="0"/>
          <w:szCs w:val="21"/>
          <w:fitText w:val="42" w:id="161104051"/>
        </w:rPr>
        <w:t xml:space="preserve">　 </w:t>
      </w:r>
      <w:r>
        <w:rPr>
          <w:rFonts w:hint="eastAsia" w:cs="仿宋" w:asciiTheme="minorEastAsia" w:hAnsiTheme="minorEastAsia" w:eastAsiaTheme="minorEastAsia"/>
          <w:color w:val="000000"/>
          <w:spacing w:val="-17"/>
          <w:w w:val="15"/>
          <w:kern w:val="0"/>
          <w:szCs w:val="21"/>
          <w:fitText w:val="42" w:id="161104051"/>
        </w:rPr>
        <w:t>　</w:t>
      </w:r>
      <w:r>
        <w:rPr>
          <w:rFonts w:hint="eastAsia" w:asciiTheme="minorEastAsia" w:hAnsiTheme="minorEastAsia" w:eastAsiaTheme="minorEastAsia"/>
          <w:color w:val="000000"/>
          <w:szCs w:val="21"/>
        </w:rPr>
        <w:t>mm</w:t>
      </w:r>
      <w:r>
        <w:rPr>
          <w:rFonts w:cs="Calibri" w:asciiTheme="minorEastAsia" w:hAnsiTheme="minorEastAsia" w:eastAsiaTheme="minorEastAsia"/>
          <w:color w:val="000000"/>
          <w:szCs w:val="21"/>
        </w:rPr>
        <w:t>²</w:t>
      </w:r>
      <w:r>
        <w:rPr>
          <w:rFonts w:hint="eastAsia" w:cs="仿宋_GB2312" w:asciiTheme="minorEastAsia" w:hAnsiTheme="minorEastAsia" w:eastAsiaTheme="minorEastAsia"/>
          <w:szCs w:val="21"/>
        </w:rPr>
        <w:t>及以下铜芯导线间的连接应采用导线连接器或缠绕搪锡连接，并应符合下列规定：</w:t>
      </w:r>
    </w:p>
    <w:p>
      <w:pPr>
        <w:pStyle w:val="41"/>
        <w:numPr>
          <w:ilvl w:val="1"/>
          <w:numId w:val="9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导线连接器应符合现行国家标准</w:t>
      </w:r>
      <w:r>
        <w:rPr>
          <w:rFonts w:hint="eastAsia" w:asciiTheme="minorEastAsia" w:hAnsiTheme="minorEastAsia" w:eastAsiaTheme="minorEastAsia"/>
          <w:bCs/>
          <w:szCs w:val="21"/>
        </w:rPr>
        <w:t>《家用和类似用途低压电路用的连接器件 第2部分：作为独立单元的带无螺纹型夹紧件的连接器件的特殊要求》GB/T 13140.3</w:t>
      </w:r>
      <w:r>
        <w:rPr>
          <w:rFonts w:hint="eastAsia" w:asciiTheme="minorEastAsia" w:hAnsiTheme="minorEastAsia" w:eastAsiaTheme="minorEastAsia"/>
          <w:bCs/>
          <w:color w:val="000000"/>
          <w:szCs w:val="21"/>
        </w:rPr>
        <w:t>/</w:t>
      </w:r>
      <w:r>
        <w:rPr>
          <w:rFonts w:hint="eastAsia" w:asciiTheme="minorEastAsia" w:hAnsiTheme="minorEastAsia" w:eastAsiaTheme="minorEastAsia"/>
          <w:bCs/>
          <w:szCs w:val="21"/>
        </w:rPr>
        <w:t>IEC 60998-2-2:2002</w:t>
      </w:r>
      <w:r>
        <w:rPr>
          <w:rFonts w:hint="eastAsia" w:asciiTheme="minorEastAsia" w:hAnsiTheme="minorEastAsia" w:eastAsiaTheme="minorEastAsia"/>
          <w:szCs w:val="21"/>
        </w:rPr>
        <w:t>的相关规定，并应符合下列规定：</w:t>
      </w:r>
    </w:p>
    <w:p>
      <w:pPr>
        <w:spacing w:line="360" w:lineRule="auto"/>
        <w:ind w:left="850" w:leftChars="405"/>
        <w:rPr>
          <w:rFonts w:asciiTheme="minorEastAsia" w:hAnsiTheme="minorEastAsia" w:eastAsiaTheme="minorEastAsia"/>
          <w:szCs w:val="21"/>
        </w:rPr>
      </w:pPr>
      <w:r>
        <w:rPr>
          <w:rFonts w:hint="eastAsia" w:asciiTheme="minorEastAsia" w:hAnsiTheme="minorEastAsia" w:eastAsiaTheme="minorEastAsia"/>
          <w:szCs w:val="21"/>
        </w:rPr>
        <w:t>1）导线连接器应与导线截面相匹配；</w:t>
      </w:r>
    </w:p>
    <w:p>
      <w:pPr>
        <w:spacing w:line="360" w:lineRule="auto"/>
        <w:ind w:left="850" w:leftChars="405"/>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）单芯导线与多芯软导线连接时，多芯软导线宜搪锡处理；</w:t>
      </w:r>
    </w:p>
    <w:p>
      <w:pPr>
        <w:spacing w:line="360" w:lineRule="auto"/>
        <w:ind w:left="850" w:leftChars="405"/>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）与导线连接后不应明露线芯；</w:t>
      </w:r>
    </w:p>
    <w:p>
      <w:pPr>
        <w:spacing w:line="360" w:lineRule="auto"/>
        <w:ind w:left="850" w:leftChars="405"/>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）采用机械压紧方式制作导线接头时，应使用确保压接力的专用工具；</w:t>
      </w:r>
    </w:p>
    <w:p>
      <w:pPr>
        <w:spacing w:line="360" w:lineRule="auto"/>
        <w:ind w:left="850" w:leftChars="405"/>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）多尘场所的导线连接应选用IP5 X及以上的防护等级连接器；潮湿场所的导线连接应选用IPX5及以上的防护等级连接器。</w:t>
      </w:r>
    </w:p>
    <w:p>
      <w:pPr>
        <w:pStyle w:val="41"/>
        <w:numPr>
          <w:ilvl w:val="1"/>
          <w:numId w:val="9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导线采用缠绕搪锡连接时，缠绕宜5</w:t>
      </w:r>
      <w:r>
        <w:rPr>
          <w:rFonts w:asciiTheme="minorEastAsia" w:hAnsiTheme="minorEastAsia" w:eastAsiaTheme="minorEastAsia"/>
          <w:szCs w:val="21"/>
        </w:rPr>
        <w:t>-8</w:t>
      </w:r>
      <w:r>
        <w:rPr>
          <w:rFonts w:hint="eastAsia" w:asciiTheme="minorEastAsia" w:hAnsiTheme="minorEastAsia" w:eastAsiaTheme="minorEastAsia"/>
          <w:szCs w:val="21"/>
        </w:rPr>
        <w:t>圈，连接头缠绕搪锡后应采取可靠绝缘措施。</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检查数量：按每检验批的线间连接总数抽查5%，且各不得少于1个型号及规格的导线，并应覆盖其连接方式。</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pPr>
        <w:pStyle w:val="41"/>
        <w:numPr>
          <w:ilvl w:val="0"/>
          <w:numId w:val="96"/>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铝/铝合金电缆头及端子压接应符合下列规定：</w:t>
      </w:r>
    </w:p>
    <w:p>
      <w:pPr>
        <w:pStyle w:val="41"/>
        <w:numPr>
          <w:ilvl w:val="1"/>
          <w:numId w:val="9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铝/铝合金电缆的联锁铠装不应作为保护接地导体（PE）使用，联锁铠装应与保护接地导体（PE）连接；</w:t>
      </w:r>
    </w:p>
    <w:p>
      <w:pPr>
        <w:pStyle w:val="41"/>
        <w:numPr>
          <w:ilvl w:val="1"/>
          <w:numId w:val="9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线芯压接面应去除氧化层并涂抗氧化剂，压接完成后应清洁表面；</w:t>
      </w:r>
    </w:p>
    <w:p>
      <w:pPr>
        <w:pStyle w:val="41"/>
        <w:numPr>
          <w:ilvl w:val="1"/>
          <w:numId w:val="9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线芯压接工具及模具应与附件相匹配。</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检查数量：按每个检验批电缆头数量抽查20%，且不得少于1个。</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pPr>
        <w:pStyle w:val="41"/>
        <w:numPr>
          <w:ilvl w:val="0"/>
          <w:numId w:val="96"/>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当采用螺纹型接线端子与导线连接时，其拧紧力矩值应符合产品技术文件的要求，当无要求时，应符合本规范附录F的规定。</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检查数量：按每检验批的螺纹</w:t>
      </w:r>
      <w:r>
        <w:rPr>
          <w:rFonts w:hint="eastAsia" w:asciiTheme="minorEastAsia" w:hAnsiTheme="minorEastAsia" w:eastAsiaTheme="minorEastAsia"/>
          <w:color w:val="000000"/>
          <w:szCs w:val="21"/>
        </w:rPr>
        <w:t>型</w:t>
      </w:r>
      <w:r>
        <w:rPr>
          <w:rFonts w:hint="eastAsia" w:asciiTheme="minorEastAsia" w:hAnsiTheme="minorEastAsia" w:eastAsiaTheme="minorEastAsia"/>
          <w:szCs w:val="21"/>
        </w:rPr>
        <w:t>接线端子的数量抽查10%，且不得少于1个端子，并应覆盖不同的导线。</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检查方法：核对产品技术文件，观察检查并用力矩测试仪测试紧固度。</w:t>
      </w:r>
    </w:p>
    <w:p>
      <w:pPr>
        <w:pStyle w:val="41"/>
        <w:numPr>
          <w:ilvl w:val="0"/>
          <w:numId w:val="96"/>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绝缘导线、电缆的线芯连接金具（连接管和端子），其规格应与线芯的规格适配，且不得采用开口端子，其性能应符合国家现行有关产品标准的规定。</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检查数量：按每检验批的线芯连接数量抽查10%，且不得少于2个连接点。</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检查方法：观察检查，并查验材料合格证明文件和材料进场验收记录。</w:t>
      </w:r>
    </w:p>
    <w:p>
      <w:pPr>
        <w:pStyle w:val="41"/>
        <w:numPr>
          <w:ilvl w:val="0"/>
          <w:numId w:val="96"/>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当接线端子规格与电气器具规格不配套时，不应采取降容的转接措施。</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检查数量：按每个检验批的不同接线端子规格的总数量抽查20%，且各不得少于1个。</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pPr>
        <w:widowControl/>
        <w:jc w:val="left"/>
        <w:rPr>
          <w:rFonts w:asciiTheme="minorEastAsia" w:hAnsiTheme="minorEastAsia" w:eastAsiaTheme="minorEastAsia"/>
          <w:b/>
          <w:bCs/>
          <w:kern w:val="44"/>
          <w:sz w:val="28"/>
          <w:szCs w:val="28"/>
        </w:rPr>
      </w:pPr>
      <w:bookmarkStart w:id="134" w:name="_Toc136868049"/>
      <w:bookmarkStart w:id="135" w:name="_Toc136869084"/>
      <w:bookmarkStart w:id="136" w:name="_Toc128744647"/>
      <w:bookmarkStart w:id="137" w:name="_Toc124168169"/>
      <w:r>
        <w:rPr>
          <w:rFonts w:asciiTheme="minorEastAsia" w:hAnsiTheme="minorEastAsia" w:eastAsiaTheme="minorEastAsia"/>
          <w:sz w:val="28"/>
          <w:szCs w:val="28"/>
        </w:rPr>
        <w:br w:type="page"/>
      </w:r>
    </w:p>
    <w:p>
      <w:pPr>
        <w:pStyle w:val="2"/>
        <w:numPr>
          <w:ilvl w:val="0"/>
          <w:numId w:val="4"/>
        </w:numPr>
        <w:spacing w:before="120" w:beforeLines="50" w:after="120" w:afterLines="50" w:line="360" w:lineRule="auto"/>
        <w:jc w:val="center"/>
        <w:rPr>
          <w:rFonts w:asciiTheme="minorEastAsia" w:hAnsiTheme="minorEastAsia" w:eastAsiaTheme="minorEastAsia"/>
          <w:sz w:val="28"/>
          <w:szCs w:val="28"/>
        </w:rPr>
      </w:pPr>
      <w:bookmarkStart w:id="138" w:name="_Toc137216243"/>
      <w:r>
        <w:rPr>
          <w:rFonts w:hint="eastAsia" w:asciiTheme="minorEastAsia" w:hAnsiTheme="minorEastAsia" w:eastAsiaTheme="minorEastAsia"/>
          <w:sz w:val="28"/>
          <w:szCs w:val="28"/>
        </w:rPr>
        <w:t>动力设备</w:t>
      </w:r>
      <w:bookmarkEnd w:id="134"/>
      <w:bookmarkEnd w:id="135"/>
      <w:bookmarkEnd w:id="136"/>
      <w:bookmarkEnd w:id="138"/>
    </w:p>
    <w:p>
      <w:pPr>
        <w:pStyle w:val="3"/>
        <w:numPr>
          <w:ilvl w:val="0"/>
          <w:numId w:val="0"/>
        </w:numPr>
        <w:spacing w:before="120" w:beforeLines="50" w:after="120" w:afterLines="50" w:line="360" w:lineRule="auto"/>
        <w:jc w:val="center"/>
        <w:rPr>
          <w:sz w:val="24"/>
          <w:szCs w:val="24"/>
        </w:rPr>
      </w:pPr>
      <w:bookmarkStart w:id="139" w:name="_Toc136869085"/>
      <w:bookmarkStart w:id="140" w:name="_Toc137216244"/>
      <w:bookmarkStart w:id="141" w:name="_Toc128744648"/>
      <w:bookmarkStart w:id="142" w:name="_Toc136868050"/>
      <w:r>
        <w:rPr>
          <w:rFonts w:hint="eastAsia"/>
          <w:sz w:val="24"/>
          <w:szCs w:val="24"/>
        </w:rPr>
        <w:t>6</w:t>
      </w:r>
      <w:r>
        <w:rPr>
          <w:sz w:val="24"/>
          <w:szCs w:val="24"/>
        </w:rPr>
        <w:t xml:space="preserve">.1 </w:t>
      </w:r>
      <w:r>
        <w:rPr>
          <w:rFonts w:hint="eastAsia"/>
          <w:sz w:val="24"/>
          <w:szCs w:val="24"/>
        </w:rPr>
        <w:t>电动机、电加热器及电动执行机构检查接线</w:t>
      </w:r>
      <w:bookmarkEnd w:id="139"/>
      <w:bookmarkEnd w:id="140"/>
      <w:bookmarkEnd w:id="141"/>
      <w:bookmarkEnd w:id="142"/>
    </w:p>
    <w:p>
      <w:pPr>
        <w:pStyle w:val="4"/>
        <w:spacing w:before="120" w:beforeLines="50" w:after="120" w:afterLines="50"/>
        <w:rPr>
          <w:rFonts w:asciiTheme="minorEastAsia" w:hAnsiTheme="minorEastAsia" w:eastAsiaTheme="minorEastAsia"/>
          <w:sz w:val="21"/>
          <w:szCs w:val="21"/>
        </w:rPr>
      </w:pPr>
      <w:bookmarkStart w:id="143" w:name="_Toc128744649"/>
      <w:r>
        <w:t>I</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主控项目</w:t>
      </w:r>
      <w:bookmarkEnd w:id="143"/>
    </w:p>
    <w:p>
      <w:pPr>
        <w:pStyle w:val="41"/>
        <w:numPr>
          <w:ilvl w:val="0"/>
          <w:numId w:val="100"/>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电动机、电加热器及电动执行机构的外露可导电部分必须与保护导体可靠连接。</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检查数量：电动机、电加热器全数检查，电动执行机构按总数抽查10</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，且不得少于1台。</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检查方法：观察检查并用工具拧紧检查。</w:t>
      </w:r>
    </w:p>
    <w:p>
      <w:pPr>
        <w:pStyle w:val="41"/>
        <w:numPr>
          <w:ilvl w:val="0"/>
          <w:numId w:val="100"/>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低压电动机、电加热器及电动执行机构的绝缘电阻值不应小于</w:t>
      </w:r>
      <w:r>
        <w:rPr>
          <w:rFonts w:hint="eastAsia" w:asciiTheme="minorEastAsia" w:hAnsiTheme="minorEastAsia" w:eastAsiaTheme="minorEastAsia"/>
          <w:color w:val="000000"/>
          <w:szCs w:val="21"/>
        </w:rPr>
        <w:t>0.5</w:t>
      </w:r>
      <w:r>
        <w:rPr>
          <w:rFonts w:hint="eastAsia" w:cs="仿宋" w:asciiTheme="minorEastAsia" w:hAnsiTheme="minorEastAsia" w:eastAsiaTheme="minorEastAsia"/>
          <w:color w:val="000000"/>
          <w:spacing w:val="0"/>
          <w:w w:val="15"/>
          <w:kern w:val="0"/>
          <w:szCs w:val="21"/>
          <w:fitText w:val="42" w:id="450700925"/>
        </w:rPr>
        <w:t xml:space="preserve">　 </w:t>
      </w:r>
      <w:r>
        <w:rPr>
          <w:rFonts w:hint="eastAsia" w:cs="仿宋" w:asciiTheme="minorEastAsia" w:hAnsiTheme="minorEastAsia" w:eastAsiaTheme="minorEastAsia"/>
          <w:color w:val="000000"/>
          <w:spacing w:val="-17"/>
          <w:w w:val="15"/>
          <w:kern w:val="0"/>
          <w:szCs w:val="21"/>
          <w:fitText w:val="42" w:id="450700925"/>
        </w:rPr>
        <w:t>　</w:t>
      </w:r>
      <w:r>
        <w:rPr>
          <w:rFonts w:hint="eastAsia" w:asciiTheme="minorEastAsia" w:hAnsiTheme="minorEastAsia" w:eastAsiaTheme="minorEastAsia"/>
          <w:color w:val="000000"/>
          <w:szCs w:val="21"/>
        </w:rPr>
        <w:t>MΩ</w:t>
      </w:r>
      <w:r>
        <w:rPr>
          <w:rFonts w:hint="eastAsia" w:asciiTheme="minorEastAsia" w:hAnsiTheme="minorEastAsia" w:eastAsiaTheme="minorEastAsia"/>
          <w:szCs w:val="21"/>
        </w:rPr>
        <w:t>。</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检查数量：按设备各抽查50</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，且各不得少于1台。</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检查方法：用绝缘电阻测试仪测试并查阅绝缘电阻测试记录。</w:t>
      </w:r>
    </w:p>
    <w:p>
      <w:pPr>
        <w:pStyle w:val="41"/>
        <w:numPr>
          <w:ilvl w:val="0"/>
          <w:numId w:val="100"/>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高压及</w:t>
      </w:r>
      <w:r>
        <w:rPr>
          <w:rFonts w:hint="eastAsia" w:asciiTheme="minorEastAsia" w:hAnsiTheme="minorEastAsia" w:eastAsiaTheme="minorEastAsia"/>
          <w:color w:val="000000"/>
          <w:szCs w:val="21"/>
        </w:rPr>
        <w:t>100</w:t>
      </w:r>
      <w:r>
        <w:rPr>
          <w:rFonts w:hint="eastAsia" w:cs="仿宋" w:asciiTheme="minorEastAsia" w:hAnsiTheme="minorEastAsia" w:eastAsiaTheme="minorEastAsia"/>
          <w:color w:val="000000"/>
          <w:spacing w:val="0"/>
          <w:w w:val="15"/>
          <w:kern w:val="0"/>
          <w:szCs w:val="21"/>
          <w:fitText w:val="42" w:id="212290152"/>
        </w:rPr>
        <w:t xml:space="preserve">　 </w:t>
      </w:r>
      <w:r>
        <w:rPr>
          <w:rFonts w:hint="eastAsia" w:cs="仿宋" w:asciiTheme="minorEastAsia" w:hAnsiTheme="minorEastAsia" w:eastAsiaTheme="minorEastAsia"/>
          <w:color w:val="000000"/>
          <w:spacing w:val="-17"/>
          <w:w w:val="15"/>
          <w:kern w:val="0"/>
          <w:szCs w:val="21"/>
          <w:fitText w:val="42" w:id="212290152"/>
        </w:rPr>
        <w:t>　</w:t>
      </w:r>
      <w:r>
        <w:rPr>
          <w:rFonts w:hint="eastAsia" w:asciiTheme="minorEastAsia" w:hAnsiTheme="minorEastAsia" w:eastAsiaTheme="minorEastAsia"/>
          <w:color w:val="000000"/>
          <w:szCs w:val="21"/>
        </w:rPr>
        <w:t>kW</w:t>
      </w:r>
      <w:r>
        <w:rPr>
          <w:rFonts w:hint="eastAsia" w:asciiTheme="minorEastAsia" w:hAnsiTheme="minorEastAsia" w:eastAsiaTheme="minorEastAsia"/>
          <w:szCs w:val="21"/>
        </w:rPr>
        <w:t>以上电动机的交接试验应符合现行国家标准</w:t>
      </w:r>
      <w:r>
        <w:rPr>
          <w:rFonts w:hint="eastAsia" w:asciiTheme="minorEastAsia" w:hAnsiTheme="minorEastAsia" w:eastAsiaTheme="minorEastAsia"/>
          <w:color w:val="000000"/>
          <w:szCs w:val="21"/>
        </w:rPr>
        <w:t>《电气装置安装工程电气设备交接试验标准》GB</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50150-2016</w:t>
      </w:r>
      <w:r>
        <w:rPr>
          <w:rFonts w:hint="eastAsia" w:asciiTheme="minorEastAsia" w:hAnsiTheme="minorEastAsia" w:eastAsiaTheme="minorEastAsia"/>
          <w:szCs w:val="21"/>
        </w:rPr>
        <w:t>的规定。</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检查方法：用仪表测量并查阅相关试验或测量记录。</w:t>
      </w:r>
    </w:p>
    <w:p>
      <w:pPr>
        <w:pStyle w:val="41"/>
        <w:numPr>
          <w:ilvl w:val="0"/>
          <w:numId w:val="100"/>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防爆电动机、电加热器及电动执行机构接线盒的进线口，引入电缆后的密封应符合下列规定：</w:t>
      </w:r>
    </w:p>
    <w:p>
      <w:pPr>
        <w:pStyle w:val="41"/>
        <w:numPr>
          <w:ilvl w:val="1"/>
          <w:numId w:val="10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当电缆外护套穿过弹性密封圈或密封填料时，应被弹性密封圈挤紧或被密封填料封固。</w:t>
      </w:r>
    </w:p>
    <w:p>
      <w:pPr>
        <w:pStyle w:val="41"/>
        <w:numPr>
          <w:ilvl w:val="1"/>
          <w:numId w:val="10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外径大于或等于</w:t>
      </w:r>
      <w:r>
        <w:rPr>
          <w:rFonts w:hint="eastAsia" w:asciiTheme="minorEastAsia" w:hAnsiTheme="minorEastAsia" w:eastAsiaTheme="minorEastAsia"/>
          <w:color w:val="000000"/>
          <w:szCs w:val="21"/>
        </w:rPr>
        <w:t>20 mm</w:t>
      </w:r>
      <w:r>
        <w:rPr>
          <w:rFonts w:hint="eastAsia" w:asciiTheme="minorEastAsia" w:hAnsiTheme="minorEastAsia" w:eastAsiaTheme="minorEastAsia"/>
          <w:szCs w:val="21"/>
        </w:rPr>
        <w:t>的电缆，在隔离密封处组装防止电缆拔脱的组件时，应在电缆被拧紧或封固后，再拧紧固定电缆的螺栓。</w:t>
      </w:r>
    </w:p>
    <w:p>
      <w:pPr>
        <w:pStyle w:val="41"/>
        <w:numPr>
          <w:ilvl w:val="1"/>
          <w:numId w:val="10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电缆引入装置或设备进线口弹性密封圈的一个孔，应密封一根断面近似为圆形的电缆。弹性密封圈及金属垫应与电缆的外径匹配，其密封圈内径与电缆外径允许差值不大于</w:t>
      </w:r>
      <w:r>
        <w:rPr>
          <w:rFonts w:hint="eastAsia" w:asciiTheme="minorEastAsia" w:hAnsiTheme="minorEastAsia" w:eastAsiaTheme="minorEastAsia"/>
          <w:color w:val="000000"/>
          <w:szCs w:val="21"/>
        </w:rPr>
        <w:t>1 mm</w:t>
      </w:r>
      <w:r>
        <w:rPr>
          <w:rFonts w:hint="eastAsia" w:asciiTheme="minorEastAsia" w:hAnsiTheme="minorEastAsia" w:eastAsiaTheme="minorEastAsia"/>
          <w:szCs w:val="21"/>
        </w:rPr>
        <w:t>。弹性密封圈压紧后，应将电缆沿圆周均匀挤紧。</w:t>
      </w:r>
    </w:p>
    <w:p>
      <w:pPr>
        <w:pStyle w:val="41"/>
        <w:numPr>
          <w:ilvl w:val="1"/>
          <w:numId w:val="10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有电缆头腔或密封盒的电气设备进线口，电缆引入后应浇灌可固化的密封填料，填塞深度不应小于引入口径的1</w:t>
      </w:r>
      <w:r>
        <w:rPr>
          <w:rFonts w:asciiTheme="minorEastAsia" w:hAnsiTheme="minorEastAsia" w:eastAsiaTheme="minorEastAsia"/>
          <w:szCs w:val="21"/>
        </w:rPr>
        <w:t>.5</w:t>
      </w:r>
      <w:r>
        <w:rPr>
          <w:rFonts w:hint="eastAsia" w:asciiTheme="minorEastAsia" w:hAnsiTheme="minorEastAsia" w:eastAsiaTheme="minorEastAsia"/>
          <w:szCs w:val="21"/>
        </w:rPr>
        <w:t>倍，且不得小于</w:t>
      </w:r>
      <w:r>
        <w:rPr>
          <w:rFonts w:hint="eastAsia" w:asciiTheme="minorEastAsia" w:hAnsiTheme="minorEastAsia" w:eastAsiaTheme="minorEastAsia"/>
          <w:color w:val="000000"/>
          <w:szCs w:val="21"/>
        </w:rPr>
        <w:t>40 mm</w:t>
      </w:r>
      <w:r>
        <w:rPr>
          <w:rFonts w:hint="eastAsia" w:asciiTheme="minorEastAsia" w:hAnsiTheme="minorEastAsia" w:eastAsiaTheme="minorEastAsia"/>
          <w:szCs w:val="21"/>
        </w:rPr>
        <w:t>。</w:t>
      </w:r>
    </w:p>
    <w:p>
      <w:pPr>
        <w:pStyle w:val="41"/>
        <w:numPr>
          <w:ilvl w:val="1"/>
          <w:numId w:val="10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电缆与电气设备连接时，应选用与电缆外径相适应的引入装置，当选用的电气设备的引入装置与电缆的外径不匹配时，应采用过渡接线方式，电缆与过渡线应在相应的防爆接线盒内连接。</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检查方法：观察检查、尺量检查及工具拧紧检查。</w:t>
      </w:r>
    </w:p>
    <w:p>
      <w:pPr>
        <w:pStyle w:val="41"/>
        <w:numPr>
          <w:ilvl w:val="0"/>
          <w:numId w:val="100"/>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电气设备、设备接线盒和端子箱上的多余的孔，应采取措施封堵严密、牢固。当孔内垫有弹性密封圈时，弹性密封圈的外侧应设钢质封堵件，钢制封堵件应经压盘或螺母压紧。</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检查方法：观察检查并用工具拧紧检查。</w:t>
      </w:r>
    </w:p>
    <w:p>
      <w:pPr>
        <w:pStyle w:val="41"/>
        <w:numPr>
          <w:ilvl w:val="0"/>
          <w:numId w:val="100"/>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爆炸和火灾危险环境内使用挠性连接管应符合下列规定：</w:t>
      </w:r>
    </w:p>
    <w:p>
      <w:pPr>
        <w:pStyle w:val="41"/>
        <w:numPr>
          <w:ilvl w:val="1"/>
          <w:numId w:val="10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电缆配线引入防爆电动机需挠性连接时，可采用挠性连接管，其与防爆电动机接线盒之间，应按照设计防爆要求加以配合，不同使用环境条件应按照设计要求采用不同材质的挠性连接管。</w:t>
      </w:r>
    </w:p>
    <w:p>
      <w:pPr>
        <w:pStyle w:val="41"/>
        <w:numPr>
          <w:ilvl w:val="1"/>
          <w:numId w:val="10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钢管配线应在电机的进线口、钢管与电气设备直接连接有困难处装设防爆挠性连接管，在不同的使用环境下，应按照设计要求采用相应材质的挠性连接管，防爆挠性连接管弯曲半径不应小于管外径的5倍。</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r>
        <w:rPr>
          <w:rFonts w:hint="eastAsia" w:asciiTheme="minorEastAsia" w:hAnsiTheme="minorEastAsia" w:eastAsiaTheme="minorEastAsia"/>
          <w:color w:val="000000"/>
          <w:szCs w:val="21"/>
        </w:rPr>
        <w:t>尺量</w:t>
      </w:r>
      <w:r>
        <w:rPr>
          <w:rFonts w:hint="eastAsia" w:asciiTheme="minorEastAsia" w:hAnsiTheme="minorEastAsia" w:eastAsiaTheme="minorEastAsia"/>
          <w:szCs w:val="21"/>
        </w:rPr>
        <w:t>检查并核对产品技术文件。</w:t>
      </w:r>
    </w:p>
    <w:p>
      <w:pPr>
        <w:pStyle w:val="4"/>
        <w:spacing w:before="120" w:beforeLines="50" w:after="120" w:afterLines="50"/>
        <w:rPr>
          <w:rFonts w:asciiTheme="minorEastAsia" w:hAnsiTheme="minorEastAsia" w:eastAsiaTheme="minorEastAsia"/>
          <w:sz w:val="21"/>
          <w:szCs w:val="21"/>
        </w:rPr>
      </w:pPr>
      <w:bookmarkStart w:id="144" w:name="_Toc128744650"/>
      <w:r>
        <w:t>Ⅱ</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一般项目</w:t>
      </w:r>
      <w:bookmarkEnd w:id="144"/>
    </w:p>
    <w:p>
      <w:pPr>
        <w:pStyle w:val="41"/>
        <w:numPr>
          <w:ilvl w:val="0"/>
          <w:numId w:val="100"/>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电气设备安装应牢固，螺栓及防松零件齐全，不松动。防水防潮电气设备的接线入口及接线盒盖等应做密封处理。</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检查数量：按设备总数抽查10</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，且不得少于1台。</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检查方法：观察检查并用工具拧紧检查。</w:t>
      </w:r>
    </w:p>
    <w:p>
      <w:pPr>
        <w:pStyle w:val="41"/>
        <w:numPr>
          <w:ilvl w:val="0"/>
          <w:numId w:val="100"/>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除电动机随机技术文件不允许在施工现场抽芯检查外，有下列情况之一的电动机应抽芯检查：</w:t>
      </w:r>
    </w:p>
    <w:p>
      <w:pPr>
        <w:pStyle w:val="41"/>
        <w:numPr>
          <w:ilvl w:val="1"/>
          <w:numId w:val="10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出厂时间已超过制造厂保证期限；</w:t>
      </w:r>
    </w:p>
    <w:p>
      <w:pPr>
        <w:pStyle w:val="41"/>
        <w:numPr>
          <w:ilvl w:val="1"/>
          <w:numId w:val="10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外观检查、电气试验、手动盘转以及试运转有异常情况。</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检查数量：按设备总数抽查20</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，且不得少于1台。</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检查方法：观察检查并查阅设备进场验收记录。</w:t>
      </w:r>
    </w:p>
    <w:p>
      <w:pPr>
        <w:pStyle w:val="41"/>
        <w:numPr>
          <w:ilvl w:val="0"/>
          <w:numId w:val="100"/>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电动机抽芯检查应符合下列规定：</w:t>
      </w:r>
    </w:p>
    <w:p>
      <w:pPr>
        <w:pStyle w:val="41"/>
        <w:numPr>
          <w:ilvl w:val="1"/>
          <w:numId w:val="104"/>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电动机内部应清洁、无杂物；</w:t>
      </w:r>
    </w:p>
    <w:p>
      <w:pPr>
        <w:pStyle w:val="41"/>
        <w:numPr>
          <w:ilvl w:val="1"/>
          <w:numId w:val="104"/>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线圈绝缘层应完好、无伤痕，端部绑线不应松动，槽楔应固定、无断裂、无凸出和松动，引线应焊接饱满，内部应清洁、通风孔道无堵塞；</w:t>
      </w:r>
    </w:p>
    <w:p>
      <w:pPr>
        <w:pStyle w:val="41"/>
        <w:numPr>
          <w:ilvl w:val="1"/>
          <w:numId w:val="104"/>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轴承应无锈斑，注油</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脂</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的型号、规格应符合相关产品技术文件规定，转子平衡块应紧固、平衡螺丝锁紧，风扇叶片应无裂纹；</w:t>
      </w:r>
      <w:r>
        <w:rPr>
          <w:rFonts w:asciiTheme="minorEastAsia" w:hAnsiTheme="minorEastAsia" w:eastAsiaTheme="minorEastAsia"/>
          <w:szCs w:val="21"/>
        </w:rPr>
        <w:t xml:space="preserve"> </w:t>
      </w:r>
    </w:p>
    <w:p>
      <w:pPr>
        <w:pStyle w:val="41"/>
        <w:numPr>
          <w:ilvl w:val="1"/>
          <w:numId w:val="104"/>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电动机的机座和端盖的轴承承口部位应无</w:t>
      </w:r>
      <w:r>
        <w:rPr>
          <w:rFonts w:hint="eastAsia" w:asciiTheme="minorEastAsia" w:hAnsiTheme="minorEastAsia" w:eastAsiaTheme="minorEastAsia"/>
          <w:color w:val="000000"/>
          <w:szCs w:val="21"/>
        </w:rPr>
        <w:t>砂眼</w:t>
      </w:r>
      <w:r>
        <w:rPr>
          <w:rFonts w:hint="eastAsia" w:asciiTheme="minorEastAsia" w:hAnsiTheme="minorEastAsia" w:eastAsiaTheme="minorEastAsia"/>
          <w:szCs w:val="21"/>
        </w:rPr>
        <w:t>和裂纹；</w:t>
      </w:r>
    </w:p>
    <w:p>
      <w:pPr>
        <w:pStyle w:val="41"/>
        <w:numPr>
          <w:ilvl w:val="1"/>
          <w:numId w:val="104"/>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连接用紧固件的防松零件应齐全完整；</w:t>
      </w:r>
    </w:p>
    <w:p>
      <w:pPr>
        <w:pStyle w:val="41"/>
        <w:numPr>
          <w:ilvl w:val="1"/>
          <w:numId w:val="104"/>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其他指标应符合产品技术文件的要求。</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检查方法：查阅抽芯检查记录并核对产品技术文件要求。</w:t>
      </w:r>
    </w:p>
    <w:p>
      <w:pPr>
        <w:pStyle w:val="41"/>
        <w:numPr>
          <w:ilvl w:val="0"/>
          <w:numId w:val="100"/>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电动机电源线与出线端子接触应良好、清洁，高压电动机电源线紧固时不应损伤电动机引出线套管。</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pPr>
        <w:pStyle w:val="41"/>
        <w:numPr>
          <w:ilvl w:val="0"/>
          <w:numId w:val="100"/>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在设备接线盒内裸露的不同相间和相对地间电气间隙应符合产品技术文件要求，或采取绝缘防护措施。</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检查数量：按设备总数抽查20</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w:t>
      </w:r>
      <w:r>
        <w:rPr>
          <w:rFonts w:hint="eastAsia"/>
        </w:rPr>
        <w:t>且</w:t>
      </w:r>
      <w:r>
        <w:rPr>
          <w:rFonts w:hint="eastAsia" w:asciiTheme="minorEastAsia" w:hAnsiTheme="minorEastAsia" w:eastAsiaTheme="minorEastAsia"/>
          <w:szCs w:val="21"/>
        </w:rPr>
        <w:t>不得少于1台，且应覆盖不同的电压等级。</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r>
        <w:rPr>
          <w:rFonts w:hint="eastAsia" w:asciiTheme="minorEastAsia" w:hAnsiTheme="minorEastAsia" w:eastAsiaTheme="minorEastAsia"/>
          <w:color w:val="000000"/>
          <w:szCs w:val="21"/>
        </w:rPr>
        <w:t>尺量</w:t>
      </w:r>
      <w:r>
        <w:rPr>
          <w:rFonts w:hint="eastAsia" w:asciiTheme="minorEastAsia" w:hAnsiTheme="minorEastAsia" w:eastAsiaTheme="minorEastAsia"/>
          <w:szCs w:val="21"/>
        </w:rPr>
        <w:t>检查并查阅电动机产品技术文件。</w:t>
      </w:r>
    </w:p>
    <w:p>
      <w:pPr>
        <w:pStyle w:val="41"/>
        <w:numPr>
          <w:ilvl w:val="0"/>
          <w:numId w:val="100"/>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电动执行机构的电气接线应符合接线图的要求，布线光滑平整，固定牢固，导线不得开裂，绝缘层不得损伤。电动执行机构动力电源和控制信号的进线应分开。</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pPr>
        <w:pStyle w:val="41"/>
        <w:numPr>
          <w:ilvl w:val="0"/>
          <w:numId w:val="100"/>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隔爆型电动执行机构的电气连接件和接线应符合：</w:t>
      </w:r>
    </w:p>
    <w:p>
      <w:pPr>
        <w:pStyle w:val="41"/>
        <w:numPr>
          <w:ilvl w:val="1"/>
          <w:numId w:val="105"/>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预期与外部电路连接的电气设备应有连接件，电气设备在制造中有永久引入电缆时除外。</w:t>
      </w:r>
    </w:p>
    <w:p>
      <w:pPr>
        <w:pStyle w:val="41"/>
        <w:numPr>
          <w:ilvl w:val="1"/>
          <w:numId w:val="105"/>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连接件的设计应使导线在按规定连接后，爬电距离和电气间隙符合相应防爆型式标准的规定。</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145" w:name="_Toc136868051"/>
      <w:bookmarkStart w:id="146" w:name="_Toc136869086"/>
      <w:bookmarkStart w:id="147" w:name="_Toc137216245"/>
      <w:r>
        <w:rPr>
          <w:rFonts w:hint="eastAsia" w:asciiTheme="minorEastAsia" w:hAnsiTheme="minorEastAsia" w:eastAsiaTheme="minorEastAsia"/>
          <w:sz w:val="24"/>
          <w:szCs w:val="24"/>
        </w:rPr>
        <w:t>6</w:t>
      </w:r>
      <w:r>
        <w:rPr>
          <w:rFonts w:asciiTheme="minorEastAsia" w:hAnsiTheme="minorEastAsia" w:eastAsiaTheme="minorEastAsia"/>
          <w:sz w:val="24"/>
          <w:szCs w:val="24"/>
        </w:rPr>
        <w:t xml:space="preserve">.2 </w:t>
      </w:r>
      <w:r>
        <w:rPr>
          <w:rFonts w:hint="eastAsia" w:asciiTheme="minorEastAsia" w:hAnsiTheme="minorEastAsia" w:eastAsiaTheme="minorEastAsia"/>
          <w:sz w:val="24"/>
          <w:szCs w:val="24"/>
        </w:rPr>
        <w:t>市政、轨道交通工程特殊动力设备</w:t>
      </w:r>
      <w:bookmarkEnd w:id="137"/>
      <w:bookmarkEnd w:id="145"/>
      <w:bookmarkEnd w:id="146"/>
      <w:bookmarkEnd w:id="147"/>
    </w:p>
    <w:p>
      <w:pPr>
        <w:pStyle w:val="4"/>
        <w:spacing w:before="120" w:beforeLines="50" w:after="120" w:afterLines="50"/>
        <w:rPr>
          <w:rFonts w:asciiTheme="minorEastAsia" w:hAnsiTheme="minorEastAsia" w:eastAsiaTheme="minorEastAsia"/>
          <w:sz w:val="21"/>
          <w:szCs w:val="21"/>
        </w:rPr>
      </w:pPr>
      <w:bookmarkStart w:id="148" w:name="_Toc124168170"/>
      <w:r>
        <w:t>I</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主控项目</w:t>
      </w:r>
      <w:bookmarkEnd w:id="148"/>
    </w:p>
    <w:p>
      <w:pPr>
        <w:pStyle w:val="41"/>
        <w:numPr>
          <w:ilvl w:val="0"/>
          <w:numId w:val="106"/>
        </w:numPr>
        <w:spacing w:line="360" w:lineRule="auto"/>
        <w:ind w:left="0" w:firstLine="0" w:firstLineChars="0"/>
        <w:rPr>
          <w:rFonts w:asciiTheme="minorEastAsia" w:hAnsiTheme="minorEastAsia" w:eastAsiaTheme="minorEastAsia"/>
          <w:szCs w:val="21"/>
        </w:rPr>
      </w:pPr>
      <w:bookmarkStart w:id="149" w:name="_Toc124168171"/>
      <w:r>
        <w:rPr>
          <w:rFonts w:asciiTheme="minorEastAsia" w:hAnsiTheme="minorEastAsia" w:eastAsiaTheme="minorEastAsia"/>
          <w:szCs w:val="21"/>
        </w:rPr>
        <w:t>变频器安装应符合下列规定：</w:t>
      </w:r>
    </w:p>
    <w:p>
      <w:pPr>
        <w:pStyle w:val="41"/>
        <w:numPr>
          <w:ilvl w:val="1"/>
          <w:numId w:val="107"/>
        </w:numPr>
        <w:spacing w:line="360"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变频器应垂直安装；变频器与周围物体之间的距离应符合产品技术文件的要求，当无要求时，其两侧间距不应小于</w:t>
      </w:r>
      <w:r>
        <w:rPr>
          <w:rFonts w:hint="eastAsia" w:asciiTheme="minorEastAsia" w:hAnsiTheme="minorEastAsia" w:eastAsiaTheme="minorEastAsia"/>
          <w:color w:val="000000"/>
          <w:szCs w:val="21"/>
        </w:rPr>
        <w:t>100</w:t>
      </w:r>
      <w:r>
        <w:rPr>
          <w:rFonts w:hint="eastAsia" w:cs="仿宋" w:asciiTheme="minorEastAsia" w:hAnsiTheme="minorEastAsia" w:eastAsiaTheme="minorEastAsia"/>
          <w:color w:val="000000"/>
          <w:spacing w:val="0"/>
          <w:w w:val="15"/>
          <w:kern w:val="0"/>
          <w:szCs w:val="21"/>
          <w:fitText w:val="42" w:id="1226326877"/>
        </w:rPr>
        <w:t xml:space="preserve">　 </w:t>
      </w:r>
      <w:r>
        <w:rPr>
          <w:rFonts w:hint="eastAsia" w:cs="仿宋" w:asciiTheme="minorEastAsia" w:hAnsiTheme="minorEastAsia" w:eastAsiaTheme="minorEastAsia"/>
          <w:color w:val="000000"/>
          <w:spacing w:val="-17"/>
          <w:w w:val="15"/>
          <w:kern w:val="0"/>
          <w:szCs w:val="21"/>
          <w:fitText w:val="42" w:id="1226326877"/>
        </w:rPr>
        <w:t>　</w:t>
      </w:r>
      <w:r>
        <w:rPr>
          <w:rFonts w:hint="eastAsia" w:asciiTheme="minorEastAsia" w:hAnsiTheme="minorEastAsia" w:eastAsiaTheme="minorEastAsia"/>
          <w:color w:val="000000"/>
          <w:szCs w:val="21"/>
        </w:rPr>
        <w:t>m</w:t>
      </w:r>
      <w:r>
        <w:rPr>
          <w:rFonts w:asciiTheme="minorEastAsia" w:hAnsiTheme="minorEastAsia" w:eastAsiaTheme="minorEastAsia"/>
          <w:color w:val="000000"/>
          <w:szCs w:val="21"/>
        </w:rPr>
        <w:t>m</w:t>
      </w:r>
      <w:r>
        <w:rPr>
          <w:rFonts w:asciiTheme="minorEastAsia" w:hAnsiTheme="minorEastAsia" w:eastAsiaTheme="minorEastAsia"/>
          <w:szCs w:val="21"/>
        </w:rPr>
        <w:t>，上、下间距不应小于</w:t>
      </w:r>
      <w:r>
        <w:rPr>
          <w:rFonts w:hint="eastAsia" w:asciiTheme="minorEastAsia" w:hAnsiTheme="minorEastAsia" w:eastAsiaTheme="minorEastAsia"/>
          <w:color w:val="000000"/>
          <w:szCs w:val="21"/>
        </w:rPr>
        <w:t>150</w:t>
      </w:r>
      <w:r>
        <w:rPr>
          <w:rFonts w:hint="eastAsia" w:cs="仿宋" w:asciiTheme="minorEastAsia" w:hAnsiTheme="minorEastAsia" w:eastAsiaTheme="minorEastAsia"/>
          <w:color w:val="000000"/>
          <w:spacing w:val="0"/>
          <w:w w:val="15"/>
          <w:kern w:val="0"/>
          <w:szCs w:val="21"/>
          <w:fitText w:val="42" w:id="1933325623"/>
        </w:rPr>
        <w:t xml:space="preserve">　 </w:t>
      </w:r>
      <w:r>
        <w:rPr>
          <w:rFonts w:hint="eastAsia" w:cs="仿宋" w:asciiTheme="minorEastAsia" w:hAnsiTheme="minorEastAsia" w:eastAsiaTheme="minorEastAsia"/>
          <w:color w:val="000000"/>
          <w:spacing w:val="-17"/>
          <w:w w:val="15"/>
          <w:kern w:val="0"/>
          <w:szCs w:val="21"/>
          <w:fitText w:val="42" w:id="1933325623"/>
        </w:rPr>
        <w:t>　</w:t>
      </w:r>
      <w:r>
        <w:rPr>
          <w:rFonts w:hint="eastAsia" w:asciiTheme="minorEastAsia" w:hAnsiTheme="minorEastAsia" w:eastAsiaTheme="minorEastAsia"/>
          <w:color w:val="000000"/>
          <w:szCs w:val="21"/>
        </w:rPr>
        <w:t>m</w:t>
      </w:r>
      <w:r>
        <w:rPr>
          <w:rFonts w:asciiTheme="minorEastAsia" w:hAnsiTheme="minorEastAsia" w:eastAsiaTheme="minorEastAsia"/>
          <w:color w:val="000000"/>
          <w:szCs w:val="21"/>
        </w:rPr>
        <w:t>m</w:t>
      </w:r>
      <w:r>
        <w:rPr>
          <w:rFonts w:asciiTheme="minorEastAsia" w:hAnsiTheme="minorEastAsia" w:eastAsiaTheme="minorEastAsia"/>
          <w:szCs w:val="21"/>
        </w:rPr>
        <w:t>；变频器出风口上方应加装保护网罩；变频器散热排风通道应畅通。</w:t>
      </w:r>
    </w:p>
    <w:p>
      <w:pPr>
        <w:pStyle w:val="41"/>
        <w:numPr>
          <w:ilvl w:val="1"/>
          <w:numId w:val="107"/>
        </w:numPr>
        <w:spacing w:line="360"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有两台或两台以上变频器时，应横向排列安装；当必须竖向排列安装时，应在两台变频器之间加装隔板。</w:t>
      </w:r>
    </w:p>
    <w:p>
      <w:pPr>
        <w:pStyle w:val="41"/>
        <w:numPr>
          <w:ilvl w:val="1"/>
          <w:numId w:val="107"/>
        </w:numPr>
        <w:spacing w:line="360"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变频器应按产品技术文件及标识正确接线。</w:t>
      </w:r>
    </w:p>
    <w:p>
      <w:pPr>
        <w:pStyle w:val="41"/>
        <w:numPr>
          <w:ilvl w:val="1"/>
          <w:numId w:val="107"/>
        </w:numPr>
        <w:spacing w:line="360"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与变频器有关的信号线，当设计无要求时，应采用屏蔽线。屏蔽层应接至控制电路的公共端（COM）上。</w:t>
      </w:r>
    </w:p>
    <w:p>
      <w:pPr>
        <w:pStyle w:val="41"/>
        <w:numPr>
          <w:ilvl w:val="1"/>
          <w:numId w:val="107"/>
        </w:numPr>
        <w:spacing w:line="360"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变频器的专用接地端子应可靠接地。</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检验方法：观察检查，检查施工记录</w:t>
      </w:r>
      <w:r>
        <w:rPr>
          <w:rFonts w:hint="eastAsia" w:asciiTheme="minorEastAsia" w:hAnsiTheme="minorEastAsia" w:eastAsiaTheme="minorEastAsia"/>
          <w:szCs w:val="21"/>
        </w:rPr>
        <w:t>。</w:t>
      </w:r>
    </w:p>
    <w:p>
      <w:pPr>
        <w:pStyle w:val="41"/>
        <w:numPr>
          <w:ilvl w:val="0"/>
          <w:numId w:val="106"/>
        </w:numPr>
        <w:spacing w:line="360" w:lineRule="auto"/>
        <w:ind w:left="0" w:firstLine="0" w:firstLineChars="0"/>
        <w:rPr>
          <w:rFonts w:asciiTheme="minorEastAsia" w:hAnsiTheme="minorEastAsia" w:eastAsiaTheme="minorEastAsia"/>
          <w:szCs w:val="21"/>
        </w:rPr>
      </w:pPr>
      <w:r>
        <w:rPr>
          <w:rFonts w:asciiTheme="minorEastAsia" w:hAnsiTheme="minorEastAsia" w:eastAsiaTheme="minorEastAsia"/>
          <w:szCs w:val="21"/>
        </w:rPr>
        <w:t>沼气发电机和拖动鼓风机防爆设备的安装应符合设备技术文件的要求和国家现行标准的有关规定。</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检验数量：全数检查。</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检验方法：观察检查，检查施工记录。</w:t>
      </w:r>
    </w:p>
    <w:p>
      <w:pPr>
        <w:pStyle w:val="41"/>
        <w:numPr>
          <w:ilvl w:val="0"/>
          <w:numId w:val="106"/>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起重机上的配电屏、柜的安装应符合下列规定：</w:t>
      </w:r>
    </w:p>
    <w:p>
      <w:pPr>
        <w:pStyle w:val="41"/>
        <w:numPr>
          <w:ilvl w:val="1"/>
          <w:numId w:val="10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符合现行国家标准</w:t>
      </w:r>
      <w:r>
        <w:rPr>
          <w:rFonts w:hint="eastAsia" w:asciiTheme="minorEastAsia" w:hAnsiTheme="minorEastAsia" w:eastAsiaTheme="minorEastAsia"/>
          <w:color w:val="000000"/>
          <w:szCs w:val="21"/>
        </w:rPr>
        <w:t>《电气装置安装工程 </w:t>
      </w:r>
      <w:r>
        <w:rPr>
          <w:rFonts w:hint="eastAsia" w:ascii="宋体" w:hAnsi="宋体" w:cs="宋体"/>
          <w:color w:val="000000"/>
          <w:szCs w:val="21"/>
        </w:rPr>
        <w:t>盘、柜及二次回路接线施工及验收规范》</w:t>
      </w:r>
      <w:r>
        <w:rPr>
          <w:rFonts w:hint="eastAsia" w:asciiTheme="minorEastAsia" w:hAnsiTheme="minorEastAsia" w:eastAsiaTheme="minorEastAsia"/>
          <w:color w:val="000000"/>
          <w:szCs w:val="21"/>
        </w:rPr>
        <w:t>GB</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50171-2012</w:t>
      </w:r>
      <w:r>
        <w:rPr>
          <w:rFonts w:hint="eastAsia" w:asciiTheme="minorEastAsia" w:hAnsiTheme="minorEastAsia" w:eastAsiaTheme="minorEastAsia"/>
          <w:szCs w:val="21"/>
        </w:rPr>
        <w:t>的有关规定；</w:t>
      </w:r>
    </w:p>
    <w:p>
      <w:pPr>
        <w:pStyle w:val="41"/>
        <w:numPr>
          <w:ilvl w:val="1"/>
          <w:numId w:val="10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不应焊接固定，紧固螺栓应有防松措施；</w:t>
      </w:r>
    </w:p>
    <w:p>
      <w:pPr>
        <w:pStyle w:val="41"/>
        <w:numPr>
          <w:ilvl w:val="1"/>
          <w:numId w:val="10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户外式起重机配电屏、柜的防雨装置，应安装正确、牢固；</w:t>
      </w:r>
    </w:p>
    <w:p>
      <w:pPr>
        <w:pStyle w:val="41"/>
        <w:numPr>
          <w:ilvl w:val="1"/>
          <w:numId w:val="10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盘柜组件安装应接触可靠。</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检验数量：全数检查。</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检验方法：现场检查及资料查阅。</w:t>
      </w:r>
    </w:p>
    <w:p>
      <w:pPr>
        <w:pStyle w:val="41"/>
        <w:numPr>
          <w:ilvl w:val="0"/>
          <w:numId w:val="106"/>
        </w:numPr>
        <w:spacing w:line="360" w:lineRule="auto"/>
        <w:ind w:left="0" w:firstLine="0" w:firstLineChars="0"/>
        <w:rPr>
          <w:rFonts w:ascii="宋体" w:hAnsi="宋体"/>
          <w:szCs w:val="21"/>
        </w:rPr>
      </w:pPr>
      <w:r>
        <w:rPr>
          <w:rFonts w:hint="eastAsia" w:ascii="宋体" w:hAnsi="宋体"/>
          <w:szCs w:val="21"/>
        </w:rPr>
        <w:t>变电所电气设备基础槽钢焊接后应有明显可靠的接地，有绝缘安装要求时基础槽钢的预埋铁不应与建筑结构钢筋发生电气连接。</w:t>
      </w:r>
    </w:p>
    <w:p>
      <w:pPr>
        <w:pStyle w:val="41"/>
        <w:spacing w:line="360" w:lineRule="auto"/>
        <w:rPr>
          <w:rFonts w:ascii="宋体" w:hAnsi="宋体"/>
          <w:szCs w:val="21"/>
        </w:rPr>
      </w:pPr>
      <w:r>
        <w:rPr>
          <w:rFonts w:hint="eastAsia" w:ascii="宋体" w:hAnsi="宋体"/>
          <w:szCs w:val="21"/>
        </w:rPr>
        <w:t>检验数量：全部检查。</w:t>
      </w:r>
    </w:p>
    <w:p>
      <w:pPr>
        <w:spacing w:line="360" w:lineRule="auto"/>
        <w:ind w:firstLine="420" w:firstLineChars="200"/>
        <w:rPr>
          <w:rFonts w:ascii="宋体" w:hAnsi="宋体"/>
          <w:szCs w:val="21"/>
        </w:rPr>
      </w:pPr>
      <w:r>
        <w:rPr>
          <w:rFonts w:hint="eastAsia" w:ascii="宋体" w:hAnsi="宋体"/>
          <w:szCs w:val="21"/>
        </w:rPr>
        <w:t>检验方法：用</w:t>
      </w:r>
      <w:r>
        <w:rPr>
          <w:rFonts w:hint="eastAsia" w:ascii="宋体" w:hAnsi="宋体"/>
          <w:color w:val="000000"/>
          <w:szCs w:val="21"/>
        </w:rPr>
        <w:t>1000</w:t>
      </w:r>
      <w:r>
        <w:rPr>
          <w:rFonts w:hint="eastAsia" w:cs="仿宋" w:asciiTheme="minorEastAsia" w:hAnsiTheme="minorEastAsia" w:eastAsiaTheme="minorEastAsia"/>
          <w:color w:val="000000"/>
          <w:spacing w:val="0"/>
          <w:w w:val="15"/>
          <w:kern w:val="0"/>
          <w:szCs w:val="21"/>
          <w:fitText w:val="42" w:id="1772822194"/>
        </w:rPr>
        <w:t xml:space="preserve">　 </w:t>
      </w:r>
      <w:r>
        <w:rPr>
          <w:rFonts w:hint="eastAsia" w:cs="仿宋" w:asciiTheme="minorEastAsia" w:hAnsiTheme="minorEastAsia" w:eastAsiaTheme="minorEastAsia"/>
          <w:color w:val="000000"/>
          <w:spacing w:val="-17"/>
          <w:w w:val="15"/>
          <w:kern w:val="0"/>
          <w:szCs w:val="21"/>
          <w:fitText w:val="42" w:id="1772822194"/>
        </w:rPr>
        <w:t>　</w:t>
      </w:r>
      <w:r>
        <w:rPr>
          <w:rFonts w:hint="eastAsia" w:ascii="宋体" w:hAnsi="宋体"/>
          <w:color w:val="000000"/>
          <w:szCs w:val="21"/>
        </w:rPr>
        <w:t>V</w:t>
      </w:r>
      <w:r>
        <w:rPr>
          <w:rFonts w:hint="eastAsia" w:ascii="宋体" w:hAnsi="宋体"/>
          <w:szCs w:val="21"/>
        </w:rPr>
        <w:t>兆欧表测试，不低于</w:t>
      </w:r>
      <w:r>
        <w:rPr>
          <w:rFonts w:hint="eastAsia" w:ascii="宋体" w:hAnsi="宋体"/>
          <w:color w:val="000000"/>
          <w:szCs w:val="21"/>
        </w:rPr>
        <w:t>20</w:t>
      </w:r>
      <w:r>
        <w:rPr>
          <w:rFonts w:hint="eastAsia" w:cs="仿宋" w:asciiTheme="minorEastAsia" w:hAnsiTheme="minorEastAsia" w:eastAsiaTheme="minorEastAsia"/>
          <w:color w:val="000000"/>
          <w:spacing w:val="0"/>
          <w:w w:val="15"/>
          <w:kern w:val="0"/>
          <w:szCs w:val="21"/>
          <w:fitText w:val="42" w:id="847265789"/>
        </w:rPr>
        <w:t xml:space="preserve">　 </w:t>
      </w:r>
      <w:r>
        <w:rPr>
          <w:rFonts w:hint="eastAsia" w:cs="仿宋" w:asciiTheme="minorEastAsia" w:hAnsiTheme="minorEastAsia" w:eastAsiaTheme="minorEastAsia"/>
          <w:color w:val="000000"/>
          <w:spacing w:val="-17"/>
          <w:w w:val="15"/>
          <w:kern w:val="0"/>
          <w:szCs w:val="21"/>
          <w:fitText w:val="42" w:id="847265789"/>
        </w:rPr>
        <w:t>　</w:t>
      </w:r>
      <w:r>
        <w:rPr>
          <w:rFonts w:hint="eastAsia" w:ascii="宋体" w:hAnsi="宋体"/>
          <w:color w:val="000000"/>
          <w:szCs w:val="21"/>
        </w:rPr>
        <w:t>MΩ</w:t>
      </w:r>
      <w:r>
        <w:rPr>
          <w:rFonts w:hint="eastAsia" w:ascii="宋体" w:hAnsi="宋体"/>
          <w:szCs w:val="21"/>
        </w:rPr>
        <w:t>。</w:t>
      </w:r>
    </w:p>
    <w:p>
      <w:pPr>
        <w:pStyle w:val="41"/>
        <w:numPr>
          <w:ilvl w:val="0"/>
          <w:numId w:val="106"/>
        </w:numPr>
        <w:spacing w:line="360" w:lineRule="auto"/>
        <w:ind w:left="0" w:firstLine="0" w:firstLineChars="0"/>
        <w:rPr>
          <w:rFonts w:ascii="宋体" w:hAnsi="宋体"/>
          <w:szCs w:val="21"/>
        </w:rPr>
      </w:pPr>
      <w:r>
        <w:rPr>
          <w:rFonts w:hint="eastAsia" w:ascii="宋体" w:hAnsi="宋体"/>
          <w:szCs w:val="21"/>
        </w:rPr>
        <w:t>直流开关柜安装应符合下列规定：</w:t>
      </w:r>
    </w:p>
    <w:p>
      <w:pPr>
        <w:pStyle w:val="41"/>
        <w:numPr>
          <w:ilvl w:val="1"/>
          <w:numId w:val="10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柜体采取绝缘安装时应符合下列规定：</w:t>
      </w:r>
    </w:p>
    <w:p>
      <w:pPr>
        <w:spacing w:line="360" w:lineRule="auto"/>
        <w:ind w:left="850" w:leftChars="405"/>
        <w:rPr>
          <w:rFonts w:asciiTheme="minorEastAsia" w:hAnsiTheme="minorEastAsia" w:eastAsiaTheme="minorEastAsia"/>
          <w:szCs w:val="21"/>
        </w:rPr>
      </w:pPr>
      <w:r>
        <w:rPr>
          <w:rFonts w:hint="eastAsia" w:asciiTheme="minorEastAsia" w:hAnsiTheme="minorEastAsia" w:eastAsiaTheme="minorEastAsia"/>
          <w:szCs w:val="21"/>
        </w:rPr>
        <w:t>1）柜体与基础槽钢应采用绝缘方式连接，且防松零件应齐全；</w:t>
      </w:r>
    </w:p>
    <w:p>
      <w:pPr>
        <w:spacing w:line="360" w:lineRule="auto"/>
        <w:ind w:left="850" w:leftChars="405"/>
        <w:rPr>
          <w:rFonts w:asciiTheme="minorEastAsia" w:hAnsi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）绝缘板露出柜体四周每侧的长度不应小于</w:t>
      </w:r>
      <w:r>
        <w:rPr>
          <w:rFonts w:hint="eastAsia" w:asciiTheme="minorEastAsia" w:hAnsiTheme="minorEastAsia" w:eastAsiaTheme="minorEastAsia"/>
          <w:color w:val="000000"/>
          <w:szCs w:val="21"/>
        </w:rPr>
        <w:t>10</w:t>
      </w:r>
      <w:r>
        <w:rPr>
          <w:rFonts w:hint="eastAsia" w:cs="仿宋" w:asciiTheme="minorEastAsia" w:hAnsiTheme="minorEastAsia" w:eastAsiaTheme="minorEastAsia"/>
          <w:color w:val="000000"/>
          <w:spacing w:val="0"/>
          <w:w w:val="15"/>
          <w:kern w:val="0"/>
          <w:szCs w:val="21"/>
          <w:fitText w:val="42" w:id="363489647"/>
        </w:rPr>
        <w:t xml:space="preserve">　 </w:t>
      </w:r>
      <w:r>
        <w:rPr>
          <w:rFonts w:hint="eastAsia" w:cs="仿宋" w:asciiTheme="minorEastAsia" w:hAnsiTheme="minorEastAsia" w:eastAsiaTheme="minorEastAsia"/>
          <w:color w:val="000000"/>
          <w:spacing w:val="-17"/>
          <w:w w:val="15"/>
          <w:kern w:val="0"/>
          <w:szCs w:val="21"/>
          <w:fitText w:val="42" w:id="363489647"/>
        </w:rPr>
        <w:t>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，柜体对地绝缘标准应符合设备技术文件要求，整体框架对地绝缘电阻值不宜小于</w:t>
      </w:r>
      <w:r>
        <w:rPr>
          <w:rFonts w:hint="eastAsia" w:asciiTheme="minorEastAsia" w:hAnsiTheme="minorEastAsia" w:eastAsiaTheme="minorEastAsia"/>
          <w:color w:val="000000"/>
          <w:szCs w:val="21"/>
        </w:rPr>
        <w:t>1</w:t>
      </w:r>
      <w:r>
        <w:rPr>
          <w:rFonts w:hint="eastAsia" w:cs="仿宋" w:asciiTheme="minorEastAsia" w:hAnsiTheme="minorEastAsia" w:eastAsiaTheme="minorEastAsia"/>
          <w:color w:val="000000"/>
          <w:spacing w:val="0"/>
          <w:w w:val="15"/>
          <w:kern w:val="0"/>
          <w:szCs w:val="21"/>
          <w:fitText w:val="42" w:id="909862560"/>
        </w:rPr>
        <w:t xml:space="preserve">　 </w:t>
      </w:r>
      <w:r>
        <w:rPr>
          <w:rFonts w:hint="eastAsia" w:cs="仿宋" w:asciiTheme="minorEastAsia" w:hAnsiTheme="minorEastAsia" w:eastAsiaTheme="minorEastAsia"/>
          <w:color w:val="000000"/>
          <w:spacing w:val="-17"/>
          <w:w w:val="15"/>
          <w:kern w:val="0"/>
          <w:szCs w:val="21"/>
          <w:fitText w:val="42" w:id="909862560"/>
        </w:rPr>
        <w:t>　</w:t>
      </w:r>
      <w:r>
        <w:rPr>
          <w:rFonts w:hint="eastAsia" w:asciiTheme="minorEastAsia" w:hAnsiTheme="minorEastAsia" w:eastAsiaTheme="minorEastAsia"/>
          <w:color w:val="000000"/>
          <w:szCs w:val="21"/>
        </w:rPr>
        <w:t>MΩ</w:t>
      </w:r>
      <w:r>
        <w:rPr>
          <w:rFonts w:hint="eastAsia" w:asciiTheme="minorEastAsia" w:hAnsiTheme="minorEastAsia" w:eastAsiaTheme="minorEastAsia"/>
          <w:szCs w:val="21"/>
        </w:rPr>
        <w:t>；</w:t>
      </w:r>
    </w:p>
    <w:p>
      <w:pPr>
        <w:spacing w:line="360" w:lineRule="auto"/>
        <w:ind w:left="850" w:leftChars="405"/>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）应与同一台框架泄漏保护连接的直流配电柜体单点接地；</w:t>
      </w:r>
    </w:p>
    <w:p>
      <w:pPr>
        <w:spacing w:line="360" w:lineRule="auto"/>
        <w:ind w:left="850" w:leftChars="405"/>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）所有电缆的铠装层、屏蔽层、 N 线或 PE 线均不应与直流开关柜的框架连接；</w:t>
      </w:r>
    </w:p>
    <w:p>
      <w:pPr>
        <w:spacing w:line="360" w:lineRule="auto"/>
        <w:ind w:left="850" w:leftChars="405"/>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）进入直流系统设备的电缆金属屏蔽层应采用单端接地方式。</w:t>
      </w:r>
    </w:p>
    <w:p>
      <w:pPr>
        <w:pStyle w:val="41"/>
        <w:numPr>
          <w:ilvl w:val="1"/>
          <w:numId w:val="10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机械闭锁、电气闭锁应动作准确、可靠。</w:t>
      </w:r>
    </w:p>
    <w:p>
      <w:pPr>
        <w:pStyle w:val="41"/>
        <w:numPr>
          <w:ilvl w:val="1"/>
          <w:numId w:val="10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手车推拉应灵活轻便，触头应接触紧密，同型号手车应能互换。</w:t>
      </w:r>
    </w:p>
    <w:p>
      <w:pPr>
        <w:pStyle w:val="41"/>
        <w:numPr>
          <w:ilvl w:val="1"/>
          <w:numId w:val="10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手车与柜体的二次回路连接插件应接触良好，辅助开关的切换接点动作准确、接触可靠。</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检验数量：全部检查。</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检验方法：观察检查，钢尺量测，兆欧表测量，操作检查。</w:t>
      </w:r>
    </w:p>
    <w:p>
      <w:pPr>
        <w:pStyle w:val="41"/>
        <w:numPr>
          <w:ilvl w:val="0"/>
          <w:numId w:val="106"/>
        </w:numPr>
        <w:spacing w:line="360" w:lineRule="auto"/>
        <w:ind w:left="0" w:firstLine="0" w:firstLineChars="0"/>
        <w:rPr>
          <w:rFonts w:ascii="宋体" w:hAnsi="宋体"/>
          <w:szCs w:val="21"/>
        </w:rPr>
      </w:pPr>
      <w:r>
        <w:rPr>
          <w:rFonts w:hint="eastAsia" w:ascii="宋体" w:hAnsi="宋体"/>
          <w:szCs w:val="21"/>
        </w:rPr>
        <w:t>变电所电气设备基础槽钢安装应符合下列要求：</w:t>
      </w:r>
    </w:p>
    <w:p>
      <w:pPr>
        <w:pStyle w:val="41"/>
        <w:numPr>
          <w:ilvl w:val="1"/>
          <w:numId w:val="11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允许偏差应符合表</w:t>
      </w:r>
      <w:r>
        <w:rPr>
          <w:rFonts w:asciiTheme="minorEastAsia" w:hAnsiTheme="minorEastAsia" w:eastAsiaTheme="minorEastAsia"/>
          <w:szCs w:val="21"/>
        </w:rPr>
        <w:t>6.2.6</w:t>
      </w:r>
      <w:r>
        <w:rPr>
          <w:rFonts w:hint="eastAsia" w:asciiTheme="minorEastAsia" w:hAnsiTheme="minorEastAsia" w:eastAsiaTheme="minorEastAsia"/>
          <w:szCs w:val="21"/>
        </w:rPr>
        <w:t>的规定：</w:t>
      </w:r>
    </w:p>
    <w:p>
      <w:pPr>
        <w:pStyle w:val="41"/>
        <w:spacing w:line="360" w:lineRule="auto"/>
        <w:ind w:left="640" w:firstLine="0" w:firstLineChars="0"/>
        <w:jc w:val="center"/>
        <w:rPr>
          <w:rFonts w:ascii="黑体" w:hAnsi="黑体" w:eastAsia="黑体"/>
          <w:szCs w:val="21"/>
        </w:rPr>
      </w:pPr>
      <w:r>
        <w:rPr>
          <w:rFonts w:hint="eastAsia" w:ascii="黑体" w:hAnsi="黑体" w:eastAsia="黑体"/>
          <w:szCs w:val="21"/>
        </w:rPr>
        <w:t>表</w:t>
      </w:r>
      <w:r>
        <w:rPr>
          <w:rFonts w:ascii="黑体" w:hAnsi="黑体" w:eastAsia="黑体"/>
          <w:szCs w:val="21"/>
        </w:rPr>
        <w:t xml:space="preserve">6.2.6 </w:t>
      </w:r>
      <w:r>
        <w:rPr>
          <w:rFonts w:hint="eastAsia" w:ascii="黑体" w:hAnsi="黑体" w:eastAsia="黑体"/>
          <w:szCs w:val="21"/>
        </w:rPr>
        <w:t>基础槽钢安装的检验标准</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371"/>
        <w:gridCol w:w="877"/>
        <w:gridCol w:w="1684"/>
        <w:gridCol w:w="1167"/>
        <w:gridCol w:w="907"/>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vMerge w:val="restart"/>
            <w:vAlign w:val="center"/>
          </w:tcPr>
          <w:p>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序号</w:t>
            </w:r>
          </w:p>
        </w:tc>
        <w:tc>
          <w:tcPr>
            <w:tcW w:w="1318" w:type="pct"/>
            <w:gridSpan w:val="2"/>
            <w:vMerge w:val="restart"/>
            <w:vAlign w:val="center"/>
          </w:tcPr>
          <w:p>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项目</w:t>
            </w:r>
          </w:p>
        </w:tc>
        <w:tc>
          <w:tcPr>
            <w:tcW w:w="987" w:type="pct"/>
            <w:vMerge w:val="restart"/>
            <w:vAlign w:val="center"/>
          </w:tcPr>
          <w:p>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允许偏差（mm）</w:t>
            </w:r>
          </w:p>
        </w:tc>
        <w:tc>
          <w:tcPr>
            <w:tcW w:w="1216" w:type="pct"/>
            <w:gridSpan w:val="2"/>
            <w:vAlign w:val="center"/>
          </w:tcPr>
          <w:p>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检验频率</w:t>
            </w:r>
          </w:p>
        </w:tc>
        <w:tc>
          <w:tcPr>
            <w:tcW w:w="1081" w:type="pct"/>
            <w:vAlign w:val="center"/>
          </w:tcPr>
          <w:p>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vMerge w:val="continue"/>
            <w:vAlign w:val="center"/>
          </w:tcPr>
          <w:p>
            <w:pPr>
              <w:pStyle w:val="41"/>
              <w:spacing w:line="360" w:lineRule="auto"/>
              <w:ind w:firstLine="0" w:firstLineChars="0"/>
              <w:jc w:val="center"/>
              <w:rPr>
                <w:rFonts w:asciiTheme="minorEastAsia" w:hAnsiTheme="minorEastAsia" w:eastAsiaTheme="minorEastAsia"/>
                <w:sz w:val="18"/>
                <w:szCs w:val="18"/>
              </w:rPr>
            </w:pPr>
          </w:p>
        </w:tc>
        <w:tc>
          <w:tcPr>
            <w:tcW w:w="1318" w:type="pct"/>
            <w:gridSpan w:val="2"/>
            <w:vMerge w:val="continue"/>
            <w:vAlign w:val="center"/>
          </w:tcPr>
          <w:p>
            <w:pPr>
              <w:pStyle w:val="41"/>
              <w:spacing w:line="360" w:lineRule="auto"/>
              <w:ind w:firstLine="0" w:firstLineChars="0"/>
              <w:jc w:val="center"/>
              <w:rPr>
                <w:rFonts w:asciiTheme="minorEastAsia" w:hAnsiTheme="minorEastAsia" w:eastAsiaTheme="minorEastAsia"/>
                <w:sz w:val="18"/>
                <w:szCs w:val="18"/>
              </w:rPr>
            </w:pPr>
          </w:p>
        </w:tc>
        <w:tc>
          <w:tcPr>
            <w:tcW w:w="987" w:type="pct"/>
            <w:vMerge w:val="continue"/>
            <w:vAlign w:val="center"/>
          </w:tcPr>
          <w:p>
            <w:pPr>
              <w:pStyle w:val="41"/>
              <w:spacing w:line="360" w:lineRule="auto"/>
              <w:ind w:firstLine="0" w:firstLineChars="0"/>
              <w:jc w:val="center"/>
              <w:rPr>
                <w:rFonts w:asciiTheme="minorEastAsia" w:hAnsiTheme="minorEastAsia" w:eastAsiaTheme="minorEastAsia"/>
                <w:sz w:val="18"/>
                <w:szCs w:val="18"/>
              </w:rPr>
            </w:pPr>
          </w:p>
        </w:tc>
        <w:tc>
          <w:tcPr>
            <w:tcW w:w="684" w:type="pct"/>
            <w:vAlign w:val="center"/>
          </w:tcPr>
          <w:p>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范围</w:t>
            </w:r>
          </w:p>
        </w:tc>
        <w:tc>
          <w:tcPr>
            <w:tcW w:w="532" w:type="pct"/>
            <w:vAlign w:val="center"/>
          </w:tcPr>
          <w:p>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点数</w:t>
            </w:r>
          </w:p>
        </w:tc>
        <w:tc>
          <w:tcPr>
            <w:tcW w:w="1081" w:type="pct"/>
            <w:vAlign w:val="center"/>
          </w:tcPr>
          <w:p>
            <w:pPr>
              <w:pStyle w:val="41"/>
              <w:spacing w:line="360" w:lineRule="auto"/>
              <w:ind w:firstLine="0" w:firstLineChars="0"/>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vAlign w:val="center"/>
          </w:tcPr>
          <w:p>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804" w:type="pct"/>
            <w:vAlign w:val="center"/>
          </w:tcPr>
          <w:p>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不直度</w:t>
            </w:r>
          </w:p>
        </w:tc>
        <w:tc>
          <w:tcPr>
            <w:tcW w:w="514" w:type="pct"/>
            <w:vAlign w:val="center"/>
          </w:tcPr>
          <w:p>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每米全长</w:t>
            </w:r>
          </w:p>
        </w:tc>
        <w:tc>
          <w:tcPr>
            <w:tcW w:w="987" w:type="pct"/>
            <w:vAlign w:val="center"/>
          </w:tcPr>
          <w:p>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p>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684" w:type="pct"/>
            <w:vMerge w:val="restart"/>
            <w:vAlign w:val="center"/>
          </w:tcPr>
          <w:p>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每片槽钢</w:t>
            </w:r>
          </w:p>
        </w:tc>
        <w:tc>
          <w:tcPr>
            <w:tcW w:w="532" w:type="pct"/>
            <w:vAlign w:val="center"/>
          </w:tcPr>
          <w:p>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081" w:type="pct"/>
            <w:vAlign w:val="center"/>
          </w:tcPr>
          <w:p>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用靠尺、塞尺检查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99" w:type="pct"/>
            <w:vAlign w:val="center"/>
          </w:tcPr>
          <w:p>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804" w:type="pct"/>
            <w:vAlign w:val="center"/>
          </w:tcPr>
          <w:p>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水平度</w:t>
            </w:r>
          </w:p>
        </w:tc>
        <w:tc>
          <w:tcPr>
            <w:tcW w:w="514" w:type="pct"/>
            <w:vAlign w:val="center"/>
          </w:tcPr>
          <w:p>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每米全长</w:t>
            </w:r>
          </w:p>
        </w:tc>
        <w:tc>
          <w:tcPr>
            <w:tcW w:w="987" w:type="pct"/>
            <w:vAlign w:val="center"/>
          </w:tcPr>
          <w:p>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p>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684" w:type="pct"/>
            <w:vMerge w:val="continue"/>
            <w:vAlign w:val="center"/>
          </w:tcPr>
          <w:p>
            <w:pPr>
              <w:pStyle w:val="41"/>
              <w:spacing w:line="360" w:lineRule="auto"/>
              <w:ind w:firstLine="0" w:firstLineChars="0"/>
              <w:jc w:val="center"/>
              <w:rPr>
                <w:rFonts w:asciiTheme="minorEastAsia" w:hAnsiTheme="minorEastAsia" w:eastAsiaTheme="minorEastAsia"/>
                <w:sz w:val="18"/>
                <w:szCs w:val="18"/>
              </w:rPr>
            </w:pPr>
          </w:p>
        </w:tc>
        <w:tc>
          <w:tcPr>
            <w:tcW w:w="532" w:type="pct"/>
            <w:vAlign w:val="center"/>
          </w:tcPr>
          <w:p>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081" w:type="pct"/>
            <w:vAlign w:val="center"/>
          </w:tcPr>
          <w:p>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用水平尺测量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vAlign w:val="center"/>
          </w:tcPr>
          <w:p>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804" w:type="pct"/>
            <w:vAlign w:val="center"/>
          </w:tcPr>
          <w:p>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位置误差及不平行度</w:t>
            </w:r>
          </w:p>
        </w:tc>
        <w:tc>
          <w:tcPr>
            <w:tcW w:w="514" w:type="pct"/>
            <w:vAlign w:val="center"/>
          </w:tcPr>
          <w:p>
            <w:pPr>
              <w:pStyle w:val="41"/>
              <w:spacing w:line="360" w:lineRule="auto"/>
              <w:ind w:firstLine="0" w:firstLineChars="0"/>
              <w:jc w:val="center"/>
              <w:rPr>
                <w:rFonts w:asciiTheme="minorEastAsia" w:hAnsiTheme="minorEastAsia" w:eastAsiaTheme="minorEastAsia"/>
                <w:sz w:val="18"/>
                <w:szCs w:val="18"/>
              </w:rPr>
            </w:pPr>
          </w:p>
        </w:tc>
        <w:tc>
          <w:tcPr>
            <w:tcW w:w="987" w:type="pct"/>
            <w:vAlign w:val="center"/>
          </w:tcPr>
          <w:p>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684" w:type="pct"/>
            <w:vMerge w:val="continue"/>
            <w:vAlign w:val="center"/>
          </w:tcPr>
          <w:p>
            <w:pPr>
              <w:pStyle w:val="41"/>
              <w:spacing w:line="360" w:lineRule="auto"/>
              <w:ind w:firstLine="0" w:firstLineChars="0"/>
              <w:jc w:val="center"/>
              <w:rPr>
                <w:rFonts w:asciiTheme="minorEastAsia" w:hAnsiTheme="minorEastAsia" w:eastAsiaTheme="minorEastAsia"/>
                <w:sz w:val="18"/>
                <w:szCs w:val="18"/>
              </w:rPr>
            </w:pPr>
          </w:p>
        </w:tc>
        <w:tc>
          <w:tcPr>
            <w:tcW w:w="532" w:type="pct"/>
            <w:vAlign w:val="center"/>
          </w:tcPr>
          <w:p>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081" w:type="pct"/>
            <w:vAlign w:val="center"/>
          </w:tcPr>
          <w:p>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经纬仪、</w:t>
            </w:r>
            <w:r>
              <w:rPr>
                <w:rFonts w:hint="eastAsia" w:asciiTheme="minorEastAsia" w:hAnsiTheme="minorEastAsia" w:eastAsiaTheme="minorEastAsia"/>
                <w:color w:val="000000"/>
                <w:sz w:val="18"/>
                <w:szCs w:val="18"/>
              </w:rPr>
              <w:t>水平仪及</w:t>
            </w:r>
            <w:r>
              <w:rPr>
                <w:rFonts w:hint="eastAsia" w:asciiTheme="minorEastAsia" w:hAnsiTheme="minorEastAsia" w:eastAsiaTheme="minorEastAsia"/>
                <w:sz w:val="18"/>
                <w:szCs w:val="18"/>
              </w:rPr>
              <w:t>钢尺检查</w:t>
            </w:r>
          </w:p>
        </w:tc>
      </w:tr>
    </w:tbl>
    <w:p>
      <w:pPr>
        <w:pStyle w:val="41"/>
        <w:numPr>
          <w:ilvl w:val="1"/>
          <w:numId w:val="11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基础槽钢安装后，其顶部宜高处抹平地面</w:t>
      </w:r>
      <w:r>
        <w:rPr>
          <w:rFonts w:hint="eastAsia" w:asciiTheme="minorEastAsia" w:hAnsiTheme="minorEastAsia" w:eastAsiaTheme="minorEastAsia"/>
          <w:color w:val="000000"/>
          <w:szCs w:val="21"/>
        </w:rPr>
        <w:t>10</w:t>
      </w:r>
      <w:r>
        <w:rPr>
          <w:rFonts w:hint="eastAsia" w:cs="仿宋" w:asciiTheme="minorEastAsia" w:hAnsiTheme="minorEastAsia" w:eastAsiaTheme="minorEastAsia"/>
          <w:color w:val="000000"/>
          <w:spacing w:val="0"/>
          <w:w w:val="15"/>
          <w:kern w:val="0"/>
          <w:szCs w:val="21"/>
          <w:fitText w:val="42" w:id="474551506"/>
        </w:rPr>
        <w:t xml:space="preserve">　 </w:t>
      </w:r>
      <w:r>
        <w:rPr>
          <w:rFonts w:hint="eastAsia" w:cs="仿宋" w:asciiTheme="minorEastAsia" w:hAnsiTheme="minorEastAsia" w:eastAsiaTheme="minorEastAsia"/>
          <w:color w:val="000000"/>
          <w:spacing w:val="-17"/>
          <w:w w:val="15"/>
          <w:kern w:val="0"/>
          <w:szCs w:val="21"/>
          <w:fitText w:val="42" w:id="474551506"/>
        </w:rPr>
        <w:t>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；手车式成套柜按产品技术要求执行。</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检验数量：全部检查。</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检验方法：用钢尺、经纬仪、水平仪及水平尺测量。</w:t>
      </w:r>
    </w:p>
    <w:p>
      <w:pPr>
        <w:pStyle w:val="41"/>
        <w:numPr>
          <w:ilvl w:val="0"/>
          <w:numId w:val="106"/>
        </w:numPr>
        <w:spacing w:line="360" w:lineRule="auto"/>
        <w:ind w:left="0" w:firstLine="0" w:firstLineChars="0"/>
        <w:rPr>
          <w:rFonts w:asciiTheme="minorEastAsia" w:hAnsiTheme="minorEastAsia" w:eastAsiaTheme="minorEastAsia"/>
          <w:szCs w:val="21"/>
        </w:rPr>
      </w:pPr>
      <w:r>
        <w:rPr>
          <w:rFonts w:hint="eastAsia" w:ascii="宋体" w:hAnsi="宋体"/>
          <w:szCs w:val="21"/>
        </w:rPr>
        <w:t>整流器</w:t>
      </w:r>
      <w:r>
        <w:rPr>
          <w:rFonts w:hint="eastAsia" w:asciiTheme="minorEastAsia" w:hAnsiTheme="minorEastAsia" w:eastAsiaTheme="minorEastAsia"/>
          <w:szCs w:val="21"/>
        </w:rPr>
        <w:t>柜体应对地绝缘，绝缘板露出柜体四周每侧的长度不小于</w:t>
      </w:r>
      <w:r>
        <w:rPr>
          <w:rFonts w:hint="eastAsia" w:asciiTheme="minorEastAsia" w:hAnsiTheme="minorEastAsia" w:eastAsiaTheme="minorEastAsia"/>
          <w:color w:val="000000"/>
          <w:szCs w:val="21"/>
        </w:rPr>
        <w:t>10</w:t>
      </w:r>
      <w:r>
        <w:rPr>
          <w:rFonts w:hint="eastAsia" w:cs="仿宋" w:asciiTheme="minorEastAsia" w:hAnsiTheme="minorEastAsia" w:eastAsiaTheme="minorEastAsia"/>
          <w:color w:val="000000"/>
          <w:spacing w:val="0"/>
          <w:w w:val="15"/>
          <w:kern w:val="0"/>
          <w:szCs w:val="21"/>
          <w:fitText w:val="42" w:id="1073354766"/>
        </w:rPr>
        <w:t xml:space="preserve">　 </w:t>
      </w:r>
      <w:r>
        <w:rPr>
          <w:rFonts w:hint="eastAsia" w:cs="仿宋" w:asciiTheme="minorEastAsia" w:hAnsiTheme="minorEastAsia" w:eastAsiaTheme="minorEastAsia"/>
          <w:color w:val="000000"/>
          <w:spacing w:val="-17"/>
          <w:w w:val="15"/>
          <w:kern w:val="0"/>
          <w:szCs w:val="21"/>
          <w:fitText w:val="42" w:id="1073354766"/>
        </w:rPr>
        <w:t>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。柜体对地绝缘标准为</w:t>
      </w:r>
      <w:r>
        <w:rPr>
          <w:rFonts w:hint="eastAsia" w:asciiTheme="minorEastAsia" w:hAnsiTheme="minorEastAsia" w:eastAsiaTheme="minorEastAsia"/>
          <w:color w:val="000000"/>
          <w:szCs w:val="21"/>
        </w:rPr>
        <w:t>500</w:t>
      </w:r>
      <w:r>
        <w:rPr>
          <w:rFonts w:hint="eastAsia" w:cs="仿宋" w:asciiTheme="minorEastAsia" w:hAnsiTheme="minorEastAsia" w:eastAsiaTheme="minorEastAsia"/>
          <w:color w:val="000000"/>
          <w:spacing w:val="0"/>
          <w:w w:val="15"/>
          <w:kern w:val="0"/>
          <w:szCs w:val="21"/>
          <w:fitText w:val="42" w:id="32970197"/>
        </w:rPr>
        <w:t xml:space="preserve">　 </w:t>
      </w:r>
      <w:r>
        <w:rPr>
          <w:rFonts w:hint="eastAsia" w:cs="仿宋" w:asciiTheme="minorEastAsia" w:hAnsiTheme="minorEastAsia" w:eastAsiaTheme="minorEastAsia"/>
          <w:color w:val="000000"/>
          <w:spacing w:val="-17"/>
          <w:w w:val="15"/>
          <w:kern w:val="0"/>
          <w:szCs w:val="21"/>
          <w:fitText w:val="42" w:id="32970197"/>
        </w:rPr>
        <w:t>　</w:t>
      </w:r>
      <w:r>
        <w:rPr>
          <w:rFonts w:hint="eastAsia" w:asciiTheme="minorEastAsia" w:hAnsiTheme="minorEastAsia" w:eastAsiaTheme="minorEastAsia"/>
          <w:color w:val="000000"/>
          <w:szCs w:val="21"/>
        </w:rPr>
        <w:t>V</w:t>
      </w:r>
      <w:r>
        <w:rPr>
          <w:rFonts w:hint="eastAsia" w:asciiTheme="minorEastAsia" w:hAnsiTheme="minorEastAsia" w:eastAsiaTheme="minorEastAsia"/>
          <w:szCs w:val="21"/>
        </w:rPr>
        <w:t>兆欧表测量时不小于</w:t>
      </w:r>
      <w:r>
        <w:rPr>
          <w:rFonts w:hint="eastAsia" w:asciiTheme="minorEastAsia" w:hAnsiTheme="minorEastAsia" w:eastAsiaTheme="minorEastAsia"/>
          <w:color w:val="000000"/>
          <w:szCs w:val="21"/>
        </w:rPr>
        <w:t>2</w:t>
      </w:r>
      <w:r>
        <w:rPr>
          <w:rFonts w:hint="eastAsia" w:cs="仿宋" w:asciiTheme="minorEastAsia" w:hAnsiTheme="minorEastAsia" w:eastAsiaTheme="minorEastAsia"/>
          <w:color w:val="000000"/>
          <w:spacing w:val="0"/>
          <w:w w:val="15"/>
          <w:kern w:val="0"/>
          <w:szCs w:val="21"/>
          <w:fitText w:val="42" w:id="1687694091"/>
        </w:rPr>
        <w:t xml:space="preserve">　 </w:t>
      </w:r>
      <w:r>
        <w:rPr>
          <w:rFonts w:hint="eastAsia" w:cs="仿宋" w:asciiTheme="minorEastAsia" w:hAnsiTheme="minorEastAsia" w:eastAsiaTheme="minorEastAsia"/>
          <w:color w:val="000000"/>
          <w:spacing w:val="-17"/>
          <w:w w:val="15"/>
          <w:kern w:val="0"/>
          <w:szCs w:val="21"/>
          <w:fitText w:val="42" w:id="1687694091"/>
        </w:rPr>
        <w:t>　</w:t>
      </w:r>
      <w:r>
        <w:rPr>
          <w:rFonts w:hint="eastAsia" w:asciiTheme="minorEastAsia" w:hAnsiTheme="minorEastAsia" w:eastAsiaTheme="minorEastAsia"/>
          <w:color w:val="000000"/>
          <w:szCs w:val="21"/>
        </w:rPr>
        <w:t>MΩ</w:t>
      </w:r>
      <w:r>
        <w:rPr>
          <w:rFonts w:hint="eastAsia" w:asciiTheme="minorEastAsia" w:hAnsiTheme="minorEastAsia" w:eastAsiaTheme="minorEastAsia"/>
          <w:szCs w:val="21"/>
        </w:rPr>
        <w:t>。</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检验数量：全部检查。</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检验放大：用钢尺、兆欧表测量。</w:t>
      </w:r>
    </w:p>
    <w:p>
      <w:pPr>
        <w:pStyle w:val="41"/>
        <w:numPr>
          <w:ilvl w:val="0"/>
          <w:numId w:val="106"/>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color w:val="000000"/>
          <w:szCs w:val="21"/>
        </w:rPr>
        <w:t>10 k</w:t>
      </w:r>
      <w:r>
        <w:rPr>
          <w:rFonts w:asciiTheme="minorEastAsia" w:hAnsiTheme="minorEastAsia" w:eastAsiaTheme="minorEastAsia"/>
          <w:color w:val="000000"/>
          <w:szCs w:val="21"/>
        </w:rPr>
        <w:t>V</w:t>
      </w:r>
      <w:r>
        <w:rPr>
          <w:rFonts w:hint="eastAsia" w:asciiTheme="minorEastAsia" w:hAnsiTheme="minorEastAsia" w:eastAsiaTheme="minorEastAsia"/>
          <w:szCs w:val="21"/>
        </w:rPr>
        <w:t>开关柜安装应符合下列要求：</w:t>
      </w:r>
    </w:p>
    <w:p>
      <w:pPr>
        <w:pStyle w:val="41"/>
        <w:numPr>
          <w:ilvl w:val="1"/>
          <w:numId w:val="11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机械闭锁、电气闭锁动作应准确、可靠。防止电气误操作“五防”装置齐全。</w:t>
      </w:r>
    </w:p>
    <w:p>
      <w:pPr>
        <w:pStyle w:val="41"/>
        <w:numPr>
          <w:ilvl w:val="1"/>
          <w:numId w:val="11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手车推拉应灵活轻便、无卡阻碰撞现象。动触头与静触头的中心线应一致，触头接触紧密，同型号的手车应能互换；</w:t>
      </w:r>
    </w:p>
    <w:p>
      <w:pPr>
        <w:pStyle w:val="41"/>
        <w:numPr>
          <w:ilvl w:val="1"/>
          <w:numId w:val="11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手车与柜体件的二次回路连接插件接触良好。二次回路辅助开关的切换接点应动作准确，接触可靠；</w:t>
      </w:r>
    </w:p>
    <w:p>
      <w:pPr>
        <w:pStyle w:val="41"/>
        <w:numPr>
          <w:ilvl w:val="1"/>
          <w:numId w:val="11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手车在推入工作位置后，动触头顶部与静触头底部的间隙应符合产品的技术要求；</w:t>
      </w:r>
    </w:p>
    <w:p>
      <w:pPr>
        <w:pStyle w:val="41"/>
        <w:numPr>
          <w:ilvl w:val="1"/>
          <w:numId w:val="11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柜内安全隔离板开启灵活，随手车的进出而相应动作。柜内控制电缆应固定牢固，不得妨碍手车的进出。</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检验数量：全部检查。</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检验方法：观察检查，查看安装记录，试操作。</w:t>
      </w:r>
    </w:p>
    <w:p>
      <w:pPr>
        <w:pStyle w:val="4"/>
        <w:spacing w:before="120" w:beforeLines="50" w:after="120" w:afterLines="50"/>
        <w:rPr>
          <w:rFonts w:asciiTheme="minorEastAsia" w:hAnsiTheme="minorEastAsia" w:eastAsiaTheme="minorEastAsia"/>
          <w:sz w:val="21"/>
          <w:szCs w:val="21"/>
        </w:rPr>
      </w:pPr>
      <w:r>
        <w:t>Ⅱ</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一般项目</w:t>
      </w:r>
      <w:bookmarkEnd w:id="149"/>
    </w:p>
    <w:p>
      <w:pPr>
        <w:pStyle w:val="41"/>
        <w:numPr>
          <w:ilvl w:val="0"/>
          <w:numId w:val="106"/>
        </w:numPr>
        <w:spacing w:line="360" w:lineRule="auto"/>
        <w:ind w:left="0" w:firstLine="0" w:firstLineChars="0"/>
        <w:rPr>
          <w:rFonts w:ascii="宋体" w:hAnsi="宋体" w:cs="微软雅黑"/>
          <w:szCs w:val="21"/>
        </w:rPr>
      </w:pPr>
      <w:r>
        <w:rPr>
          <w:rFonts w:hint="eastAsia" w:ascii="宋体" w:hAnsi="宋体"/>
          <w:szCs w:val="21"/>
        </w:rPr>
        <w:t>沼气发电机、沼气拖动鼓风机和沼气压缩机安装允许偏差和检验方法应符合表6.2.9的规定。</w:t>
      </w:r>
    </w:p>
    <w:p>
      <w:pPr>
        <w:pStyle w:val="24"/>
        <w:shd w:val="clear" w:color="auto" w:fill="FFFFFF"/>
        <w:spacing w:before="0" w:beforeAutospacing="0" w:after="0" w:afterAutospacing="0" w:line="360" w:lineRule="auto"/>
        <w:ind w:firstLine="336"/>
        <w:jc w:val="center"/>
        <w:rPr>
          <w:rFonts w:ascii="黑体" w:hAnsi="黑体" w:eastAsia="黑体" w:cs="微软雅黑"/>
          <w:sz w:val="21"/>
          <w:szCs w:val="21"/>
        </w:rPr>
      </w:pPr>
      <w:r>
        <w:rPr>
          <w:rFonts w:hint="eastAsia" w:ascii="黑体" w:hAnsi="黑体" w:eastAsia="黑体" w:cs="微软雅黑"/>
          <w:bCs/>
          <w:sz w:val="21"/>
          <w:szCs w:val="21"/>
          <w:shd w:val="clear" w:color="auto" w:fill="FFFFFF"/>
        </w:rPr>
        <w:t>表6.2.9</w:t>
      </w:r>
      <w:r>
        <w:rPr>
          <w:rFonts w:ascii="Calibri" w:hAnsi="Calibri" w:eastAsia="黑体" w:cs="Calibri"/>
          <w:bCs/>
          <w:sz w:val="21"/>
          <w:szCs w:val="21"/>
          <w:shd w:val="clear" w:color="auto" w:fill="FFFFFF"/>
        </w:rPr>
        <w:t>  </w:t>
      </w:r>
      <w:r>
        <w:rPr>
          <w:rFonts w:hint="eastAsia" w:ascii="黑体" w:hAnsi="黑体" w:eastAsia="黑体" w:cs="微软雅黑"/>
          <w:bCs/>
          <w:sz w:val="21"/>
          <w:szCs w:val="21"/>
          <w:shd w:val="clear" w:color="auto" w:fill="FFFFFF"/>
        </w:rPr>
        <w:t>沼气发电机、沼气拖动鼓风机和沼气压缩机安装允许偏差和检验方法</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656"/>
        <w:gridCol w:w="1577"/>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shd w:val="clear" w:color="auto" w:fill="auto"/>
            <w:vAlign w:val="center"/>
          </w:tcPr>
          <w:p>
            <w:pPr>
              <w:jc w:val="center"/>
              <w:rPr>
                <w:sz w:val="18"/>
                <w:szCs w:val="18"/>
              </w:rPr>
            </w:pPr>
            <w:r>
              <w:rPr>
                <w:rFonts w:hint="eastAsia"/>
                <w:sz w:val="18"/>
                <w:szCs w:val="18"/>
              </w:rPr>
              <w:t>序号</w:t>
            </w:r>
          </w:p>
        </w:tc>
        <w:tc>
          <w:tcPr>
            <w:tcW w:w="0" w:type="auto"/>
            <w:shd w:val="clear" w:color="auto" w:fill="auto"/>
            <w:vAlign w:val="center"/>
          </w:tcPr>
          <w:p>
            <w:pPr>
              <w:jc w:val="center"/>
              <w:rPr>
                <w:sz w:val="18"/>
                <w:szCs w:val="18"/>
              </w:rPr>
            </w:pPr>
            <w:r>
              <w:rPr>
                <w:rFonts w:hint="eastAsia"/>
                <w:sz w:val="18"/>
                <w:szCs w:val="18"/>
              </w:rPr>
              <w:t>项目</w:t>
            </w:r>
          </w:p>
        </w:tc>
        <w:tc>
          <w:tcPr>
            <w:tcW w:w="0" w:type="auto"/>
            <w:shd w:val="clear" w:color="auto" w:fill="auto"/>
            <w:vAlign w:val="center"/>
          </w:tcPr>
          <w:p>
            <w:pPr>
              <w:jc w:val="center"/>
              <w:rPr>
                <w:sz w:val="18"/>
                <w:szCs w:val="18"/>
              </w:rPr>
            </w:pPr>
            <w:r>
              <w:rPr>
                <w:rFonts w:hint="eastAsia"/>
                <w:sz w:val="18"/>
                <w:szCs w:val="18"/>
              </w:rPr>
              <w:t>允许偏差（mm）</w:t>
            </w:r>
          </w:p>
        </w:tc>
        <w:tc>
          <w:tcPr>
            <w:tcW w:w="0" w:type="auto"/>
            <w:shd w:val="clear" w:color="auto" w:fill="auto"/>
            <w:vAlign w:val="center"/>
          </w:tcPr>
          <w:p>
            <w:pPr>
              <w:jc w:val="center"/>
              <w:rPr>
                <w:sz w:val="18"/>
                <w:szCs w:val="18"/>
              </w:rPr>
            </w:pPr>
            <w:r>
              <w:rPr>
                <w:rFonts w:hint="eastAsia"/>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shd w:val="clear" w:color="auto" w:fill="auto"/>
            <w:vAlign w:val="center"/>
          </w:tcPr>
          <w:p>
            <w:pPr>
              <w:jc w:val="center"/>
              <w:rPr>
                <w:sz w:val="18"/>
                <w:szCs w:val="18"/>
              </w:rPr>
            </w:pPr>
            <w:r>
              <w:rPr>
                <w:rFonts w:hint="eastAsia"/>
                <w:sz w:val="18"/>
                <w:szCs w:val="18"/>
              </w:rPr>
              <w:t>1</w:t>
            </w:r>
          </w:p>
        </w:tc>
        <w:tc>
          <w:tcPr>
            <w:tcW w:w="0" w:type="auto"/>
            <w:shd w:val="clear" w:color="auto" w:fill="auto"/>
            <w:vAlign w:val="center"/>
          </w:tcPr>
          <w:p>
            <w:pPr>
              <w:jc w:val="center"/>
              <w:rPr>
                <w:sz w:val="18"/>
                <w:szCs w:val="18"/>
              </w:rPr>
            </w:pPr>
            <w:r>
              <w:rPr>
                <w:rFonts w:hint="eastAsia"/>
                <w:sz w:val="18"/>
                <w:szCs w:val="18"/>
              </w:rPr>
              <w:t>设备平面位置</w:t>
            </w:r>
          </w:p>
        </w:tc>
        <w:tc>
          <w:tcPr>
            <w:tcW w:w="0" w:type="auto"/>
            <w:shd w:val="clear" w:color="auto" w:fill="auto"/>
            <w:vAlign w:val="center"/>
          </w:tcPr>
          <w:p>
            <w:pPr>
              <w:jc w:val="center"/>
              <w:rPr>
                <w:sz w:val="18"/>
                <w:szCs w:val="18"/>
              </w:rPr>
            </w:pPr>
            <w:r>
              <w:rPr>
                <w:rFonts w:hint="eastAsia"/>
                <w:sz w:val="18"/>
                <w:szCs w:val="18"/>
              </w:rPr>
              <w:t>5</w:t>
            </w:r>
          </w:p>
        </w:tc>
        <w:tc>
          <w:tcPr>
            <w:tcW w:w="0" w:type="auto"/>
            <w:shd w:val="clear" w:color="auto" w:fill="auto"/>
            <w:vAlign w:val="center"/>
          </w:tcPr>
          <w:p>
            <w:pPr>
              <w:jc w:val="center"/>
              <w:rPr>
                <w:sz w:val="18"/>
                <w:szCs w:val="18"/>
              </w:rPr>
            </w:pPr>
            <w:r>
              <w:rPr>
                <w:rFonts w:hint="eastAsia"/>
                <w:sz w:val="18"/>
                <w:szCs w:val="18"/>
              </w:rPr>
              <w:t>尺量检查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shd w:val="clear" w:color="auto" w:fill="auto"/>
            <w:vAlign w:val="center"/>
          </w:tcPr>
          <w:p>
            <w:pPr>
              <w:jc w:val="center"/>
              <w:rPr>
                <w:sz w:val="18"/>
                <w:szCs w:val="18"/>
              </w:rPr>
            </w:pPr>
            <w:r>
              <w:rPr>
                <w:rFonts w:hint="eastAsia"/>
                <w:sz w:val="18"/>
                <w:szCs w:val="18"/>
              </w:rPr>
              <w:t>2</w:t>
            </w:r>
          </w:p>
        </w:tc>
        <w:tc>
          <w:tcPr>
            <w:tcW w:w="0" w:type="auto"/>
            <w:shd w:val="clear" w:color="auto" w:fill="auto"/>
            <w:vAlign w:val="center"/>
          </w:tcPr>
          <w:p>
            <w:pPr>
              <w:jc w:val="center"/>
              <w:rPr>
                <w:sz w:val="18"/>
                <w:szCs w:val="18"/>
              </w:rPr>
            </w:pPr>
            <w:r>
              <w:rPr>
                <w:rFonts w:hint="eastAsia"/>
                <w:sz w:val="18"/>
                <w:szCs w:val="18"/>
              </w:rPr>
              <w:t>设备标高</w:t>
            </w:r>
          </w:p>
        </w:tc>
        <w:tc>
          <w:tcPr>
            <w:tcW w:w="0" w:type="auto"/>
            <w:shd w:val="clear" w:color="auto" w:fill="auto"/>
            <w:vAlign w:val="center"/>
          </w:tcPr>
          <w:p>
            <w:pPr>
              <w:jc w:val="center"/>
              <w:rPr>
                <w:sz w:val="18"/>
                <w:szCs w:val="18"/>
              </w:rPr>
            </w:pPr>
            <w:r>
              <w:rPr>
                <w:rFonts w:hint="eastAsia"/>
                <w:sz w:val="18"/>
                <w:szCs w:val="18"/>
              </w:rPr>
              <w:t>±10</w:t>
            </w:r>
          </w:p>
        </w:tc>
        <w:tc>
          <w:tcPr>
            <w:tcW w:w="0" w:type="auto"/>
            <w:shd w:val="clear" w:color="auto" w:fill="auto"/>
            <w:vAlign w:val="center"/>
          </w:tcPr>
          <w:p>
            <w:pPr>
              <w:jc w:val="center"/>
              <w:rPr>
                <w:sz w:val="18"/>
                <w:szCs w:val="18"/>
              </w:rPr>
            </w:pPr>
            <w:r>
              <w:rPr>
                <w:rFonts w:hint="eastAsia"/>
                <w:sz w:val="18"/>
                <w:szCs w:val="18"/>
              </w:rPr>
              <w:t>水准仪与直尺检查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shd w:val="clear" w:color="auto" w:fill="auto"/>
            <w:vAlign w:val="center"/>
          </w:tcPr>
          <w:p>
            <w:pPr>
              <w:jc w:val="center"/>
              <w:rPr>
                <w:sz w:val="18"/>
                <w:szCs w:val="18"/>
              </w:rPr>
            </w:pPr>
            <w:r>
              <w:rPr>
                <w:rFonts w:hint="eastAsia"/>
                <w:sz w:val="18"/>
                <w:szCs w:val="18"/>
              </w:rPr>
              <w:t>3</w:t>
            </w:r>
          </w:p>
        </w:tc>
        <w:tc>
          <w:tcPr>
            <w:tcW w:w="0" w:type="auto"/>
            <w:shd w:val="clear" w:color="auto" w:fill="auto"/>
            <w:vAlign w:val="center"/>
          </w:tcPr>
          <w:p>
            <w:pPr>
              <w:jc w:val="center"/>
              <w:rPr>
                <w:sz w:val="18"/>
                <w:szCs w:val="18"/>
              </w:rPr>
            </w:pPr>
            <w:r>
              <w:rPr>
                <w:rFonts w:hint="eastAsia"/>
                <w:sz w:val="18"/>
                <w:szCs w:val="18"/>
              </w:rPr>
              <w:t>设备纵、横水平度</w:t>
            </w:r>
          </w:p>
        </w:tc>
        <w:tc>
          <w:tcPr>
            <w:tcW w:w="0" w:type="auto"/>
            <w:shd w:val="clear" w:color="auto" w:fill="auto"/>
            <w:vAlign w:val="center"/>
          </w:tcPr>
          <w:p>
            <w:pPr>
              <w:jc w:val="center"/>
              <w:rPr>
                <w:sz w:val="18"/>
                <w:szCs w:val="18"/>
              </w:rPr>
            </w:pPr>
            <w:r>
              <w:rPr>
                <w:rFonts w:hint="eastAsia"/>
                <w:sz w:val="18"/>
                <w:szCs w:val="18"/>
              </w:rPr>
              <w:t>L/</w:t>
            </w:r>
            <w:r>
              <w:rPr>
                <w:rFonts w:hint="eastAsia"/>
                <w:color w:val="000000"/>
                <w:sz w:val="18"/>
                <w:szCs w:val="18"/>
              </w:rPr>
              <w:t>1000</w:t>
            </w:r>
          </w:p>
        </w:tc>
        <w:tc>
          <w:tcPr>
            <w:tcW w:w="0" w:type="auto"/>
            <w:shd w:val="clear" w:color="auto" w:fill="auto"/>
            <w:vAlign w:val="center"/>
          </w:tcPr>
          <w:p>
            <w:pPr>
              <w:jc w:val="center"/>
              <w:rPr>
                <w:sz w:val="18"/>
                <w:szCs w:val="18"/>
              </w:rPr>
            </w:pPr>
            <w:r>
              <w:rPr>
                <w:rFonts w:hint="eastAsia"/>
                <w:sz w:val="18"/>
                <w:szCs w:val="18"/>
              </w:rPr>
              <w:t>水平仪检查</w:t>
            </w:r>
          </w:p>
        </w:tc>
      </w:tr>
    </w:tbl>
    <w:p>
      <w:pPr>
        <w:pStyle w:val="24"/>
        <w:shd w:val="clear" w:color="auto" w:fill="FFFFFF"/>
        <w:spacing w:before="120" w:beforeLines="50" w:beforeAutospacing="0" w:after="120" w:afterLines="50" w:afterAutospacing="0" w:line="360" w:lineRule="auto"/>
        <w:ind w:firstLine="1260" w:firstLineChars="600"/>
        <w:rPr>
          <w:rFonts w:cs="微软雅黑"/>
          <w:bCs/>
          <w:sz w:val="21"/>
          <w:szCs w:val="21"/>
          <w:shd w:val="clear" w:color="auto" w:fill="FFFFFF"/>
        </w:rPr>
      </w:pPr>
      <w:r>
        <w:rPr>
          <w:rFonts w:hint="eastAsia" w:cs="微软雅黑"/>
          <w:bCs/>
          <w:sz w:val="21"/>
          <w:szCs w:val="21"/>
          <w:shd w:val="clear" w:color="auto" w:fill="FFFFFF"/>
        </w:rPr>
        <w:t>注：L为设备纵、横长度。</w:t>
      </w:r>
    </w:p>
    <w:p>
      <w:pPr>
        <w:pStyle w:val="41"/>
        <w:spacing w:line="360" w:lineRule="auto"/>
        <w:rPr>
          <w:rFonts w:ascii="宋体" w:hAnsi="宋体"/>
          <w:szCs w:val="21"/>
        </w:rPr>
      </w:pPr>
      <w:r>
        <w:rPr>
          <w:rFonts w:hint="eastAsia" w:ascii="宋体" w:hAnsi="宋体"/>
          <w:szCs w:val="21"/>
        </w:rPr>
        <w:t>检查数量：全数检查。</w:t>
      </w:r>
    </w:p>
    <w:p>
      <w:pPr>
        <w:pStyle w:val="41"/>
        <w:spacing w:line="360" w:lineRule="auto"/>
        <w:rPr>
          <w:rFonts w:ascii="宋体" w:hAnsi="宋体"/>
          <w:szCs w:val="21"/>
        </w:rPr>
      </w:pPr>
      <w:r>
        <w:rPr>
          <w:rFonts w:hint="eastAsia" w:ascii="宋体" w:hAnsi="宋体"/>
          <w:szCs w:val="21"/>
        </w:rPr>
        <w:t>检查方法：仪器检查。</w:t>
      </w:r>
    </w:p>
    <w:p>
      <w:pPr>
        <w:pStyle w:val="41"/>
        <w:numPr>
          <w:ilvl w:val="0"/>
          <w:numId w:val="106"/>
        </w:numPr>
        <w:spacing w:line="360" w:lineRule="auto"/>
        <w:ind w:left="0" w:firstLine="0" w:firstLineChars="0"/>
        <w:rPr>
          <w:rFonts w:ascii="宋体" w:hAnsi="宋体"/>
          <w:szCs w:val="21"/>
        </w:rPr>
      </w:pPr>
      <w:r>
        <w:rPr>
          <w:rFonts w:hint="eastAsia" w:ascii="宋体" w:hAnsi="宋体"/>
          <w:szCs w:val="21"/>
        </w:rPr>
        <w:t>起重机非带电金属部分的接地应符合下列规定：</w:t>
      </w:r>
    </w:p>
    <w:p>
      <w:pPr>
        <w:pStyle w:val="41"/>
        <w:numPr>
          <w:ilvl w:val="1"/>
          <w:numId w:val="112"/>
        </w:numPr>
        <w:spacing w:line="360" w:lineRule="auto"/>
        <w:ind w:firstLine="424" w:firstLineChars="202"/>
        <w:rPr>
          <w:rFonts w:ascii="宋体" w:hAnsi="宋体"/>
          <w:szCs w:val="21"/>
        </w:rPr>
      </w:pPr>
      <w:r>
        <w:rPr>
          <w:rFonts w:hint="eastAsia" w:ascii="宋体" w:hAnsi="宋体"/>
          <w:szCs w:val="21"/>
        </w:rPr>
        <w:t>装有接地滑接器时，滑接器与轨道或接地滑触线，应可靠接触。</w:t>
      </w:r>
    </w:p>
    <w:p>
      <w:pPr>
        <w:pStyle w:val="41"/>
        <w:numPr>
          <w:ilvl w:val="1"/>
          <w:numId w:val="112"/>
        </w:numPr>
        <w:spacing w:line="360" w:lineRule="auto"/>
        <w:ind w:firstLine="424" w:firstLineChars="202"/>
        <w:rPr>
          <w:rFonts w:ascii="宋体" w:hAnsi="宋体"/>
          <w:szCs w:val="21"/>
        </w:rPr>
      </w:pPr>
      <w:r>
        <w:rPr>
          <w:rFonts w:hint="eastAsia" w:ascii="宋体" w:hAnsi="宋体"/>
          <w:szCs w:val="21"/>
        </w:rPr>
        <w:t>司机室与起重机本体用螺栓连接时，必须进行电气跨接；其跨接点不应少于两处。</w:t>
      </w:r>
    </w:p>
    <w:p>
      <w:pPr>
        <w:pStyle w:val="41"/>
        <w:numPr>
          <w:ilvl w:val="1"/>
          <w:numId w:val="112"/>
        </w:numPr>
        <w:spacing w:line="360" w:lineRule="auto"/>
        <w:ind w:firstLine="424" w:firstLineChars="202"/>
        <w:rPr>
          <w:rFonts w:ascii="宋体" w:hAnsi="宋体"/>
          <w:szCs w:val="21"/>
        </w:rPr>
      </w:pPr>
      <w:r>
        <w:rPr>
          <w:rFonts w:hint="eastAsia" w:ascii="宋体" w:hAnsi="宋体"/>
          <w:szCs w:val="21"/>
        </w:rPr>
        <w:t>跨接宜采用多股软铜线，其截面面积不得小于</w:t>
      </w:r>
      <w:r>
        <w:rPr>
          <w:rFonts w:hint="eastAsia" w:ascii="宋体" w:hAnsi="宋体"/>
          <w:color w:val="000000"/>
          <w:szCs w:val="21"/>
        </w:rPr>
        <w:t>16 mm</w:t>
      </w:r>
      <w:r>
        <w:rPr>
          <w:rFonts w:hint="eastAsia" w:ascii="宋体" w:hAnsi="宋体"/>
          <w:color w:val="000000"/>
          <w:szCs w:val="21"/>
          <w:vertAlign w:val="superscript"/>
        </w:rPr>
        <w:t>2</w:t>
      </w:r>
      <w:r>
        <w:rPr>
          <w:rFonts w:hint="eastAsia" w:ascii="宋体" w:hAnsi="宋体"/>
          <w:szCs w:val="21"/>
        </w:rPr>
        <w:t>，两端压接接线端子应采用镀锌螺栓固定，当采用圆钢或扁钢进行跨接时，圆钢直径不得小于</w:t>
      </w:r>
      <w:r>
        <w:rPr>
          <w:rFonts w:hint="eastAsia" w:ascii="宋体" w:hAnsi="宋体"/>
          <w:color w:val="000000"/>
          <w:szCs w:val="21"/>
        </w:rPr>
        <w:t>12 mm</w:t>
      </w:r>
      <w:r>
        <w:rPr>
          <w:rFonts w:hint="eastAsia" w:ascii="宋体" w:hAnsi="宋体"/>
          <w:szCs w:val="21"/>
        </w:rPr>
        <w:t>，扁钢截面的宽度和厚度不得小于</w:t>
      </w:r>
      <w:r>
        <w:rPr>
          <w:rFonts w:hint="eastAsia" w:ascii="宋体" w:hAnsi="宋体"/>
          <w:color w:val="000000"/>
          <w:szCs w:val="21"/>
        </w:rPr>
        <w:t>40</w:t>
      </w:r>
      <w:r>
        <w:rPr>
          <w:rFonts w:hint="eastAsia" w:cs="仿宋" w:asciiTheme="minorEastAsia" w:hAnsiTheme="minorEastAsia" w:eastAsiaTheme="minorEastAsia"/>
          <w:color w:val="000000"/>
          <w:spacing w:val="0"/>
          <w:w w:val="15"/>
          <w:kern w:val="0"/>
          <w:szCs w:val="21"/>
          <w:fitText w:val="42" w:id="2085948112"/>
        </w:rPr>
        <w:t xml:space="preserve">　 </w:t>
      </w:r>
      <w:r>
        <w:rPr>
          <w:rFonts w:hint="eastAsia" w:cs="仿宋" w:asciiTheme="minorEastAsia" w:hAnsiTheme="minorEastAsia" w:eastAsiaTheme="minorEastAsia"/>
          <w:color w:val="000000"/>
          <w:spacing w:val="-17"/>
          <w:w w:val="15"/>
          <w:kern w:val="0"/>
          <w:szCs w:val="21"/>
          <w:fitText w:val="42" w:id="2085948112"/>
        </w:rPr>
        <w:t>　</w:t>
      </w:r>
      <w:r>
        <w:rPr>
          <w:rFonts w:hint="eastAsia" w:ascii="宋体" w:hAnsi="宋体"/>
          <w:color w:val="000000"/>
          <w:szCs w:val="21"/>
        </w:rPr>
        <w:t>mm</w:t>
      </w:r>
      <w:r>
        <w:rPr>
          <w:rFonts w:hint="eastAsia" w:ascii="宋体" w:hAnsi="宋体"/>
          <w:szCs w:val="21"/>
        </w:rPr>
        <w:t>×</w:t>
      </w:r>
      <w:r>
        <w:rPr>
          <w:rFonts w:hint="eastAsia" w:ascii="宋体" w:hAnsi="宋体"/>
          <w:color w:val="000000"/>
          <w:szCs w:val="21"/>
        </w:rPr>
        <w:t>4</w:t>
      </w:r>
      <w:r>
        <w:rPr>
          <w:rFonts w:hint="eastAsia" w:cs="仿宋" w:asciiTheme="minorEastAsia" w:hAnsiTheme="minorEastAsia" w:eastAsiaTheme="minorEastAsia"/>
          <w:color w:val="000000"/>
          <w:spacing w:val="0"/>
          <w:w w:val="15"/>
          <w:kern w:val="0"/>
          <w:szCs w:val="21"/>
          <w:fitText w:val="42" w:id="123103828"/>
        </w:rPr>
        <w:t xml:space="preserve">　 </w:t>
      </w:r>
      <w:r>
        <w:rPr>
          <w:rFonts w:hint="eastAsia" w:cs="仿宋" w:asciiTheme="minorEastAsia" w:hAnsiTheme="minorEastAsia" w:eastAsiaTheme="minorEastAsia"/>
          <w:color w:val="000000"/>
          <w:spacing w:val="-17"/>
          <w:w w:val="15"/>
          <w:kern w:val="0"/>
          <w:szCs w:val="21"/>
          <w:fitText w:val="42" w:id="123103828"/>
        </w:rPr>
        <w:t>　</w:t>
      </w:r>
      <w:r>
        <w:rPr>
          <w:rFonts w:hint="eastAsia" w:ascii="宋体" w:hAnsi="宋体"/>
          <w:color w:val="000000"/>
          <w:szCs w:val="21"/>
        </w:rPr>
        <w:t>mm</w:t>
      </w:r>
      <w:r>
        <w:rPr>
          <w:rFonts w:hint="eastAsia" w:ascii="宋体" w:hAnsi="宋体"/>
          <w:szCs w:val="21"/>
        </w:rPr>
        <w:t>。</w:t>
      </w:r>
    </w:p>
    <w:p>
      <w:pPr>
        <w:pStyle w:val="41"/>
        <w:spacing w:line="360" w:lineRule="auto"/>
        <w:rPr>
          <w:rFonts w:ascii="宋体" w:hAnsi="宋体"/>
          <w:szCs w:val="21"/>
        </w:rPr>
      </w:pPr>
      <w:r>
        <w:rPr>
          <w:rFonts w:hint="eastAsia" w:ascii="宋体" w:hAnsi="宋体"/>
          <w:szCs w:val="21"/>
        </w:rPr>
        <w:t>检验数量：全数检查。</w:t>
      </w:r>
    </w:p>
    <w:p>
      <w:pPr>
        <w:pStyle w:val="41"/>
        <w:spacing w:line="360" w:lineRule="auto"/>
        <w:rPr>
          <w:rFonts w:ascii="宋体" w:hAnsi="宋体"/>
          <w:szCs w:val="21"/>
        </w:rPr>
      </w:pPr>
      <w:r>
        <w:rPr>
          <w:rFonts w:hint="eastAsia" w:ascii="宋体" w:hAnsi="宋体"/>
          <w:szCs w:val="21"/>
        </w:rPr>
        <w:t>检验方法：现场检查。</w:t>
      </w:r>
    </w:p>
    <w:p>
      <w:pPr>
        <w:pStyle w:val="41"/>
        <w:numPr>
          <w:ilvl w:val="0"/>
          <w:numId w:val="106"/>
        </w:numPr>
        <w:spacing w:line="360" w:lineRule="auto"/>
        <w:ind w:left="0" w:firstLine="0" w:firstLineChars="0"/>
        <w:rPr>
          <w:rFonts w:ascii="宋体" w:hAnsi="宋体"/>
          <w:szCs w:val="21"/>
        </w:rPr>
      </w:pPr>
      <w:r>
        <w:rPr>
          <w:rFonts w:hint="eastAsia" w:ascii="宋体" w:hAnsi="宋体"/>
          <w:szCs w:val="21"/>
        </w:rPr>
        <w:t>基础型钢安装后，其顶部宜高出最终地面</w:t>
      </w:r>
      <w:r>
        <w:rPr>
          <w:rFonts w:hint="eastAsia" w:ascii="宋体" w:hAnsi="宋体"/>
          <w:color w:val="000000"/>
          <w:szCs w:val="21"/>
        </w:rPr>
        <w:t>10</w:t>
      </w:r>
      <w:r>
        <w:rPr>
          <w:rFonts w:hint="eastAsia" w:cs="仿宋" w:asciiTheme="minorEastAsia" w:hAnsiTheme="minorEastAsia" w:eastAsiaTheme="minorEastAsia"/>
          <w:color w:val="000000"/>
          <w:spacing w:val="0"/>
          <w:w w:val="15"/>
          <w:kern w:val="0"/>
          <w:szCs w:val="21"/>
          <w:fitText w:val="42" w:id="1775390596"/>
        </w:rPr>
        <w:t xml:space="preserve">　 </w:t>
      </w:r>
      <w:r>
        <w:rPr>
          <w:rFonts w:hint="eastAsia" w:cs="仿宋" w:asciiTheme="minorEastAsia" w:hAnsiTheme="minorEastAsia" w:eastAsiaTheme="minorEastAsia"/>
          <w:color w:val="000000"/>
          <w:spacing w:val="-17"/>
          <w:w w:val="15"/>
          <w:kern w:val="0"/>
          <w:szCs w:val="21"/>
          <w:fitText w:val="42" w:id="1775390596"/>
        </w:rPr>
        <w:t>　</w:t>
      </w:r>
      <w:r>
        <w:rPr>
          <w:rFonts w:hint="eastAsia" w:ascii="宋体" w:hAnsi="宋体"/>
          <w:color w:val="000000"/>
          <w:szCs w:val="21"/>
        </w:rPr>
        <w:t>mm</w:t>
      </w:r>
      <w:r>
        <w:rPr>
          <w:rFonts w:hint="eastAsia" w:ascii="宋体" w:hAnsi="宋体"/>
          <w:szCs w:val="21"/>
        </w:rPr>
        <w:t>~</w:t>
      </w:r>
      <w:r>
        <w:rPr>
          <w:rFonts w:hint="eastAsia" w:ascii="宋体" w:hAnsi="宋体"/>
          <w:color w:val="000000"/>
          <w:szCs w:val="21"/>
        </w:rPr>
        <w:t>20</w:t>
      </w:r>
      <w:r>
        <w:rPr>
          <w:rFonts w:hint="eastAsia" w:cs="仿宋" w:asciiTheme="minorEastAsia" w:hAnsiTheme="minorEastAsia" w:eastAsiaTheme="minorEastAsia"/>
          <w:color w:val="000000"/>
          <w:spacing w:val="0"/>
          <w:w w:val="15"/>
          <w:kern w:val="0"/>
          <w:szCs w:val="21"/>
          <w:fitText w:val="42" w:id="768952706"/>
        </w:rPr>
        <w:t xml:space="preserve">　 </w:t>
      </w:r>
      <w:r>
        <w:rPr>
          <w:rFonts w:hint="eastAsia" w:cs="仿宋" w:asciiTheme="minorEastAsia" w:hAnsiTheme="minorEastAsia" w:eastAsiaTheme="minorEastAsia"/>
          <w:color w:val="000000"/>
          <w:spacing w:val="-17"/>
          <w:w w:val="15"/>
          <w:kern w:val="0"/>
          <w:szCs w:val="21"/>
          <w:fitText w:val="42" w:id="768952706"/>
        </w:rPr>
        <w:t>　</w:t>
      </w:r>
      <w:r>
        <w:rPr>
          <w:rFonts w:hint="eastAsia" w:ascii="宋体" w:hAnsi="宋体"/>
          <w:color w:val="000000"/>
          <w:szCs w:val="21"/>
        </w:rPr>
        <w:t>mm</w:t>
      </w:r>
      <w:r>
        <w:rPr>
          <w:rFonts w:hint="eastAsia" w:ascii="宋体" w:hAnsi="宋体"/>
          <w:szCs w:val="21"/>
        </w:rPr>
        <w:t>。</w:t>
      </w:r>
    </w:p>
    <w:p>
      <w:pPr>
        <w:pStyle w:val="41"/>
        <w:spacing w:line="360" w:lineRule="auto"/>
        <w:rPr>
          <w:rFonts w:ascii="宋体" w:hAnsi="宋体"/>
          <w:szCs w:val="21"/>
        </w:rPr>
      </w:pPr>
      <w:r>
        <w:rPr>
          <w:rFonts w:hint="eastAsia" w:ascii="宋体" w:hAnsi="宋体"/>
          <w:szCs w:val="21"/>
        </w:rPr>
        <w:t>检查数量：全数检查。</w:t>
      </w:r>
    </w:p>
    <w:p>
      <w:pPr>
        <w:pStyle w:val="41"/>
        <w:spacing w:line="360" w:lineRule="auto"/>
        <w:rPr>
          <w:rFonts w:ascii="宋体" w:hAnsi="宋体"/>
          <w:szCs w:val="21"/>
        </w:rPr>
      </w:pPr>
      <w:r>
        <w:rPr>
          <w:rFonts w:hint="eastAsia" w:ascii="宋体" w:hAnsi="宋体"/>
          <w:szCs w:val="21"/>
        </w:rPr>
        <w:t>检查方法：观察检查并用尺测量。</w:t>
      </w:r>
    </w:p>
    <w:p>
      <w:pPr>
        <w:pStyle w:val="41"/>
        <w:numPr>
          <w:ilvl w:val="0"/>
          <w:numId w:val="106"/>
        </w:numPr>
        <w:spacing w:line="360" w:lineRule="auto"/>
        <w:ind w:left="0" w:firstLine="0" w:firstLineChars="0"/>
        <w:rPr>
          <w:rFonts w:ascii="宋体" w:hAnsi="宋体"/>
          <w:szCs w:val="21"/>
        </w:rPr>
      </w:pPr>
      <w:r>
        <w:rPr>
          <w:rFonts w:hint="eastAsia" w:ascii="宋体" w:hAnsi="宋体"/>
          <w:szCs w:val="21"/>
        </w:rPr>
        <w:t>变压器栅栏安装应符合下列规定：</w:t>
      </w:r>
    </w:p>
    <w:p>
      <w:pPr>
        <w:pStyle w:val="41"/>
        <w:numPr>
          <w:ilvl w:val="1"/>
          <w:numId w:val="113"/>
        </w:numPr>
        <w:spacing w:line="360" w:lineRule="auto"/>
        <w:ind w:firstLine="424" w:firstLineChars="202"/>
        <w:rPr>
          <w:rFonts w:ascii="宋体" w:hAnsi="宋体"/>
          <w:szCs w:val="21"/>
        </w:rPr>
      </w:pPr>
      <w:r>
        <w:rPr>
          <w:rFonts w:hint="eastAsia" w:ascii="宋体" w:hAnsi="宋体"/>
          <w:szCs w:val="21"/>
        </w:rPr>
        <w:t>栅栏表面应光滑、无变形、防腐层良好、型号、规格应符合设计文件要求；</w:t>
      </w:r>
    </w:p>
    <w:p>
      <w:pPr>
        <w:pStyle w:val="41"/>
        <w:numPr>
          <w:ilvl w:val="1"/>
          <w:numId w:val="113"/>
        </w:numPr>
        <w:spacing w:line="360" w:lineRule="auto"/>
        <w:ind w:firstLine="424" w:firstLineChars="202"/>
        <w:rPr>
          <w:rFonts w:ascii="宋体" w:hAnsi="宋体"/>
          <w:szCs w:val="21"/>
        </w:rPr>
      </w:pPr>
      <w:r>
        <w:rPr>
          <w:rFonts w:hint="eastAsia" w:ascii="宋体" w:hAnsi="宋体"/>
          <w:szCs w:val="21"/>
        </w:rPr>
        <w:t>整流变压器室中栅栏安装位置及高度应符合设计文件要求，误差应小于</w:t>
      </w:r>
      <w:r>
        <w:rPr>
          <w:rFonts w:hint="eastAsia" w:ascii="宋体" w:hAnsi="宋体"/>
          <w:color w:val="000000"/>
          <w:szCs w:val="21"/>
        </w:rPr>
        <w:t>5</w:t>
      </w:r>
      <w:r>
        <w:rPr>
          <w:rFonts w:hint="eastAsia" w:cs="仿宋" w:asciiTheme="minorEastAsia" w:hAnsiTheme="minorEastAsia" w:eastAsiaTheme="minorEastAsia"/>
          <w:color w:val="000000"/>
          <w:spacing w:val="0"/>
          <w:w w:val="15"/>
          <w:kern w:val="0"/>
          <w:szCs w:val="21"/>
          <w:fitText w:val="42" w:id="1430346173"/>
        </w:rPr>
        <w:t xml:space="preserve">　 </w:t>
      </w:r>
      <w:r>
        <w:rPr>
          <w:rFonts w:hint="eastAsia" w:cs="仿宋" w:asciiTheme="minorEastAsia" w:hAnsiTheme="minorEastAsia" w:eastAsiaTheme="minorEastAsia"/>
          <w:color w:val="000000"/>
          <w:spacing w:val="-17"/>
          <w:w w:val="15"/>
          <w:kern w:val="0"/>
          <w:szCs w:val="21"/>
          <w:fitText w:val="42" w:id="1430346173"/>
        </w:rPr>
        <w:t>　</w:t>
      </w:r>
      <w:r>
        <w:rPr>
          <w:rFonts w:hint="eastAsia" w:ascii="宋体" w:hAnsi="宋体"/>
          <w:color w:val="000000"/>
          <w:szCs w:val="21"/>
        </w:rPr>
        <w:t>mm</w:t>
      </w:r>
      <w:r>
        <w:rPr>
          <w:rFonts w:hint="eastAsia" w:ascii="宋体" w:hAnsi="宋体"/>
          <w:szCs w:val="21"/>
        </w:rPr>
        <w:t>；</w:t>
      </w:r>
    </w:p>
    <w:p>
      <w:pPr>
        <w:pStyle w:val="41"/>
        <w:numPr>
          <w:ilvl w:val="1"/>
          <w:numId w:val="113"/>
        </w:numPr>
        <w:spacing w:line="360" w:lineRule="auto"/>
        <w:ind w:firstLine="424" w:firstLineChars="202"/>
        <w:rPr>
          <w:rFonts w:ascii="宋体" w:hAnsi="宋体"/>
          <w:szCs w:val="21"/>
        </w:rPr>
      </w:pPr>
      <w:r>
        <w:rPr>
          <w:rFonts w:hint="eastAsia" w:ascii="宋体" w:hAnsi="宋体"/>
          <w:szCs w:val="21"/>
        </w:rPr>
        <w:t>遮栏及栅栏的门扇应开闭灵活</w:t>
      </w:r>
      <w:r>
        <w:rPr>
          <w:rFonts w:hint="eastAsia" w:ascii="宋体" w:hAnsi="宋体"/>
          <w:color w:val="000000"/>
          <w:szCs w:val="21"/>
        </w:rPr>
        <w:t>；</w:t>
      </w:r>
    </w:p>
    <w:p>
      <w:pPr>
        <w:pStyle w:val="41"/>
        <w:numPr>
          <w:ilvl w:val="1"/>
          <w:numId w:val="113"/>
        </w:numPr>
        <w:spacing w:line="360" w:lineRule="auto"/>
        <w:ind w:firstLine="424" w:firstLineChars="202"/>
        <w:rPr>
          <w:rFonts w:ascii="宋体" w:hAnsi="宋体"/>
          <w:szCs w:val="21"/>
        </w:rPr>
      </w:pPr>
      <w:r>
        <w:rPr>
          <w:rFonts w:hint="eastAsia" w:ascii="宋体" w:hAnsi="宋体"/>
          <w:szCs w:val="21"/>
        </w:rPr>
        <w:t>遮栏及栅栏与带电体的距离应符合现行国家标准</w:t>
      </w:r>
      <w:r>
        <w:rPr>
          <w:rFonts w:hint="eastAsia" w:ascii="宋体" w:hAnsi="宋体"/>
          <w:color w:val="000000"/>
          <w:szCs w:val="21"/>
        </w:rPr>
        <w:t>《电气装置安装工程 母线装置施工及验收规范》GB</w:t>
      </w:r>
      <w:r>
        <w:rPr>
          <w:rFonts w:ascii="宋体" w:hAnsi="宋体"/>
          <w:color w:val="000000"/>
          <w:szCs w:val="21"/>
        </w:rPr>
        <w:t xml:space="preserve"> </w:t>
      </w:r>
      <w:r>
        <w:rPr>
          <w:rFonts w:hint="eastAsia" w:ascii="宋体" w:hAnsi="宋体"/>
          <w:color w:val="000000"/>
          <w:szCs w:val="21"/>
        </w:rPr>
        <w:t>50149-2010</w:t>
      </w:r>
      <w:r>
        <w:rPr>
          <w:rFonts w:hint="eastAsia" w:ascii="宋体" w:hAnsi="宋体"/>
          <w:szCs w:val="21"/>
        </w:rPr>
        <w:t>中室内配电装置最小安全净距的规定；</w:t>
      </w:r>
    </w:p>
    <w:p>
      <w:pPr>
        <w:pStyle w:val="41"/>
        <w:numPr>
          <w:ilvl w:val="1"/>
          <w:numId w:val="113"/>
        </w:numPr>
        <w:spacing w:line="360" w:lineRule="auto"/>
        <w:ind w:firstLine="424" w:firstLineChars="202"/>
        <w:rPr>
          <w:rFonts w:ascii="宋体" w:hAnsi="宋体"/>
          <w:szCs w:val="21"/>
        </w:rPr>
      </w:pPr>
      <w:r>
        <w:rPr>
          <w:rFonts w:hint="eastAsia" w:ascii="宋体" w:hAnsi="宋体"/>
          <w:szCs w:val="21"/>
        </w:rPr>
        <w:t>遮栏或栅栏的接地连接应可靠，可开启的门扇与整体结构间应用软铜绞线可靠连接；不应将遮栏或栅栏的接地线与二次回路的接地体连接。</w:t>
      </w:r>
    </w:p>
    <w:p>
      <w:pPr>
        <w:pStyle w:val="41"/>
        <w:spacing w:line="360" w:lineRule="auto"/>
        <w:rPr>
          <w:rFonts w:ascii="宋体" w:hAnsi="宋体"/>
          <w:szCs w:val="21"/>
        </w:rPr>
      </w:pPr>
      <w:r>
        <w:rPr>
          <w:rFonts w:hint="eastAsia" w:ascii="宋体" w:hAnsi="宋体"/>
          <w:szCs w:val="21"/>
        </w:rPr>
        <w:t>检验数量：全部检验。</w:t>
      </w:r>
    </w:p>
    <w:p>
      <w:pPr>
        <w:pStyle w:val="41"/>
        <w:spacing w:line="360" w:lineRule="auto"/>
        <w:rPr>
          <w:rFonts w:ascii="宋体" w:hAnsi="宋体"/>
          <w:szCs w:val="21"/>
        </w:rPr>
      </w:pPr>
      <w:r>
        <w:rPr>
          <w:rFonts w:hint="eastAsia" w:ascii="宋体" w:hAnsi="宋体"/>
          <w:szCs w:val="21"/>
        </w:rPr>
        <w:t>检验方法：观察检查，仪表测量检查。</w:t>
      </w:r>
    </w:p>
    <w:p>
      <w:pPr>
        <w:pStyle w:val="41"/>
        <w:numPr>
          <w:ilvl w:val="0"/>
          <w:numId w:val="106"/>
        </w:numPr>
        <w:spacing w:line="360" w:lineRule="auto"/>
        <w:ind w:left="0" w:firstLine="0" w:firstLineChars="0"/>
        <w:rPr>
          <w:rFonts w:ascii="宋体" w:hAnsi="宋体"/>
          <w:szCs w:val="21"/>
        </w:rPr>
      </w:pPr>
      <w:r>
        <w:rPr>
          <w:rFonts w:hint="eastAsia" w:ascii="宋体" w:hAnsi="宋体"/>
          <w:szCs w:val="21"/>
        </w:rPr>
        <w:t>当配电变压器与</w:t>
      </w:r>
      <w:r>
        <w:rPr>
          <w:rFonts w:hint="eastAsia" w:ascii="宋体" w:hAnsi="宋体"/>
          <w:color w:val="000000"/>
          <w:szCs w:val="21"/>
        </w:rPr>
        <w:t>400 V</w:t>
      </w:r>
      <w:r>
        <w:rPr>
          <w:rFonts w:hint="eastAsia" w:ascii="宋体" w:hAnsi="宋体"/>
          <w:szCs w:val="21"/>
        </w:rPr>
        <w:t>开关柜同列安装时，接口宜采用母线侧出方式，且应通过软母线过渡连接。</w:t>
      </w:r>
    </w:p>
    <w:p>
      <w:pPr>
        <w:pStyle w:val="41"/>
        <w:spacing w:line="360" w:lineRule="auto"/>
        <w:rPr>
          <w:rFonts w:ascii="宋体" w:hAnsi="宋体"/>
          <w:szCs w:val="21"/>
        </w:rPr>
      </w:pPr>
      <w:r>
        <w:rPr>
          <w:rFonts w:hint="eastAsia" w:ascii="宋体" w:hAnsi="宋体"/>
          <w:szCs w:val="21"/>
        </w:rPr>
        <w:t>检验数量：全部检查。</w:t>
      </w:r>
    </w:p>
    <w:p>
      <w:pPr>
        <w:pStyle w:val="41"/>
        <w:spacing w:line="360" w:lineRule="auto"/>
        <w:rPr>
          <w:rFonts w:ascii="宋体" w:hAnsi="宋体"/>
          <w:szCs w:val="21"/>
        </w:rPr>
      </w:pPr>
      <w:r>
        <w:rPr>
          <w:rFonts w:hint="eastAsia" w:ascii="宋体" w:hAnsi="宋体"/>
          <w:szCs w:val="21"/>
        </w:rPr>
        <w:t>检验方法：观察检查。</w:t>
      </w:r>
    </w:p>
    <w:p>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150" w:name="_Toc137216246"/>
      <w:bookmarkStart w:id="151" w:name="_Toc136869087"/>
      <w:bookmarkStart w:id="152" w:name="_Toc136868052"/>
      <w:r>
        <w:rPr>
          <w:rFonts w:hint="eastAsia" w:asciiTheme="minorEastAsia" w:hAnsiTheme="minorEastAsia" w:eastAsiaTheme="minorEastAsia"/>
          <w:sz w:val="24"/>
          <w:szCs w:val="24"/>
        </w:rPr>
        <w:t>6</w:t>
      </w:r>
      <w:r>
        <w:rPr>
          <w:rFonts w:asciiTheme="minorEastAsia" w:hAnsiTheme="minorEastAsia" w:eastAsiaTheme="minorEastAsia"/>
          <w:sz w:val="24"/>
          <w:szCs w:val="24"/>
        </w:rPr>
        <w:t>.3 消防设备安装</w:t>
      </w:r>
      <w:bookmarkEnd w:id="150"/>
      <w:bookmarkEnd w:id="151"/>
      <w:bookmarkEnd w:id="152"/>
    </w:p>
    <w:p>
      <w:pPr>
        <w:pStyle w:val="4"/>
        <w:spacing w:before="120" w:beforeLines="50" w:after="120" w:afterLines="50"/>
        <w:rPr>
          <w:rFonts w:asciiTheme="minorEastAsia" w:hAnsiTheme="minorEastAsia" w:eastAsiaTheme="minorEastAsia"/>
          <w:sz w:val="21"/>
          <w:szCs w:val="21"/>
        </w:rPr>
      </w:pPr>
      <w:r>
        <w:t>I</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主控项目</w:t>
      </w:r>
    </w:p>
    <w:p>
      <w:pPr>
        <w:pStyle w:val="41"/>
        <w:numPr>
          <w:ilvl w:val="0"/>
          <w:numId w:val="114"/>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控制与显示类设备应与消防电源、备用电源直接连接，不应使用电源插头。主电源应设置明显的永久性标识。</w:t>
      </w:r>
    </w:p>
    <w:p>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全数检查</w:t>
      </w:r>
      <w:r>
        <w:rPr>
          <w:rFonts w:asciiTheme="minorEastAsia" w:hAnsiTheme="minorEastAsia" w:eastAsiaTheme="minorEastAsia"/>
          <w:szCs w:val="21"/>
        </w:rPr>
        <w:t>。</w:t>
      </w:r>
    </w:p>
    <w:p>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观察</w:t>
      </w:r>
      <w:r>
        <w:rPr>
          <w:rFonts w:asciiTheme="minorEastAsia" w:hAnsiTheme="minorEastAsia" w:eastAsiaTheme="minorEastAsia"/>
          <w:szCs w:val="21"/>
        </w:rPr>
        <w:t>检查。</w:t>
      </w:r>
    </w:p>
    <w:p>
      <w:pPr>
        <w:pStyle w:val="41"/>
        <w:numPr>
          <w:ilvl w:val="0"/>
          <w:numId w:val="114"/>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电气火灾监控探测器的安装应符合下列规定：</w:t>
      </w:r>
    </w:p>
    <w:p>
      <w:pPr>
        <w:pStyle w:val="41"/>
        <w:numPr>
          <w:ilvl w:val="1"/>
          <w:numId w:val="115"/>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探测器周围应适当留出更换与标定的作业空间；</w:t>
      </w:r>
    </w:p>
    <w:p>
      <w:pPr>
        <w:pStyle w:val="41"/>
        <w:numPr>
          <w:ilvl w:val="1"/>
          <w:numId w:val="115"/>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剩余电流式电气火灾监控探测器负载侧的中性线不应与其他回路共用，且不应重复接地；</w:t>
      </w:r>
    </w:p>
    <w:p>
      <w:pPr>
        <w:pStyle w:val="41"/>
        <w:numPr>
          <w:ilvl w:val="1"/>
          <w:numId w:val="115"/>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测温式电气火灾监控探测器应采用产品配套的固定装置固定在保护对象上。</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全数检查</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观察</w:t>
      </w:r>
      <w:r>
        <w:rPr>
          <w:rFonts w:asciiTheme="minorEastAsia" w:hAnsiTheme="minorEastAsia" w:eastAsiaTheme="minorEastAsia"/>
          <w:szCs w:val="21"/>
        </w:rPr>
        <w:t>检查。</w:t>
      </w:r>
    </w:p>
    <w:p>
      <w:pPr>
        <w:pStyle w:val="41"/>
        <w:numPr>
          <w:ilvl w:val="0"/>
          <w:numId w:val="114"/>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探测器底座的安装应符合下列规定：</w:t>
      </w:r>
    </w:p>
    <w:p>
      <w:pPr>
        <w:pStyle w:val="41"/>
        <w:numPr>
          <w:ilvl w:val="1"/>
          <w:numId w:val="11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应安装牢固，与导线连接应可靠压接或焊接，当采用焊接时，不应使用带腐蚀性的助焊剂；</w:t>
      </w:r>
    </w:p>
    <w:p>
      <w:pPr>
        <w:pStyle w:val="41"/>
        <w:numPr>
          <w:ilvl w:val="1"/>
          <w:numId w:val="11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连接导线应留有不小于</w:t>
      </w:r>
      <w:r>
        <w:rPr>
          <w:rFonts w:hint="eastAsia" w:asciiTheme="minorEastAsia" w:hAnsiTheme="minorEastAsia" w:eastAsiaTheme="minorEastAsia"/>
          <w:color w:val="000000"/>
          <w:szCs w:val="21"/>
        </w:rPr>
        <w:t>200</w:t>
      </w:r>
      <w:r>
        <w:rPr>
          <w:rFonts w:hint="eastAsia" w:cs="仿宋" w:asciiTheme="minorEastAsia" w:hAnsiTheme="minorEastAsia" w:eastAsiaTheme="minorEastAsia"/>
          <w:color w:val="000000"/>
          <w:spacing w:val="0"/>
          <w:w w:val="15"/>
          <w:kern w:val="0"/>
          <w:szCs w:val="21"/>
          <w:fitText w:val="42" w:id="941700881"/>
        </w:rPr>
        <w:t xml:space="preserve">　 </w:t>
      </w:r>
      <w:r>
        <w:rPr>
          <w:rFonts w:hint="eastAsia" w:cs="仿宋" w:asciiTheme="minorEastAsia" w:hAnsiTheme="minorEastAsia" w:eastAsiaTheme="minorEastAsia"/>
          <w:color w:val="000000"/>
          <w:spacing w:val="-17"/>
          <w:w w:val="15"/>
          <w:kern w:val="0"/>
          <w:szCs w:val="21"/>
          <w:fitText w:val="42" w:id="941700881"/>
        </w:rPr>
        <w:t>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的余量，且在其端部应设置明显的永久性标识；</w:t>
      </w:r>
    </w:p>
    <w:p>
      <w:pPr>
        <w:pStyle w:val="41"/>
        <w:numPr>
          <w:ilvl w:val="1"/>
          <w:numId w:val="11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穿线孔宜封堵，安装完毕的探测器底座应采取保护措施。</w:t>
      </w:r>
    </w:p>
    <w:p>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全数检查</w:t>
      </w:r>
      <w:r>
        <w:rPr>
          <w:rFonts w:asciiTheme="minorEastAsia" w:hAnsiTheme="minorEastAsia" w:eastAsiaTheme="minorEastAsia"/>
          <w:szCs w:val="21"/>
        </w:rPr>
        <w:t>。</w:t>
      </w:r>
    </w:p>
    <w:p>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观察和</w:t>
      </w:r>
      <w:r>
        <w:rPr>
          <w:rFonts w:hint="eastAsia" w:asciiTheme="minorEastAsia" w:hAnsiTheme="minorEastAsia" w:eastAsiaTheme="minorEastAsia"/>
          <w:color w:val="000000"/>
          <w:szCs w:val="21"/>
        </w:rPr>
        <w:t>尺量</w:t>
      </w:r>
      <w:r>
        <w:rPr>
          <w:rFonts w:hint="eastAsia" w:asciiTheme="minorEastAsia" w:hAnsiTheme="minorEastAsia" w:eastAsiaTheme="minorEastAsia"/>
          <w:szCs w:val="21"/>
        </w:rPr>
        <w:t>检查</w:t>
      </w:r>
      <w:r>
        <w:rPr>
          <w:rFonts w:asciiTheme="minorEastAsia" w:hAnsiTheme="minorEastAsia" w:eastAsiaTheme="minorEastAsia"/>
          <w:szCs w:val="21"/>
        </w:rPr>
        <w:t>。</w:t>
      </w:r>
    </w:p>
    <w:p>
      <w:pPr>
        <w:pStyle w:val="41"/>
        <w:numPr>
          <w:ilvl w:val="0"/>
          <w:numId w:val="114"/>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手动火灾报警按钮、消火栓按钮、防火卷帘手动控制装置、气体灭火系统手动与自动控制转换装置、气体灭火系统现场启动和停止按钮的安装，应符合下列规定：</w:t>
      </w:r>
    </w:p>
    <w:p>
      <w:pPr>
        <w:pStyle w:val="41"/>
        <w:numPr>
          <w:ilvl w:val="1"/>
          <w:numId w:val="117"/>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手动火灾报警按钮、防火卷帘手动控制装置、气体灭火系统手动与自动控制转换装置、气体灭火系统现场启动和停止按钮应设置在明显和便于操作的部位，其底边距地（楼）面的高度宜为</w:t>
      </w:r>
      <w:r>
        <w:rPr>
          <w:rFonts w:hint="eastAsia" w:asciiTheme="minorEastAsia" w:hAnsiTheme="minorEastAsia" w:eastAsiaTheme="minorEastAsia"/>
          <w:color w:val="000000"/>
          <w:szCs w:val="21"/>
        </w:rPr>
        <w:t>1.3</w:t>
      </w:r>
      <w:r>
        <w:rPr>
          <w:rFonts w:hint="eastAsia" w:cs="仿宋" w:asciiTheme="minorEastAsia" w:hAnsiTheme="minorEastAsia" w:eastAsiaTheme="minorEastAsia"/>
          <w:color w:val="000000"/>
          <w:spacing w:val="0"/>
          <w:w w:val="15"/>
          <w:kern w:val="0"/>
          <w:szCs w:val="21"/>
          <w:fitText w:val="42" w:id="1113859169"/>
        </w:rPr>
        <w:t xml:space="preserve">　 </w:t>
      </w:r>
      <w:r>
        <w:rPr>
          <w:rFonts w:hint="eastAsia" w:cs="仿宋" w:asciiTheme="minorEastAsia" w:hAnsiTheme="minorEastAsia" w:eastAsiaTheme="minorEastAsia"/>
          <w:color w:val="000000"/>
          <w:spacing w:val="-17"/>
          <w:w w:val="15"/>
          <w:kern w:val="0"/>
          <w:szCs w:val="21"/>
          <w:fitText w:val="42" w:id="1113859169"/>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1.5</w:t>
      </w:r>
      <w:r>
        <w:rPr>
          <w:rFonts w:hint="eastAsia" w:cs="仿宋" w:asciiTheme="minorEastAsia" w:hAnsiTheme="minorEastAsia" w:eastAsiaTheme="minorEastAsia"/>
          <w:color w:val="000000"/>
          <w:spacing w:val="0"/>
          <w:w w:val="15"/>
          <w:kern w:val="0"/>
          <w:szCs w:val="21"/>
          <w:fitText w:val="42" w:id="1187450823"/>
        </w:rPr>
        <w:t xml:space="preserve">　 </w:t>
      </w:r>
      <w:r>
        <w:rPr>
          <w:rFonts w:hint="eastAsia" w:cs="仿宋" w:asciiTheme="minorEastAsia" w:hAnsiTheme="minorEastAsia" w:eastAsiaTheme="minorEastAsia"/>
          <w:color w:val="000000"/>
          <w:spacing w:val="-17"/>
          <w:w w:val="15"/>
          <w:kern w:val="0"/>
          <w:szCs w:val="21"/>
          <w:fitText w:val="42" w:id="1187450823"/>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，且应设置明显的永久性标识，消火栓按钮应设置在消火栓箱内，疏散通道设置的防火卷帘两侧均应设置手动控制装置；</w:t>
      </w:r>
    </w:p>
    <w:p>
      <w:pPr>
        <w:pStyle w:val="41"/>
        <w:numPr>
          <w:ilvl w:val="1"/>
          <w:numId w:val="117"/>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应安装牢固，不应倾斜；</w:t>
      </w:r>
    </w:p>
    <w:p>
      <w:pPr>
        <w:pStyle w:val="41"/>
        <w:numPr>
          <w:ilvl w:val="1"/>
          <w:numId w:val="117"/>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连接导线应留有不小于</w:t>
      </w:r>
      <w:r>
        <w:rPr>
          <w:rFonts w:hint="eastAsia" w:asciiTheme="minorEastAsia" w:hAnsiTheme="minorEastAsia" w:eastAsiaTheme="minorEastAsia"/>
          <w:color w:val="000000"/>
          <w:szCs w:val="21"/>
        </w:rPr>
        <w:t>200</w:t>
      </w:r>
      <w:r>
        <w:rPr>
          <w:rFonts w:hint="eastAsia" w:cs="仿宋" w:asciiTheme="minorEastAsia" w:hAnsiTheme="minorEastAsia" w:eastAsiaTheme="minorEastAsia"/>
          <w:color w:val="000000"/>
          <w:spacing w:val="0"/>
          <w:w w:val="15"/>
          <w:kern w:val="0"/>
          <w:szCs w:val="21"/>
          <w:fitText w:val="42" w:id="1617891465"/>
        </w:rPr>
        <w:t xml:space="preserve">　 </w:t>
      </w:r>
      <w:r>
        <w:rPr>
          <w:rFonts w:hint="eastAsia" w:cs="仿宋" w:asciiTheme="minorEastAsia" w:hAnsiTheme="minorEastAsia" w:eastAsiaTheme="minorEastAsia"/>
          <w:color w:val="000000"/>
          <w:spacing w:val="-17"/>
          <w:w w:val="15"/>
          <w:kern w:val="0"/>
          <w:szCs w:val="21"/>
          <w:fitText w:val="42" w:id="1617891465"/>
        </w:rPr>
        <w:t>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的余量，且在其端部应设置明显的永久性标识。</w:t>
      </w:r>
    </w:p>
    <w:p>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全数检查</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施工中观察</w:t>
      </w:r>
      <w:r>
        <w:rPr>
          <w:rFonts w:asciiTheme="minorEastAsia" w:hAnsiTheme="minorEastAsia" w:eastAsiaTheme="minorEastAsia"/>
          <w:szCs w:val="21"/>
        </w:rPr>
        <w:t>检查。</w:t>
      </w:r>
    </w:p>
    <w:p>
      <w:pPr>
        <w:pStyle w:val="4"/>
        <w:spacing w:before="120" w:beforeLines="50" w:after="120" w:afterLines="50"/>
        <w:rPr>
          <w:rFonts w:asciiTheme="minorEastAsia" w:hAnsiTheme="minorEastAsia" w:eastAsiaTheme="minorEastAsia"/>
          <w:sz w:val="21"/>
          <w:szCs w:val="21"/>
        </w:rPr>
      </w:pPr>
      <w:r>
        <w:t>Ⅱ</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一般项目</w:t>
      </w:r>
    </w:p>
    <w:p>
      <w:pPr>
        <w:pStyle w:val="41"/>
        <w:numPr>
          <w:ilvl w:val="0"/>
          <w:numId w:val="114"/>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火灾报警控制器、消防联动控制器、火灾显示盘、控制中心监控设备、家用火灾报警控制器、消防电话总机、可燃气体报警控制器、电气火灾监控设备、防火门监控器、消防设备电源监控器、消防控制室图形显示装置、传输设备、消防应急广播控制装置等控制与显示类设备的安装应符合下列规定：</w:t>
      </w:r>
    </w:p>
    <w:p>
      <w:pPr>
        <w:pStyle w:val="41"/>
        <w:numPr>
          <w:ilvl w:val="1"/>
          <w:numId w:val="11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应安装牢固，不应倾斜；</w:t>
      </w:r>
    </w:p>
    <w:p>
      <w:pPr>
        <w:pStyle w:val="41"/>
        <w:numPr>
          <w:ilvl w:val="1"/>
          <w:numId w:val="11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安装在轻质墙上时，应采取加固措施；</w:t>
      </w:r>
    </w:p>
    <w:p>
      <w:pPr>
        <w:pStyle w:val="41"/>
        <w:numPr>
          <w:ilvl w:val="1"/>
          <w:numId w:val="11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落地安装时，其底边宜高出地（楼）面</w:t>
      </w:r>
      <w:r>
        <w:rPr>
          <w:rFonts w:hint="eastAsia" w:asciiTheme="minorEastAsia" w:hAnsiTheme="minorEastAsia" w:eastAsiaTheme="minorEastAsia"/>
          <w:color w:val="000000"/>
          <w:szCs w:val="21"/>
        </w:rPr>
        <w:t>150</w:t>
      </w:r>
      <w:r>
        <w:rPr>
          <w:rFonts w:hint="eastAsia" w:cs="仿宋" w:asciiTheme="minorEastAsia" w:hAnsiTheme="minorEastAsia" w:eastAsiaTheme="minorEastAsia"/>
          <w:color w:val="000000"/>
          <w:spacing w:val="0"/>
          <w:w w:val="15"/>
          <w:kern w:val="0"/>
          <w:szCs w:val="21"/>
          <w:fitText w:val="42" w:id="1654456416"/>
        </w:rPr>
        <w:t xml:space="preserve">　 </w:t>
      </w:r>
      <w:r>
        <w:rPr>
          <w:rFonts w:hint="eastAsia" w:cs="仿宋" w:asciiTheme="minorEastAsia" w:hAnsiTheme="minorEastAsia" w:eastAsiaTheme="minorEastAsia"/>
          <w:color w:val="000000"/>
          <w:spacing w:val="-17"/>
          <w:w w:val="15"/>
          <w:kern w:val="0"/>
          <w:szCs w:val="21"/>
          <w:fitText w:val="42" w:id="1654456416"/>
        </w:rPr>
        <w:t>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200</w:t>
      </w:r>
      <w:r>
        <w:rPr>
          <w:rFonts w:hint="eastAsia" w:cs="仿宋" w:asciiTheme="minorEastAsia" w:hAnsiTheme="minorEastAsia" w:eastAsiaTheme="minorEastAsia"/>
          <w:color w:val="000000"/>
          <w:spacing w:val="0"/>
          <w:w w:val="15"/>
          <w:kern w:val="0"/>
          <w:szCs w:val="21"/>
          <w:fitText w:val="42" w:id="2139561963"/>
        </w:rPr>
        <w:t xml:space="preserve">　 </w:t>
      </w:r>
      <w:r>
        <w:rPr>
          <w:rFonts w:hint="eastAsia" w:cs="仿宋" w:asciiTheme="minorEastAsia" w:hAnsiTheme="minorEastAsia" w:eastAsiaTheme="minorEastAsia"/>
          <w:color w:val="000000"/>
          <w:spacing w:val="-17"/>
          <w:w w:val="15"/>
          <w:kern w:val="0"/>
          <w:szCs w:val="21"/>
          <w:fitText w:val="42" w:id="2139561963"/>
        </w:rPr>
        <w:t>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w:t>
      </w:r>
    </w:p>
    <w:p>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全数检查</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观察</w:t>
      </w:r>
      <w:r>
        <w:rPr>
          <w:rFonts w:asciiTheme="minorEastAsia" w:hAnsiTheme="minorEastAsia" w:eastAsiaTheme="minorEastAsia"/>
          <w:szCs w:val="21"/>
        </w:rPr>
        <w:t>检查。</w:t>
      </w:r>
    </w:p>
    <w:p>
      <w:pPr>
        <w:pStyle w:val="41"/>
        <w:numPr>
          <w:ilvl w:val="0"/>
          <w:numId w:val="114"/>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控制与显示类设备的引入线缆应符合下列规定：</w:t>
      </w:r>
    </w:p>
    <w:p>
      <w:pPr>
        <w:pStyle w:val="41"/>
        <w:numPr>
          <w:ilvl w:val="1"/>
          <w:numId w:val="11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配线应整齐，不宜交叉，并应固定牢靠；</w:t>
      </w:r>
    </w:p>
    <w:p>
      <w:pPr>
        <w:pStyle w:val="41"/>
        <w:numPr>
          <w:ilvl w:val="1"/>
          <w:numId w:val="11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线缆芯线的端部均应标明编号，并应与设计文件一致，字迹应清晰且不易褪色：</w:t>
      </w:r>
    </w:p>
    <w:p>
      <w:pPr>
        <w:pStyle w:val="41"/>
        <w:numPr>
          <w:ilvl w:val="1"/>
          <w:numId w:val="11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端子板的每个接线端接线不应超过2根；</w:t>
      </w:r>
    </w:p>
    <w:p>
      <w:pPr>
        <w:pStyle w:val="41"/>
        <w:numPr>
          <w:ilvl w:val="1"/>
          <w:numId w:val="11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线缆应留有不小于</w:t>
      </w:r>
      <w:r>
        <w:rPr>
          <w:rFonts w:hint="eastAsia" w:asciiTheme="minorEastAsia" w:hAnsiTheme="minorEastAsia" w:eastAsiaTheme="minorEastAsia"/>
          <w:color w:val="000000"/>
          <w:szCs w:val="21"/>
        </w:rPr>
        <w:t>200</w:t>
      </w:r>
      <w:r>
        <w:rPr>
          <w:rFonts w:hint="eastAsia" w:cs="仿宋" w:asciiTheme="minorEastAsia" w:hAnsiTheme="minorEastAsia" w:eastAsiaTheme="minorEastAsia"/>
          <w:color w:val="000000"/>
          <w:spacing w:val="0"/>
          <w:w w:val="15"/>
          <w:kern w:val="0"/>
          <w:szCs w:val="21"/>
          <w:fitText w:val="42" w:id="1854495298"/>
        </w:rPr>
        <w:t xml:space="preserve">　 </w:t>
      </w:r>
      <w:r>
        <w:rPr>
          <w:rFonts w:hint="eastAsia" w:cs="仿宋" w:asciiTheme="minorEastAsia" w:hAnsiTheme="minorEastAsia" w:eastAsiaTheme="minorEastAsia"/>
          <w:color w:val="000000"/>
          <w:spacing w:val="-17"/>
          <w:w w:val="15"/>
          <w:kern w:val="0"/>
          <w:szCs w:val="21"/>
          <w:fitText w:val="42" w:id="1854495298"/>
        </w:rPr>
        <w:t>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的余量；</w:t>
      </w:r>
    </w:p>
    <w:p>
      <w:pPr>
        <w:pStyle w:val="41"/>
        <w:numPr>
          <w:ilvl w:val="1"/>
          <w:numId w:val="11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线缆应绑扎成束；</w:t>
      </w:r>
    </w:p>
    <w:p>
      <w:pPr>
        <w:pStyle w:val="41"/>
        <w:numPr>
          <w:ilvl w:val="1"/>
          <w:numId w:val="11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线缆穿管、槽盒后，应将管口、槽口封堵。</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全数检查</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观察</w:t>
      </w:r>
      <w:r>
        <w:rPr>
          <w:rFonts w:asciiTheme="minorEastAsia" w:hAnsiTheme="minorEastAsia" w:eastAsiaTheme="minorEastAsia"/>
          <w:szCs w:val="21"/>
        </w:rPr>
        <w:t>检查。</w:t>
      </w:r>
    </w:p>
    <w:p>
      <w:pPr>
        <w:pStyle w:val="41"/>
        <w:numPr>
          <w:ilvl w:val="0"/>
          <w:numId w:val="114"/>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控制与显示类设备的接地应牢固，并应设置明显的永久性标识。</w:t>
      </w:r>
    </w:p>
    <w:p>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全数检查</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观察</w:t>
      </w:r>
      <w:r>
        <w:rPr>
          <w:rFonts w:asciiTheme="minorEastAsia" w:hAnsiTheme="minorEastAsia" w:eastAsiaTheme="minorEastAsia"/>
          <w:szCs w:val="21"/>
        </w:rPr>
        <w:t>检查。</w:t>
      </w:r>
    </w:p>
    <w:p>
      <w:pPr>
        <w:pStyle w:val="41"/>
        <w:numPr>
          <w:ilvl w:val="0"/>
          <w:numId w:val="114"/>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线型感温火灾探测器的安装应符合下列规定：</w:t>
      </w:r>
    </w:p>
    <w:p>
      <w:pPr>
        <w:pStyle w:val="41"/>
        <w:numPr>
          <w:ilvl w:val="1"/>
          <w:numId w:val="12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敷设在顶棚下方的线型差温火灾探测器至顶棚距离宜为</w:t>
      </w:r>
      <w:r>
        <w:rPr>
          <w:rFonts w:hint="eastAsia" w:asciiTheme="minorEastAsia" w:hAnsiTheme="minorEastAsia" w:eastAsiaTheme="minorEastAsia"/>
          <w:color w:val="000000"/>
          <w:szCs w:val="21"/>
        </w:rPr>
        <w:t>0.1</w:t>
      </w:r>
      <w:r>
        <w:rPr>
          <w:rFonts w:hint="eastAsia" w:cs="仿宋" w:asciiTheme="minorEastAsia" w:hAnsiTheme="minorEastAsia" w:eastAsiaTheme="minorEastAsia"/>
          <w:color w:val="000000"/>
          <w:spacing w:val="0"/>
          <w:w w:val="15"/>
          <w:kern w:val="0"/>
          <w:szCs w:val="21"/>
          <w:fitText w:val="42" w:id="158882357"/>
        </w:rPr>
        <w:t xml:space="preserve">　 </w:t>
      </w:r>
      <w:r>
        <w:rPr>
          <w:rFonts w:hint="eastAsia" w:cs="仿宋" w:asciiTheme="minorEastAsia" w:hAnsiTheme="minorEastAsia" w:eastAsiaTheme="minorEastAsia"/>
          <w:color w:val="000000"/>
          <w:spacing w:val="-17"/>
          <w:w w:val="15"/>
          <w:kern w:val="0"/>
          <w:szCs w:val="21"/>
          <w:fitText w:val="42" w:id="158882357"/>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，相邻探测器之间的水平距离不宜大于</w:t>
      </w:r>
      <w:r>
        <w:rPr>
          <w:rFonts w:hint="eastAsia" w:asciiTheme="minorEastAsia" w:hAnsiTheme="minorEastAsia" w:eastAsiaTheme="minorEastAsia"/>
          <w:color w:val="000000"/>
          <w:szCs w:val="21"/>
        </w:rPr>
        <w:t>5</w:t>
      </w:r>
      <w:r>
        <w:rPr>
          <w:rFonts w:hint="eastAsia" w:cs="仿宋" w:asciiTheme="minorEastAsia" w:hAnsiTheme="minorEastAsia" w:eastAsiaTheme="minorEastAsia"/>
          <w:color w:val="000000"/>
          <w:spacing w:val="0"/>
          <w:w w:val="15"/>
          <w:kern w:val="0"/>
          <w:szCs w:val="21"/>
          <w:fitText w:val="42" w:id="284632845"/>
        </w:rPr>
        <w:t xml:space="preserve">　 </w:t>
      </w:r>
      <w:r>
        <w:rPr>
          <w:rFonts w:hint="eastAsia" w:cs="仿宋" w:asciiTheme="minorEastAsia" w:hAnsiTheme="minorEastAsia" w:eastAsiaTheme="minorEastAsia"/>
          <w:color w:val="000000"/>
          <w:spacing w:val="-17"/>
          <w:w w:val="15"/>
          <w:kern w:val="0"/>
          <w:szCs w:val="21"/>
          <w:fitText w:val="42" w:id="284632845"/>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，探测器至墙壁距离宜为</w:t>
      </w:r>
      <w:r>
        <w:rPr>
          <w:rFonts w:hint="eastAsia" w:asciiTheme="minorEastAsia" w:hAnsiTheme="minorEastAsia" w:eastAsiaTheme="minorEastAsia"/>
          <w:color w:val="000000"/>
          <w:szCs w:val="21"/>
        </w:rPr>
        <w:t>1.0</w:t>
      </w:r>
      <w:r>
        <w:rPr>
          <w:rFonts w:hint="eastAsia" w:cs="仿宋" w:asciiTheme="minorEastAsia" w:hAnsiTheme="minorEastAsia" w:eastAsiaTheme="minorEastAsia"/>
          <w:color w:val="000000"/>
          <w:spacing w:val="0"/>
          <w:w w:val="15"/>
          <w:kern w:val="0"/>
          <w:szCs w:val="21"/>
          <w:fitText w:val="42" w:id="1286880984"/>
        </w:rPr>
        <w:t xml:space="preserve">　 </w:t>
      </w:r>
      <w:r>
        <w:rPr>
          <w:rFonts w:hint="eastAsia" w:cs="仿宋" w:asciiTheme="minorEastAsia" w:hAnsiTheme="minorEastAsia" w:eastAsiaTheme="minorEastAsia"/>
          <w:color w:val="000000"/>
          <w:spacing w:val="-17"/>
          <w:w w:val="15"/>
          <w:kern w:val="0"/>
          <w:szCs w:val="21"/>
          <w:fitText w:val="42" w:id="1286880984"/>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1.5</w:t>
      </w:r>
      <w:r>
        <w:rPr>
          <w:rFonts w:hint="eastAsia" w:cs="仿宋" w:asciiTheme="minorEastAsia" w:hAnsiTheme="minorEastAsia" w:eastAsiaTheme="minorEastAsia"/>
          <w:color w:val="000000"/>
          <w:spacing w:val="0"/>
          <w:w w:val="15"/>
          <w:kern w:val="0"/>
          <w:szCs w:val="21"/>
          <w:fitText w:val="42" w:id="164395695"/>
        </w:rPr>
        <w:t xml:space="preserve">　 </w:t>
      </w:r>
      <w:r>
        <w:rPr>
          <w:rFonts w:hint="eastAsia" w:cs="仿宋" w:asciiTheme="minorEastAsia" w:hAnsiTheme="minorEastAsia" w:eastAsiaTheme="minorEastAsia"/>
          <w:color w:val="000000"/>
          <w:spacing w:val="-17"/>
          <w:w w:val="15"/>
          <w:kern w:val="0"/>
          <w:szCs w:val="21"/>
          <w:fitText w:val="42" w:id="164395695"/>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w:t>
      </w:r>
    </w:p>
    <w:p>
      <w:pPr>
        <w:pStyle w:val="41"/>
        <w:numPr>
          <w:ilvl w:val="1"/>
          <w:numId w:val="12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在电缆桥架、变压器等设备上安装时，宜采用接触式布置，在各种皮带输送装置上敷设时，宜敷设在装置的过热点附近；</w:t>
      </w:r>
    </w:p>
    <w:p>
      <w:pPr>
        <w:pStyle w:val="41"/>
        <w:numPr>
          <w:ilvl w:val="1"/>
          <w:numId w:val="12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探测器敏感部件应采用产品配套的固定装置固定，固定装置的间距不宜大于</w:t>
      </w:r>
      <w:r>
        <w:rPr>
          <w:rFonts w:hint="eastAsia" w:asciiTheme="minorEastAsia" w:hAnsiTheme="minorEastAsia" w:eastAsiaTheme="minorEastAsia"/>
          <w:color w:val="000000"/>
          <w:szCs w:val="21"/>
        </w:rPr>
        <w:t>2</w:t>
      </w:r>
      <w:r>
        <w:rPr>
          <w:rFonts w:hint="eastAsia" w:cs="仿宋" w:asciiTheme="minorEastAsia" w:hAnsiTheme="minorEastAsia" w:eastAsiaTheme="minorEastAsia"/>
          <w:color w:val="000000"/>
          <w:spacing w:val="0"/>
          <w:w w:val="15"/>
          <w:kern w:val="0"/>
          <w:szCs w:val="21"/>
          <w:fitText w:val="42" w:id="1479700699"/>
        </w:rPr>
        <w:t xml:space="preserve">　 </w:t>
      </w:r>
      <w:r>
        <w:rPr>
          <w:rFonts w:hint="eastAsia" w:cs="仿宋" w:asciiTheme="minorEastAsia" w:hAnsiTheme="minorEastAsia" w:eastAsiaTheme="minorEastAsia"/>
          <w:color w:val="000000"/>
          <w:spacing w:val="-17"/>
          <w:w w:val="15"/>
          <w:kern w:val="0"/>
          <w:szCs w:val="21"/>
          <w:fitText w:val="42" w:id="1479700699"/>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w:t>
      </w:r>
    </w:p>
    <w:p>
      <w:pPr>
        <w:pStyle w:val="41"/>
        <w:numPr>
          <w:ilvl w:val="1"/>
          <w:numId w:val="12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缆式线型感温火灾探测器的敏感部件应采用连续无接头方式安装，如确需中间接线，应采用专用接线盒连接，敏感部件安装敷设时应避免重力挤压冲击，不应硬性折弯、扭转，探测器的弯曲半径宜大于</w:t>
      </w:r>
      <w:r>
        <w:rPr>
          <w:rFonts w:hint="eastAsia" w:asciiTheme="minorEastAsia" w:hAnsiTheme="minorEastAsia" w:eastAsiaTheme="minorEastAsia"/>
          <w:color w:val="000000"/>
          <w:szCs w:val="21"/>
        </w:rPr>
        <w:t>0.2</w:t>
      </w:r>
      <w:r>
        <w:rPr>
          <w:rFonts w:hint="eastAsia" w:cs="仿宋" w:asciiTheme="minorEastAsia" w:hAnsiTheme="minorEastAsia" w:eastAsiaTheme="minorEastAsia"/>
          <w:color w:val="000000"/>
          <w:spacing w:val="0"/>
          <w:w w:val="15"/>
          <w:kern w:val="0"/>
          <w:szCs w:val="21"/>
          <w:fitText w:val="42" w:id="810489725"/>
        </w:rPr>
        <w:t xml:space="preserve">　 </w:t>
      </w:r>
      <w:r>
        <w:rPr>
          <w:rFonts w:hint="eastAsia" w:cs="仿宋" w:asciiTheme="minorEastAsia" w:hAnsiTheme="minorEastAsia" w:eastAsiaTheme="minorEastAsia"/>
          <w:color w:val="000000"/>
          <w:spacing w:val="-17"/>
          <w:w w:val="15"/>
          <w:kern w:val="0"/>
          <w:szCs w:val="21"/>
          <w:fitText w:val="42" w:id="810489725"/>
        </w:rPr>
        <w:t>　</w:t>
      </w:r>
      <w:r>
        <w:rPr>
          <w:rFonts w:hint="eastAsia" w:asciiTheme="minorEastAsia" w:hAnsiTheme="minorEastAsia" w:eastAsiaTheme="minorEastAsia"/>
          <w:color w:val="000000"/>
          <w:szCs w:val="21"/>
        </w:rPr>
        <w:t>m；</w:t>
      </w:r>
    </w:p>
    <w:p>
      <w:pPr>
        <w:pStyle w:val="41"/>
        <w:numPr>
          <w:ilvl w:val="1"/>
          <w:numId w:val="12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分布式线型光纤感温火灾探测器的感温光纤不应打结，光纤弯曲时，弯曲半径应大于</w:t>
      </w:r>
      <w:r>
        <w:rPr>
          <w:rFonts w:hint="eastAsia" w:asciiTheme="minorEastAsia" w:hAnsiTheme="minorEastAsia" w:eastAsiaTheme="minorEastAsia"/>
          <w:color w:val="000000"/>
          <w:szCs w:val="21"/>
        </w:rPr>
        <w:t>50</w:t>
      </w:r>
      <w:r>
        <w:rPr>
          <w:rFonts w:hint="eastAsia" w:cs="仿宋" w:asciiTheme="minorEastAsia" w:hAnsiTheme="minorEastAsia" w:eastAsiaTheme="minorEastAsia"/>
          <w:color w:val="000000"/>
          <w:spacing w:val="0"/>
          <w:w w:val="15"/>
          <w:kern w:val="0"/>
          <w:szCs w:val="21"/>
          <w:fitText w:val="42" w:id="661991108"/>
        </w:rPr>
        <w:t xml:space="preserve">　 </w:t>
      </w:r>
      <w:r>
        <w:rPr>
          <w:rFonts w:hint="eastAsia" w:cs="仿宋" w:asciiTheme="minorEastAsia" w:hAnsiTheme="minorEastAsia" w:eastAsiaTheme="minorEastAsia"/>
          <w:color w:val="000000"/>
          <w:spacing w:val="-17"/>
          <w:w w:val="15"/>
          <w:kern w:val="0"/>
          <w:szCs w:val="21"/>
          <w:fitText w:val="42" w:id="661991108"/>
        </w:rPr>
        <w:t>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，每个光通道配接的感温光纤的始端及末端应各设置不小于</w:t>
      </w:r>
      <w:r>
        <w:rPr>
          <w:rFonts w:hint="eastAsia" w:asciiTheme="minorEastAsia" w:hAnsiTheme="minorEastAsia" w:eastAsiaTheme="minorEastAsia"/>
          <w:color w:val="000000"/>
          <w:szCs w:val="21"/>
        </w:rPr>
        <w:t>8</w:t>
      </w:r>
      <w:r>
        <w:rPr>
          <w:rFonts w:hint="eastAsia" w:cs="仿宋" w:asciiTheme="minorEastAsia" w:hAnsiTheme="minorEastAsia" w:eastAsiaTheme="minorEastAsia"/>
          <w:color w:val="000000"/>
          <w:spacing w:val="0"/>
          <w:w w:val="15"/>
          <w:kern w:val="0"/>
          <w:szCs w:val="21"/>
          <w:fitText w:val="42" w:id="1248555940"/>
        </w:rPr>
        <w:t xml:space="preserve">　 </w:t>
      </w:r>
      <w:r>
        <w:rPr>
          <w:rFonts w:hint="eastAsia" w:cs="仿宋" w:asciiTheme="minorEastAsia" w:hAnsiTheme="minorEastAsia" w:eastAsiaTheme="minorEastAsia"/>
          <w:color w:val="000000"/>
          <w:spacing w:val="-17"/>
          <w:w w:val="15"/>
          <w:kern w:val="0"/>
          <w:szCs w:val="21"/>
          <w:fitText w:val="42" w:id="1248555940"/>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的余量段，感温光纤穿越相邻的报警区域时，两侧应分别设置不小</w:t>
      </w:r>
      <w:r>
        <w:rPr>
          <w:rFonts w:hint="eastAsia"/>
        </w:rPr>
        <w:t>于</w:t>
      </w:r>
      <w:r>
        <w:rPr>
          <w:rFonts w:hint="eastAsia" w:asciiTheme="minorEastAsia" w:hAnsiTheme="minorEastAsia" w:eastAsiaTheme="minorEastAsia"/>
          <w:color w:val="FF0000"/>
          <w:szCs w:val="21"/>
        </w:rPr>
        <w:t>8</w:t>
      </w:r>
      <w:r>
        <w:rPr>
          <w:rFonts w:hint="eastAsia" w:cs="仿宋" w:asciiTheme="minorEastAsia" w:hAnsiTheme="minorEastAsia" w:eastAsiaTheme="minorEastAsia"/>
          <w:color w:val="000000"/>
          <w:spacing w:val="0"/>
          <w:w w:val="15"/>
          <w:kern w:val="0"/>
          <w:szCs w:val="21"/>
          <w:fitText w:val="42" w:id="946302702"/>
        </w:rPr>
        <w:t xml:space="preserve">　 </w:t>
      </w:r>
      <w:r>
        <w:rPr>
          <w:rFonts w:hint="eastAsia" w:cs="仿宋" w:asciiTheme="minorEastAsia" w:hAnsiTheme="minorEastAsia" w:eastAsiaTheme="minorEastAsia"/>
          <w:color w:val="000000"/>
          <w:spacing w:val="-17"/>
          <w:w w:val="15"/>
          <w:kern w:val="0"/>
          <w:szCs w:val="21"/>
          <w:fitText w:val="42" w:id="946302702"/>
        </w:rPr>
        <w:t>　</w:t>
      </w:r>
      <w:r>
        <w:rPr>
          <w:rFonts w:hint="eastAsia" w:asciiTheme="minorEastAsia" w:hAnsiTheme="minorEastAsia" w:eastAsiaTheme="minorEastAsia"/>
          <w:color w:val="FF0000"/>
          <w:szCs w:val="21"/>
        </w:rPr>
        <w:t>m</w:t>
      </w:r>
      <w:r>
        <w:rPr>
          <w:rFonts w:hint="eastAsia" w:asciiTheme="minorEastAsia" w:hAnsiTheme="minorEastAsia" w:eastAsiaTheme="minorEastAsia"/>
          <w:szCs w:val="21"/>
        </w:rPr>
        <w:t>的余量段；</w:t>
      </w:r>
    </w:p>
    <w:p>
      <w:pPr>
        <w:pStyle w:val="41"/>
        <w:numPr>
          <w:ilvl w:val="1"/>
          <w:numId w:val="12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光栅光纤线型感温火灾探测器的信号处理单元安装位置不应受强光直射，光纤光栅感温段的弯曲半径应大于</w:t>
      </w:r>
      <w:r>
        <w:rPr>
          <w:rFonts w:hint="eastAsia" w:asciiTheme="minorEastAsia" w:hAnsiTheme="minorEastAsia" w:eastAsiaTheme="minorEastAsia"/>
          <w:color w:val="000000"/>
          <w:szCs w:val="21"/>
        </w:rPr>
        <w:t>0.3</w:t>
      </w:r>
      <w:r>
        <w:rPr>
          <w:rFonts w:hint="eastAsia" w:cs="仿宋" w:asciiTheme="minorEastAsia" w:hAnsiTheme="minorEastAsia" w:eastAsiaTheme="minorEastAsia"/>
          <w:color w:val="000000"/>
          <w:spacing w:val="0"/>
          <w:w w:val="15"/>
          <w:kern w:val="0"/>
          <w:szCs w:val="21"/>
          <w:fitText w:val="42" w:id="1190338901"/>
        </w:rPr>
        <w:t xml:space="preserve">　 </w:t>
      </w:r>
      <w:r>
        <w:rPr>
          <w:rFonts w:hint="eastAsia" w:cs="仿宋" w:asciiTheme="minorEastAsia" w:hAnsiTheme="minorEastAsia" w:eastAsiaTheme="minorEastAsia"/>
          <w:color w:val="000000"/>
          <w:spacing w:val="-17"/>
          <w:w w:val="15"/>
          <w:kern w:val="0"/>
          <w:szCs w:val="21"/>
          <w:fitText w:val="42" w:id="1190338901"/>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w:t>
      </w:r>
    </w:p>
    <w:p>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全数检查</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观察和</w:t>
      </w:r>
      <w:r>
        <w:rPr>
          <w:rFonts w:hint="eastAsia" w:asciiTheme="minorEastAsia" w:hAnsiTheme="minorEastAsia" w:eastAsiaTheme="minorEastAsia"/>
          <w:color w:val="000000"/>
          <w:szCs w:val="21"/>
        </w:rPr>
        <w:t>尺量</w:t>
      </w:r>
      <w:r>
        <w:rPr>
          <w:rFonts w:hint="eastAsia" w:asciiTheme="minorEastAsia" w:hAnsiTheme="minorEastAsia" w:eastAsiaTheme="minorEastAsia"/>
          <w:szCs w:val="21"/>
        </w:rPr>
        <w:t>检查</w:t>
      </w:r>
      <w:r>
        <w:rPr>
          <w:rFonts w:asciiTheme="minorEastAsia" w:hAnsiTheme="minorEastAsia" w:eastAsiaTheme="minorEastAsia"/>
          <w:szCs w:val="21"/>
        </w:rPr>
        <w:t>。</w:t>
      </w:r>
    </w:p>
    <w:p>
      <w:pPr>
        <w:pStyle w:val="41"/>
        <w:numPr>
          <w:ilvl w:val="0"/>
          <w:numId w:val="114"/>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可燃气体探测器的安装应符合下列规定：</w:t>
      </w:r>
    </w:p>
    <w:p>
      <w:pPr>
        <w:pStyle w:val="41"/>
        <w:numPr>
          <w:ilvl w:val="1"/>
          <w:numId w:val="12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安装位置应根据探测气体密度确定，若其密度小于空气密度，探测器应位于可能出现泄漏点的上方或探测气体的最高可能聚集点上方，若其密度大于或等于空气密度，探测器应位于可能出现泄漏点的下方；</w:t>
      </w:r>
    </w:p>
    <w:p>
      <w:pPr>
        <w:pStyle w:val="41"/>
        <w:numPr>
          <w:ilvl w:val="1"/>
          <w:numId w:val="12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在探测器周围应适当留出更换和标定的空间；</w:t>
      </w:r>
    </w:p>
    <w:p>
      <w:pPr>
        <w:pStyle w:val="41"/>
        <w:numPr>
          <w:ilvl w:val="1"/>
          <w:numId w:val="12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线型可燃气体探测器在安装时，应使发射器和接收器的窗口避免日光直射，且在发射器与接收器之间不应有遮挡物，发射器和接收器的距离不宜大于</w:t>
      </w:r>
      <w:r>
        <w:rPr>
          <w:rFonts w:hint="eastAsia" w:asciiTheme="minorEastAsia" w:hAnsiTheme="minorEastAsia" w:eastAsiaTheme="minorEastAsia"/>
          <w:color w:val="000000"/>
          <w:szCs w:val="21"/>
        </w:rPr>
        <w:t>60</w:t>
      </w:r>
      <w:r>
        <w:rPr>
          <w:rFonts w:hint="eastAsia" w:cs="仿宋" w:asciiTheme="minorEastAsia" w:hAnsiTheme="minorEastAsia" w:eastAsiaTheme="minorEastAsia"/>
          <w:color w:val="000000"/>
          <w:spacing w:val="0"/>
          <w:w w:val="15"/>
          <w:kern w:val="0"/>
          <w:szCs w:val="21"/>
          <w:fitText w:val="42" w:id="613482903"/>
        </w:rPr>
        <w:t xml:space="preserve">　 </w:t>
      </w:r>
      <w:r>
        <w:rPr>
          <w:rFonts w:hint="eastAsia" w:cs="仿宋" w:asciiTheme="minorEastAsia" w:hAnsiTheme="minorEastAsia" w:eastAsiaTheme="minorEastAsia"/>
          <w:color w:val="000000"/>
          <w:spacing w:val="-17"/>
          <w:w w:val="15"/>
          <w:kern w:val="0"/>
          <w:szCs w:val="21"/>
          <w:fitText w:val="42" w:id="613482903"/>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，两组探测器之间的轴线距离不应大于</w:t>
      </w:r>
      <w:r>
        <w:rPr>
          <w:rFonts w:hint="eastAsia" w:asciiTheme="minorEastAsia" w:hAnsiTheme="minorEastAsia" w:eastAsiaTheme="minorEastAsia"/>
          <w:color w:val="000000"/>
          <w:szCs w:val="21"/>
        </w:rPr>
        <w:t>14</w:t>
      </w:r>
      <w:r>
        <w:rPr>
          <w:rFonts w:hint="eastAsia" w:cs="仿宋" w:asciiTheme="minorEastAsia" w:hAnsiTheme="minorEastAsia" w:eastAsiaTheme="minorEastAsia"/>
          <w:color w:val="000000"/>
          <w:spacing w:val="0"/>
          <w:w w:val="15"/>
          <w:kern w:val="0"/>
          <w:szCs w:val="21"/>
          <w:fitText w:val="42" w:id="1381979525"/>
        </w:rPr>
        <w:t xml:space="preserve">　 </w:t>
      </w:r>
      <w:r>
        <w:rPr>
          <w:rFonts w:hint="eastAsia" w:cs="仿宋" w:asciiTheme="minorEastAsia" w:hAnsiTheme="minorEastAsia" w:eastAsiaTheme="minorEastAsia"/>
          <w:color w:val="000000"/>
          <w:spacing w:val="-17"/>
          <w:w w:val="15"/>
          <w:kern w:val="0"/>
          <w:szCs w:val="21"/>
          <w:fitText w:val="42" w:id="1381979525"/>
        </w:rPr>
        <w:t>　</w:t>
      </w:r>
      <w:r>
        <w:rPr>
          <w:rFonts w:hint="eastAsia" w:asciiTheme="minorEastAsia" w:hAnsiTheme="minorEastAsia" w:eastAsiaTheme="minorEastAsia"/>
          <w:color w:val="000000"/>
          <w:szCs w:val="21"/>
        </w:rPr>
        <w:t>m。</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全数检查</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观察和</w:t>
      </w:r>
      <w:r>
        <w:rPr>
          <w:rFonts w:hint="eastAsia" w:asciiTheme="minorEastAsia" w:hAnsiTheme="minorEastAsia" w:eastAsiaTheme="minorEastAsia"/>
          <w:color w:val="000000"/>
          <w:szCs w:val="21"/>
        </w:rPr>
        <w:t>尺量</w:t>
      </w:r>
      <w:r>
        <w:rPr>
          <w:rFonts w:hint="eastAsia" w:asciiTheme="minorEastAsia" w:hAnsiTheme="minorEastAsia" w:eastAsiaTheme="minorEastAsia"/>
          <w:szCs w:val="21"/>
        </w:rPr>
        <w:t>检查</w:t>
      </w:r>
      <w:r>
        <w:rPr>
          <w:rFonts w:asciiTheme="minorEastAsia" w:hAnsiTheme="minorEastAsia" w:eastAsiaTheme="minorEastAsia"/>
          <w:szCs w:val="21"/>
        </w:rPr>
        <w:t>。</w:t>
      </w:r>
    </w:p>
    <w:p>
      <w:pPr>
        <w:pStyle w:val="41"/>
        <w:numPr>
          <w:ilvl w:val="0"/>
          <w:numId w:val="114"/>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探测器报警确认灯应朝向便于人员观察的主要入口方向。</w:t>
      </w:r>
    </w:p>
    <w:p>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全数检查</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观察</w:t>
      </w:r>
      <w:r>
        <w:rPr>
          <w:rFonts w:asciiTheme="minorEastAsia" w:hAnsiTheme="minorEastAsia" w:eastAsiaTheme="minorEastAsia"/>
          <w:szCs w:val="21"/>
        </w:rPr>
        <w:t>检查。</w:t>
      </w:r>
    </w:p>
    <w:p>
      <w:pPr>
        <w:pStyle w:val="41"/>
        <w:numPr>
          <w:ilvl w:val="0"/>
          <w:numId w:val="114"/>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探测器在即将调试时方可安装，在调试前应妥善保管并应采取防尘、防潮、防腐蚀措施。</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全数检查</w:t>
      </w:r>
      <w:r>
        <w:rPr>
          <w:rFonts w:asciiTheme="minorEastAsia" w:hAnsiTheme="minorEastAsia" w:eastAsiaTheme="minorEastAsia"/>
          <w:szCs w:val="21"/>
        </w:rPr>
        <w:t>。</w:t>
      </w:r>
    </w:p>
    <w:p>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施工中观察</w:t>
      </w:r>
      <w:r>
        <w:rPr>
          <w:rFonts w:asciiTheme="minorEastAsia" w:hAnsiTheme="minorEastAsia" w:eastAsiaTheme="minorEastAsia"/>
          <w:szCs w:val="21"/>
        </w:rPr>
        <w:t>检查。</w:t>
      </w:r>
    </w:p>
    <w:p>
      <w:pPr>
        <w:pStyle w:val="41"/>
        <w:numPr>
          <w:ilvl w:val="0"/>
          <w:numId w:val="114"/>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模块或模块箱的安装应符合下列规定：</w:t>
      </w:r>
    </w:p>
    <w:p>
      <w:pPr>
        <w:pStyle w:val="41"/>
        <w:numPr>
          <w:ilvl w:val="1"/>
          <w:numId w:val="12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同一报警区域内的模块宜集中安装在金属箱内，不应安装在配电柜、箱或控制柜、箱内；</w:t>
      </w:r>
    </w:p>
    <w:p>
      <w:pPr>
        <w:pStyle w:val="41"/>
        <w:numPr>
          <w:ilvl w:val="1"/>
          <w:numId w:val="12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应独立安装在不燃材料或墙体上，安装牢固，并应采取防潮、防腐蚀等措施；</w:t>
      </w:r>
    </w:p>
    <w:p>
      <w:pPr>
        <w:pStyle w:val="41"/>
        <w:numPr>
          <w:ilvl w:val="1"/>
          <w:numId w:val="12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模块的连接导线应留有不小于</w:t>
      </w:r>
      <w:r>
        <w:rPr>
          <w:rFonts w:hint="eastAsia" w:asciiTheme="minorEastAsia" w:hAnsiTheme="minorEastAsia" w:eastAsiaTheme="minorEastAsia"/>
          <w:color w:val="000000"/>
          <w:szCs w:val="21"/>
        </w:rPr>
        <w:t>200</w:t>
      </w:r>
      <w:r>
        <w:rPr>
          <w:rFonts w:hint="eastAsia" w:cs="仿宋" w:asciiTheme="minorEastAsia" w:hAnsiTheme="minorEastAsia" w:eastAsiaTheme="minorEastAsia"/>
          <w:color w:val="000000"/>
          <w:spacing w:val="0"/>
          <w:w w:val="15"/>
          <w:kern w:val="0"/>
          <w:szCs w:val="21"/>
          <w:fitText w:val="42" w:id="1257385489"/>
        </w:rPr>
        <w:t xml:space="preserve">　 </w:t>
      </w:r>
      <w:r>
        <w:rPr>
          <w:rFonts w:hint="eastAsia" w:cs="仿宋" w:asciiTheme="minorEastAsia" w:hAnsiTheme="minorEastAsia" w:eastAsiaTheme="minorEastAsia"/>
          <w:color w:val="000000"/>
          <w:spacing w:val="-17"/>
          <w:w w:val="15"/>
          <w:kern w:val="0"/>
          <w:szCs w:val="21"/>
          <w:fitText w:val="42" w:id="1257385489"/>
        </w:rPr>
        <w:t>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的余量，其端部应有明显的永久性标识；</w:t>
      </w:r>
    </w:p>
    <w:p>
      <w:pPr>
        <w:pStyle w:val="41"/>
        <w:numPr>
          <w:ilvl w:val="1"/>
          <w:numId w:val="12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模块的终端部件应靠近连接部件安装；</w:t>
      </w:r>
    </w:p>
    <w:p>
      <w:pPr>
        <w:pStyle w:val="41"/>
        <w:numPr>
          <w:ilvl w:val="1"/>
          <w:numId w:val="12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隐蔽安装时在安装处附近应设置检修孔和尺寸不小于</w:t>
      </w:r>
      <w:r>
        <w:rPr>
          <w:rFonts w:hint="eastAsia" w:asciiTheme="minorEastAsia" w:hAnsiTheme="minorEastAsia" w:eastAsiaTheme="minorEastAsia"/>
          <w:color w:val="000000"/>
          <w:szCs w:val="21"/>
        </w:rPr>
        <w:t>100</w:t>
      </w:r>
      <w:r>
        <w:rPr>
          <w:rFonts w:hint="eastAsia" w:cs="仿宋" w:asciiTheme="minorEastAsia" w:hAnsiTheme="minorEastAsia" w:eastAsiaTheme="minorEastAsia"/>
          <w:color w:val="000000"/>
          <w:spacing w:val="0"/>
          <w:w w:val="15"/>
          <w:kern w:val="0"/>
          <w:szCs w:val="21"/>
          <w:fitText w:val="42" w:id="384856769"/>
        </w:rPr>
        <w:t xml:space="preserve">　 </w:t>
      </w:r>
      <w:r>
        <w:rPr>
          <w:rFonts w:hint="eastAsia" w:cs="仿宋" w:asciiTheme="minorEastAsia" w:hAnsiTheme="minorEastAsia" w:eastAsiaTheme="minorEastAsia"/>
          <w:color w:val="000000"/>
          <w:spacing w:val="-17"/>
          <w:w w:val="15"/>
          <w:kern w:val="0"/>
          <w:szCs w:val="21"/>
          <w:fitText w:val="42" w:id="384856769"/>
        </w:rPr>
        <w:t>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100</w:t>
      </w:r>
      <w:r>
        <w:rPr>
          <w:rFonts w:hint="eastAsia" w:cs="仿宋" w:asciiTheme="minorEastAsia" w:hAnsiTheme="minorEastAsia" w:eastAsiaTheme="minorEastAsia"/>
          <w:color w:val="000000"/>
          <w:spacing w:val="0"/>
          <w:w w:val="15"/>
          <w:kern w:val="0"/>
          <w:szCs w:val="21"/>
          <w:fitText w:val="42" w:id="720380964"/>
        </w:rPr>
        <w:t xml:space="preserve">　 </w:t>
      </w:r>
      <w:r>
        <w:rPr>
          <w:rFonts w:hint="eastAsia" w:cs="仿宋" w:asciiTheme="minorEastAsia" w:hAnsiTheme="minorEastAsia" w:eastAsiaTheme="minorEastAsia"/>
          <w:color w:val="000000"/>
          <w:spacing w:val="-17"/>
          <w:w w:val="15"/>
          <w:kern w:val="0"/>
          <w:szCs w:val="21"/>
          <w:fitText w:val="42" w:id="720380964"/>
        </w:rPr>
        <w:t>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的永久性标识。</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全数检查</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观察</w:t>
      </w:r>
      <w:r>
        <w:rPr>
          <w:rFonts w:asciiTheme="minorEastAsia" w:hAnsiTheme="minorEastAsia" w:eastAsiaTheme="minorEastAsia"/>
          <w:szCs w:val="21"/>
        </w:rPr>
        <w:t>检查。</w:t>
      </w:r>
    </w:p>
    <w:p>
      <w:pPr>
        <w:pStyle w:val="41"/>
        <w:numPr>
          <w:ilvl w:val="0"/>
          <w:numId w:val="114"/>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消防电话分机和电话插孔的安装应符合下列规定：</w:t>
      </w:r>
    </w:p>
    <w:p>
      <w:pPr>
        <w:pStyle w:val="41"/>
        <w:numPr>
          <w:ilvl w:val="1"/>
          <w:numId w:val="12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宜安装在明显、便于操作的位置，采用壁挂方式安装时，其底边距地（楼）面的高度宜为</w:t>
      </w:r>
      <w:r>
        <w:rPr>
          <w:rFonts w:hint="eastAsia" w:asciiTheme="minorEastAsia" w:hAnsiTheme="minorEastAsia" w:eastAsiaTheme="minorEastAsia"/>
          <w:color w:val="000000"/>
          <w:szCs w:val="21"/>
        </w:rPr>
        <w:t>1.3</w:t>
      </w:r>
      <w:r>
        <w:rPr>
          <w:rFonts w:hint="eastAsia" w:cs="仿宋" w:asciiTheme="minorEastAsia" w:hAnsiTheme="minorEastAsia" w:eastAsiaTheme="minorEastAsia"/>
          <w:color w:val="000000"/>
          <w:spacing w:val="0"/>
          <w:w w:val="15"/>
          <w:kern w:val="0"/>
          <w:szCs w:val="21"/>
          <w:fitText w:val="42" w:id="128001142"/>
        </w:rPr>
        <w:t xml:space="preserve">　 </w:t>
      </w:r>
      <w:r>
        <w:rPr>
          <w:rFonts w:hint="eastAsia" w:cs="仿宋" w:asciiTheme="minorEastAsia" w:hAnsiTheme="minorEastAsia" w:eastAsiaTheme="minorEastAsia"/>
          <w:color w:val="000000"/>
          <w:spacing w:val="-17"/>
          <w:w w:val="15"/>
          <w:kern w:val="0"/>
          <w:szCs w:val="21"/>
          <w:fitText w:val="42" w:id="128001142"/>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1.5</w:t>
      </w:r>
      <w:r>
        <w:rPr>
          <w:rFonts w:hint="eastAsia" w:cs="仿宋" w:asciiTheme="minorEastAsia" w:hAnsiTheme="minorEastAsia" w:eastAsiaTheme="minorEastAsia"/>
          <w:color w:val="000000"/>
          <w:spacing w:val="0"/>
          <w:w w:val="15"/>
          <w:kern w:val="0"/>
          <w:szCs w:val="21"/>
          <w:fitText w:val="42" w:id="701893927"/>
        </w:rPr>
        <w:t xml:space="preserve">　 </w:t>
      </w:r>
      <w:r>
        <w:rPr>
          <w:rFonts w:hint="eastAsia" w:cs="仿宋" w:asciiTheme="minorEastAsia" w:hAnsiTheme="minorEastAsia" w:eastAsiaTheme="minorEastAsia"/>
          <w:color w:val="000000"/>
          <w:spacing w:val="-17"/>
          <w:w w:val="15"/>
          <w:kern w:val="0"/>
          <w:szCs w:val="21"/>
          <w:fitText w:val="42" w:id="701893927"/>
        </w:rPr>
        <w:t>　</w:t>
      </w:r>
      <w:r>
        <w:rPr>
          <w:rFonts w:hint="eastAsia" w:asciiTheme="minorEastAsia" w:hAnsiTheme="minorEastAsia" w:eastAsiaTheme="minorEastAsia"/>
          <w:color w:val="000000"/>
          <w:szCs w:val="21"/>
        </w:rPr>
        <w:t>m；</w:t>
      </w:r>
    </w:p>
    <w:p>
      <w:pPr>
        <w:pStyle w:val="41"/>
        <w:numPr>
          <w:ilvl w:val="1"/>
          <w:numId w:val="12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避难层中，消防专用电话分机或电话插孔的安装间距不应大于</w:t>
      </w:r>
      <w:r>
        <w:rPr>
          <w:rFonts w:hint="eastAsia" w:asciiTheme="minorEastAsia" w:hAnsiTheme="minorEastAsia" w:eastAsiaTheme="minorEastAsia"/>
          <w:color w:val="000000"/>
          <w:szCs w:val="21"/>
        </w:rPr>
        <w:t>20</w:t>
      </w:r>
      <w:r>
        <w:rPr>
          <w:rFonts w:hint="eastAsia" w:cs="仿宋" w:asciiTheme="minorEastAsia" w:hAnsiTheme="minorEastAsia" w:eastAsiaTheme="minorEastAsia"/>
          <w:color w:val="000000"/>
          <w:spacing w:val="0"/>
          <w:w w:val="15"/>
          <w:kern w:val="0"/>
          <w:szCs w:val="21"/>
          <w:fitText w:val="42" w:id="523248838"/>
        </w:rPr>
        <w:t xml:space="preserve">　 </w:t>
      </w:r>
      <w:r>
        <w:rPr>
          <w:rFonts w:hint="eastAsia" w:cs="仿宋" w:asciiTheme="minorEastAsia" w:hAnsiTheme="minorEastAsia" w:eastAsiaTheme="minorEastAsia"/>
          <w:color w:val="000000"/>
          <w:spacing w:val="-17"/>
          <w:w w:val="15"/>
          <w:kern w:val="0"/>
          <w:szCs w:val="21"/>
          <w:fitText w:val="42" w:id="523248838"/>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w:t>
      </w:r>
    </w:p>
    <w:p>
      <w:pPr>
        <w:pStyle w:val="41"/>
        <w:numPr>
          <w:ilvl w:val="1"/>
          <w:numId w:val="12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应设置明显的永久性标识；</w:t>
      </w:r>
    </w:p>
    <w:p>
      <w:pPr>
        <w:pStyle w:val="41"/>
        <w:numPr>
          <w:ilvl w:val="1"/>
          <w:numId w:val="12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电话插孔不应设置在消火栓箱内。</w:t>
      </w:r>
    </w:p>
    <w:p>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按总数抽查2</w:t>
      </w:r>
      <w:r>
        <w:rPr>
          <w:rFonts w:asciiTheme="minorEastAsia" w:hAnsiTheme="minorEastAsia" w:eastAsiaTheme="minorEastAsia"/>
          <w:szCs w:val="21"/>
        </w:rPr>
        <w:t>0</w:t>
      </w:r>
      <w:r>
        <w:rPr>
          <w:rFonts w:hint="eastAsia" w:asciiTheme="minorEastAsia" w:hAnsiTheme="minorEastAsia" w:eastAsiaTheme="minorEastAsia"/>
          <w:szCs w:val="21"/>
        </w:rPr>
        <w:t>%，且不少于1处</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观察</w:t>
      </w:r>
      <w:r>
        <w:rPr>
          <w:rFonts w:asciiTheme="minorEastAsia" w:hAnsiTheme="minorEastAsia" w:eastAsiaTheme="minorEastAsia"/>
          <w:szCs w:val="21"/>
        </w:rPr>
        <w:t>检查。</w:t>
      </w:r>
    </w:p>
    <w:p>
      <w:pPr>
        <w:pStyle w:val="41"/>
        <w:numPr>
          <w:ilvl w:val="0"/>
          <w:numId w:val="114"/>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消防应急广播扬声器、火灾警报器、喷洒光警报器、气体灭火系统手动与自动控制状态显示装置的安装；应符合下列规定：</w:t>
      </w:r>
    </w:p>
    <w:p>
      <w:pPr>
        <w:pStyle w:val="41"/>
        <w:numPr>
          <w:ilvl w:val="1"/>
          <w:numId w:val="124"/>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扬声器和火灾声警报装置宜在报警区域内均匀安装，扬声器在走道内安装时，距走道末端的距离不应大于</w:t>
      </w:r>
      <w:r>
        <w:rPr>
          <w:rFonts w:hint="eastAsia" w:asciiTheme="minorEastAsia" w:hAnsiTheme="minorEastAsia" w:eastAsiaTheme="minorEastAsia"/>
          <w:color w:val="000000"/>
          <w:szCs w:val="21"/>
        </w:rPr>
        <w:t>12.5</w:t>
      </w:r>
      <w:r>
        <w:rPr>
          <w:rFonts w:hint="eastAsia" w:cs="仿宋" w:asciiTheme="minorEastAsia" w:hAnsiTheme="minorEastAsia" w:eastAsiaTheme="minorEastAsia"/>
          <w:color w:val="000000"/>
          <w:spacing w:val="0"/>
          <w:w w:val="15"/>
          <w:kern w:val="0"/>
          <w:szCs w:val="21"/>
          <w:fitText w:val="42" w:id="1871849118"/>
        </w:rPr>
        <w:t xml:space="preserve">　 </w:t>
      </w:r>
      <w:r>
        <w:rPr>
          <w:rFonts w:hint="eastAsia" w:cs="仿宋" w:asciiTheme="minorEastAsia" w:hAnsiTheme="minorEastAsia" w:eastAsiaTheme="minorEastAsia"/>
          <w:color w:val="000000"/>
          <w:spacing w:val="-17"/>
          <w:w w:val="15"/>
          <w:kern w:val="0"/>
          <w:szCs w:val="21"/>
          <w:fitText w:val="42" w:id="1871849118"/>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w:t>
      </w:r>
    </w:p>
    <w:p>
      <w:pPr>
        <w:pStyle w:val="41"/>
        <w:numPr>
          <w:ilvl w:val="1"/>
          <w:numId w:val="124"/>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火灾光警报装置应安装在楼梯口、消防电梯前室、建筑内部拐角等处的明显部位，且不宜与消防应急疏散指示标志灯具安装在同一面墙上，确需安装在同一面墙上时，距离不应小于</w:t>
      </w:r>
      <w:r>
        <w:rPr>
          <w:rFonts w:hint="eastAsia" w:asciiTheme="minorEastAsia" w:hAnsiTheme="minorEastAsia" w:eastAsiaTheme="minorEastAsia"/>
          <w:color w:val="000000"/>
          <w:szCs w:val="21"/>
        </w:rPr>
        <w:t>1</w:t>
      </w:r>
      <w:r>
        <w:rPr>
          <w:rFonts w:hint="eastAsia" w:cs="仿宋" w:asciiTheme="minorEastAsia" w:hAnsiTheme="minorEastAsia" w:eastAsiaTheme="minorEastAsia"/>
          <w:color w:val="000000"/>
          <w:spacing w:val="0"/>
          <w:w w:val="15"/>
          <w:kern w:val="0"/>
          <w:szCs w:val="21"/>
          <w:fitText w:val="42" w:id="1541538350"/>
        </w:rPr>
        <w:t xml:space="preserve">　 </w:t>
      </w:r>
      <w:r>
        <w:rPr>
          <w:rFonts w:hint="eastAsia" w:cs="仿宋" w:asciiTheme="minorEastAsia" w:hAnsiTheme="minorEastAsia" w:eastAsiaTheme="minorEastAsia"/>
          <w:color w:val="000000"/>
          <w:spacing w:val="-17"/>
          <w:w w:val="15"/>
          <w:kern w:val="0"/>
          <w:szCs w:val="21"/>
          <w:fitText w:val="42" w:id="1541538350"/>
        </w:rPr>
        <w:t>　</w:t>
      </w:r>
      <w:r>
        <w:rPr>
          <w:rFonts w:hint="eastAsia" w:asciiTheme="minorEastAsia" w:hAnsiTheme="minorEastAsia" w:eastAsiaTheme="minorEastAsia"/>
          <w:color w:val="000000"/>
          <w:szCs w:val="21"/>
        </w:rPr>
        <w:t>m；</w:t>
      </w:r>
    </w:p>
    <w:p>
      <w:pPr>
        <w:pStyle w:val="41"/>
        <w:numPr>
          <w:ilvl w:val="1"/>
          <w:numId w:val="124"/>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气体灭火系统手动与自动控制状态显示装置应安装在防护区域内的明显部位，喷洒光警报器应安装在防护区域外，且应安装在出口门的上方；</w:t>
      </w:r>
    </w:p>
    <w:p>
      <w:pPr>
        <w:pStyle w:val="41"/>
        <w:numPr>
          <w:ilvl w:val="1"/>
          <w:numId w:val="124"/>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采用壁挂方式安装时，底边距地面高度应大于</w:t>
      </w:r>
      <w:r>
        <w:rPr>
          <w:rFonts w:hint="eastAsia" w:asciiTheme="minorEastAsia" w:hAnsiTheme="minorEastAsia" w:eastAsiaTheme="minorEastAsia"/>
          <w:color w:val="000000"/>
          <w:szCs w:val="21"/>
        </w:rPr>
        <w:t>2.2</w:t>
      </w:r>
      <w:r>
        <w:rPr>
          <w:rFonts w:hint="eastAsia" w:cs="仿宋" w:asciiTheme="minorEastAsia" w:hAnsiTheme="minorEastAsia" w:eastAsiaTheme="minorEastAsia"/>
          <w:color w:val="000000"/>
          <w:spacing w:val="0"/>
          <w:w w:val="15"/>
          <w:kern w:val="0"/>
          <w:szCs w:val="21"/>
          <w:fitText w:val="42" w:id="1882153279"/>
        </w:rPr>
        <w:t xml:space="preserve">　 </w:t>
      </w:r>
      <w:r>
        <w:rPr>
          <w:rFonts w:hint="eastAsia" w:cs="仿宋" w:asciiTheme="minorEastAsia" w:hAnsiTheme="minorEastAsia" w:eastAsiaTheme="minorEastAsia"/>
          <w:color w:val="000000"/>
          <w:spacing w:val="-17"/>
          <w:w w:val="15"/>
          <w:kern w:val="0"/>
          <w:szCs w:val="21"/>
          <w:fitText w:val="42" w:id="1882153279"/>
        </w:rPr>
        <w:t>　</w:t>
      </w:r>
      <w:r>
        <w:rPr>
          <w:rFonts w:hint="eastAsia" w:asciiTheme="minorEastAsia" w:hAnsiTheme="minorEastAsia" w:eastAsiaTheme="minorEastAsia"/>
          <w:color w:val="000000"/>
          <w:szCs w:val="21"/>
        </w:rPr>
        <w:t>m；</w:t>
      </w:r>
    </w:p>
    <w:p>
      <w:pPr>
        <w:pStyle w:val="41"/>
        <w:numPr>
          <w:ilvl w:val="1"/>
          <w:numId w:val="124"/>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应安装牢固，表面不应有破损。</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按总数抽查2</w:t>
      </w:r>
      <w:r>
        <w:rPr>
          <w:rFonts w:asciiTheme="minorEastAsia" w:hAnsiTheme="minorEastAsia" w:eastAsiaTheme="minorEastAsia"/>
          <w:szCs w:val="21"/>
        </w:rPr>
        <w:t>0</w:t>
      </w:r>
      <w:r>
        <w:rPr>
          <w:rFonts w:hint="eastAsia" w:asciiTheme="minorEastAsia" w:hAnsiTheme="minorEastAsia" w:eastAsiaTheme="minorEastAsia"/>
          <w:szCs w:val="21"/>
        </w:rPr>
        <w:t>%，且不少于1处</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观察</w:t>
      </w:r>
      <w:r>
        <w:rPr>
          <w:rFonts w:asciiTheme="minorEastAsia" w:hAnsiTheme="minorEastAsia" w:eastAsiaTheme="minorEastAsia"/>
          <w:szCs w:val="21"/>
        </w:rPr>
        <w:t>检查。</w:t>
      </w:r>
    </w:p>
    <w:p>
      <w:pPr>
        <w:pStyle w:val="41"/>
        <w:numPr>
          <w:ilvl w:val="0"/>
          <w:numId w:val="114"/>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消防设备应急电源和备用电源蓄电池的安装，应符合下列规定：</w:t>
      </w:r>
    </w:p>
    <w:p>
      <w:pPr>
        <w:pStyle w:val="41"/>
        <w:numPr>
          <w:ilvl w:val="1"/>
          <w:numId w:val="125"/>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应安装在通风良好的场所，当安装在密封环境中时应有通风措施，电池安装场所的环境温度不应超出电池标称的工作温度范围；</w:t>
      </w:r>
    </w:p>
    <w:p>
      <w:pPr>
        <w:pStyle w:val="41"/>
        <w:numPr>
          <w:ilvl w:val="1"/>
          <w:numId w:val="125"/>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不应安装在火灾爆炸危险场所；</w:t>
      </w:r>
    </w:p>
    <w:p>
      <w:pPr>
        <w:pStyle w:val="41"/>
        <w:numPr>
          <w:ilvl w:val="1"/>
          <w:numId w:val="125"/>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酸性电池不应安装在带有碱性介质的场所，碱性电池不应安装在带有酸性介质的场所，电池的外壳必须密封完好，无明显漏液情况。</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全数检查</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观察</w:t>
      </w:r>
      <w:r>
        <w:rPr>
          <w:rFonts w:asciiTheme="minorEastAsia" w:hAnsiTheme="minorEastAsia" w:eastAsiaTheme="minorEastAsia"/>
          <w:szCs w:val="21"/>
        </w:rPr>
        <w:t>检查。</w:t>
      </w:r>
    </w:p>
    <w:p>
      <w:pPr>
        <w:pStyle w:val="41"/>
        <w:numPr>
          <w:ilvl w:val="0"/>
          <w:numId w:val="114"/>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消防设备电源监控系统传感器的安装应符合下列规定：</w:t>
      </w:r>
    </w:p>
    <w:p>
      <w:pPr>
        <w:pStyle w:val="41"/>
        <w:numPr>
          <w:ilvl w:val="1"/>
          <w:numId w:val="12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传感器与裸带电导体应保证安全距离，金属外壳的传感器应有保护接地；</w:t>
      </w:r>
    </w:p>
    <w:p>
      <w:pPr>
        <w:pStyle w:val="41"/>
        <w:numPr>
          <w:ilvl w:val="1"/>
          <w:numId w:val="12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传感器应独立支撑或固定，应安装牢固，并应采取防潮、防腐蚀等措施；</w:t>
      </w:r>
    </w:p>
    <w:p>
      <w:pPr>
        <w:pStyle w:val="41"/>
        <w:numPr>
          <w:ilvl w:val="1"/>
          <w:numId w:val="12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传感器输出回路的连接线应采用截面积不小于</w:t>
      </w:r>
      <w:r>
        <w:rPr>
          <w:rFonts w:hint="eastAsia" w:asciiTheme="minorEastAsia" w:hAnsiTheme="minorEastAsia" w:eastAsiaTheme="minorEastAsia"/>
          <w:color w:val="000000"/>
          <w:szCs w:val="21"/>
        </w:rPr>
        <w:t>1.0</w:t>
      </w:r>
      <w:r>
        <w:rPr>
          <w:rFonts w:hint="eastAsia" w:cs="仿宋" w:asciiTheme="minorEastAsia" w:hAnsiTheme="minorEastAsia" w:eastAsiaTheme="minorEastAsia"/>
          <w:color w:val="000000"/>
          <w:spacing w:val="0"/>
          <w:w w:val="15"/>
          <w:kern w:val="0"/>
          <w:szCs w:val="21"/>
          <w:fitText w:val="42" w:id="2014925861"/>
        </w:rPr>
        <w:t xml:space="preserve">　 </w:t>
      </w:r>
      <w:r>
        <w:rPr>
          <w:rFonts w:hint="eastAsia" w:cs="仿宋" w:asciiTheme="minorEastAsia" w:hAnsiTheme="minorEastAsia" w:eastAsiaTheme="minorEastAsia"/>
          <w:color w:val="000000"/>
          <w:spacing w:val="-17"/>
          <w:w w:val="15"/>
          <w:kern w:val="0"/>
          <w:szCs w:val="21"/>
          <w:fitText w:val="42" w:id="2014925861"/>
        </w:rPr>
        <w:t>　</w:t>
      </w:r>
      <w:r>
        <w:rPr>
          <w:rFonts w:hint="eastAsia" w:asciiTheme="minorEastAsia" w:hAnsiTheme="minorEastAsia" w:eastAsiaTheme="minorEastAsia"/>
          <w:color w:val="000000"/>
          <w:szCs w:val="21"/>
        </w:rPr>
        <w:t>mm</w:t>
      </w:r>
      <w:r>
        <w:rPr>
          <w:rFonts w:hint="eastAsia" w:asciiTheme="minorEastAsia" w:hAnsiTheme="minorEastAsia" w:eastAsiaTheme="minorEastAsia"/>
          <w:color w:val="000000"/>
          <w:szCs w:val="21"/>
          <w:vertAlign w:val="superscript"/>
        </w:rPr>
        <w:t>2</w:t>
      </w:r>
      <w:r>
        <w:rPr>
          <w:rFonts w:hint="eastAsia" w:asciiTheme="minorEastAsia" w:hAnsiTheme="minorEastAsia" w:eastAsiaTheme="minorEastAsia"/>
          <w:szCs w:val="21"/>
        </w:rPr>
        <w:t>的双绞铜芯导线，并应留有不小于</w:t>
      </w:r>
      <w:r>
        <w:rPr>
          <w:rFonts w:hint="eastAsia" w:asciiTheme="minorEastAsia" w:hAnsiTheme="minorEastAsia" w:eastAsiaTheme="minorEastAsia"/>
          <w:bCs/>
          <w:color w:val="000000"/>
          <w:szCs w:val="21"/>
        </w:rPr>
        <w:t>200</w:t>
      </w:r>
      <w:r>
        <w:rPr>
          <w:rFonts w:hint="eastAsia" w:cs="仿宋" w:asciiTheme="minorEastAsia" w:hAnsiTheme="minorEastAsia" w:eastAsiaTheme="minorEastAsia"/>
          <w:color w:val="000000"/>
          <w:spacing w:val="0"/>
          <w:w w:val="15"/>
          <w:kern w:val="0"/>
          <w:szCs w:val="21"/>
          <w:fitText w:val="42" w:id="2078632342"/>
        </w:rPr>
        <w:t xml:space="preserve">　 </w:t>
      </w:r>
      <w:r>
        <w:rPr>
          <w:rFonts w:hint="eastAsia" w:cs="仿宋" w:asciiTheme="minorEastAsia" w:hAnsiTheme="minorEastAsia" w:eastAsiaTheme="minorEastAsia"/>
          <w:color w:val="000000"/>
          <w:spacing w:val="-17"/>
          <w:w w:val="15"/>
          <w:kern w:val="0"/>
          <w:szCs w:val="21"/>
          <w:fitText w:val="42" w:id="2078632342"/>
        </w:rPr>
        <w:t>　</w:t>
      </w:r>
      <w:r>
        <w:rPr>
          <w:rFonts w:hint="eastAsia" w:asciiTheme="minorEastAsia" w:hAnsiTheme="minorEastAsia" w:eastAsiaTheme="minorEastAsia"/>
          <w:bCs/>
          <w:color w:val="000000"/>
          <w:szCs w:val="21"/>
        </w:rPr>
        <w:t>mm</w:t>
      </w:r>
      <w:r>
        <w:rPr>
          <w:rFonts w:hint="eastAsia" w:asciiTheme="minorEastAsia" w:hAnsiTheme="minorEastAsia" w:eastAsiaTheme="minorEastAsia"/>
          <w:szCs w:val="21"/>
        </w:rPr>
        <w:t>的余量，其端部应设置明显的永久性标识；</w:t>
      </w:r>
    </w:p>
    <w:p>
      <w:pPr>
        <w:pStyle w:val="41"/>
        <w:numPr>
          <w:ilvl w:val="1"/>
          <w:numId w:val="12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传感器的安装不应破坏被监控线路的完整性，不应增加线路接点。</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全数检查</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观察</w:t>
      </w:r>
      <w:r>
        <w:rPr>
          <w:rFonts w:asciiTheme="minorEastAsia" w:hAnsiTheme="minorEastAsia" w:eastAsiaTheme="minorEastAsia"/>
          <w:szCs w:val="21"/>
        </w:rPr>
        <w:t>检查。</w:t>
      </w:r>
    </w:p>
    <w:p>
      <w:pPr>
        <w:pStyle w:val="41"/>
        <w:numPr>
          <w:ilvl w:val="0"/>
          <w:numId w:val="114"/>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防火门监控模块与电动闭门器、释放器、门磁开关等现场部件的安装应符合下列规定：</w:t>
      </w:r>
    </w:p>
    <w:p>
      <w:pPr>
        <w:pStyle w:val="41"/>
        <w:numPr>
          <w:ilvl w:val="1"/>
          <w:numId w:val="127"/>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防火门监控模块至电动闭门器、释放器、门磁开关等现场部件之间连接线的长度不应大于</w:t>
      </w:r>
      <w:r>
        <w:rPr>
          <w:rFonts w:hint="eastAsia" w:asciiTheme="minorEastAsia" w:hAnsiTheme="minorEastAsia" w:eastAsiaTheme="minorEastAsia"/>
          <w:color w:val="000000"/>
          <w:szCs w:val="21"/>
        </w:rPr>
        <w:t>3</w:t>
      </w:r>
      <w:r>
        <w:rPr>
          <w:rFonts w:hint="eastAsia" w:cs="仿宋" w:asciiTheme="minorEastAsia" w:hAnsiTheme="minorEastAsia" w:eastAsiaTheme="minorEastAsia"/>
          <w:color w:val="000000"/>
          <w:spacing w:val="0"/>
          <w:w w:val="15"/>
          <w:kern w:val="0"/>
          <w:szCs w:val="21"/>
          <w:fitText w:val="42" w:id="1424580208"/>
        </w:rPr>
        <w:t xml:space="preserve">　 </w:t>
      </w:r>
      <w:r>
        <w:rPr>
          <w:rFonts w:hint="eastAsia" w:cs="仿宋" w:asciiTheme="minorEastAsia" w:hAnsiTheme="minorEastAsia" w:eastAsiaTheme="minorEastAsia"/>
          <w:color w:val="000000"/>
          <w:spacing w:val="-17"/>
          <w:w w:val="15"/>
          <w:kern w:val="0"/>
          <w:szCs w:val="21"/>
          <w:fitText w:val="42" w:id="1424580208"/>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w:t>
      </w:r>
    </w:p>
    <w:p>
      <w:pPr>
        <w:pStyle w:val="41"/>
        <w:numPr>
          <w:ilvl w:val="1"/>
          <w:numId w:val="127"/>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防火门监控模块、电动闭门器、释放器、门磁开关等现场部件应安装牢固；</w:t>
      </w:r>
    </w:p>
    <w:p>
      <w:pPr>
        <w:pStyle w:val="41"/>
        <w:numPr>
          <w:ilvl w:val="1"/>
          <w:numId w:val="127"/>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门磁开关的安装不应破坏门扇与门框之间的密闭性。</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全数检查</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观察</w:t>
      </w:r>
      <w:r>
        <w:rPr>
          <w:rFonts w:asciiTheme="minorEastAsia" w:hAnsiTheme="minorEastAsia" w:eastAsiaTheme="minorEastAsia"/>
          <w:szCs w:val="21"/>
        </w:rPr>
        <w:t>检查。</w:t>
      </w:r>
    </w:p>
    <w:p>
      <w:pPr>
        <w:pStyle w:val="41"/>
        <w:numPr>
          <w:ilvl w:val="0"/>
          <w:numId w:val="114"/>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消防电气控制装置的安装应符合下列规定：</w:t>
      </w:r>
    </w:p>
    <w:p>
      <w:pPr>
        <w:pStyle w:val="41"/>
        <w:numPr>
          <w:ilvl w:val="1"/>
          <w:numId w:val="12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消防电气控制装置在安装前应进行功能检查，检查结果不合格的装置不应安装；</w:t>
      </w:r>
    </w:p>
    <w:p>
      <w:pPr>
        <w:pStyle w:val="41"/>
        <w:numPr>
          <w:ilvl w:val="1"/>
          <w:numId w:val="12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消防电气控制装置外接导线的端部应设置明显的永久性标识；</w:t>
      </w:r>
    </w:p>
    <w:p>
      <w:pPr>
        <w:pStyle w:val="41"/>
        <w:numPr>
          <w:ilvl w:val="1"/>
          <w:numId w:val="12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消防电气控制装置应安装牢固，不应倾斜，安装在轻质墙体上时应采取加固措施。</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全数检查</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观察</w:t>
      </w:r>
      <w:r>
        <w:rPr>
          <w:rFonts w:asciiTheme="minorEastAsia" w:hAnsiTheme="minorEastAsia" w:eastAsiaTheme="minorEastAsia"/>
          <w:szCs w:val="21"/>
        </w:rPr>
        <w:t>检查。</w:t>
      </w:r>
    </w:p>
    <w:p>
      <w:pPr>
        <w:pStyle w:val="41"/>
        <w:numPr>
          <w:ilvl w:val="0"/>
          <w:numId w:val="114"/>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 xml:space="preserve">点型感烟火灾探测器、点型感温火灾探测器、一氧化碳火灾探测器、点型家用火灾探测器、独立式火灾探测报警器的安装，应符合下列规定： </w:t>
      </w:r>
    </w:p>
    <w:p>
      <w:pPr>
        <w:pStyle w:val="41"/>
        <w:numPr>
          <w:ilvl w:val="1"/>
          <w:numId w:val="12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探测器至墙壁、梁边的水平距离不应小于</w:t>
      </w:r>
      <w:r>
        <w:rPr>
          <w:rFonts w:hint="eastAsia" w:asciiTheme="minorEastAsia" w:hAnsiTheme="minorEastAsia" w:eastAsiaTheme="minorEastAsia"/>
          <w:color w:val="000000"/>
          <w:szCs w:val="21"/>
        </w:rPr>
        <w:t>0.5</w:t>
      </w:r>
      <w:r>
        <w:rPr>
          <w:rFonts w:hint="eastAsia" w:cs="仿宋" w:asciiTheme="minorEastAsia" w:hAnsiTheme="minorEastAsia" w:eastAsiaTheme="minorEastAsia"/>
          <w:color w:val="000000"/>
          <w:spacing w:val="0"/>
          <w:w w:val="15"/>
          <w:kern w:val="0"/>
          <w:szCs w:val="21"/>
          <w:fitText w:val="42" w:id="1970498254"/>
        </w:rPr>
        <w:t xml:space="preserve">　 </w:t>
      </w:r>
      <w:r>
        <w:rPr>
          <w:rFonts w:hint="eastAsia" w:cs="仿宋" w:asciiTheme="minorEastAsia" w:hAnsiTheme="minorEastAsia" w:eastAsiaTheme="minorEastAsia"/>
          <w:color w:val="000000"/>
          <w:spacing w:val="-17"/>
          <w:w w:val="15"/>
          <w:kern w:val="0"/>
          <w:szCs w:val="21"/>
          <w:fitText w:val="42" w:id="1970498254"/>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w:t>
      </w:r>
    </w:p>
    <w:p>
      <w:pPr>
        <w:pStyle w:val="41"/>
        <w:numPr>
          <w:ilvl w:val="1"/>
          <w:numId w:val="12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探测器周围水平距离</w:t>
      </w:r>
      <w:r>
        <w:rPr>
          <w:rFonts w:hint="eastAsia" w:asciiTheme="minorEastAsia" w:hAnsiTheme="minorEastAsia" w:eastAsiaTheme="minorEastAsia"/>
          <w:color w:val="000000"/>
          <w:szCs w:val="21"/>
        </w:rPr>
        <w:t>0.5</w:t>
      </w:r>
      <w:r>
        <w:rPr>
          <w:rFonts w:hint="eastAsia" w:cs="仿宋" w:asciiTheme="minorEastAsia" w:hAnsiTheme="minorEastAsia" w:eastAsiaTheme="minorEastAsia"/>
          <w:color w:val="000000"/>
          <w:spacing w:val="0"/>
          <w:w w:val="15"/>
          <w:kern w:val="0"/>
          <w:szCs w:val="21"/>
          <w:fitText w:val="42" w:id="1486620186"/>
        </w:rPr>
        <w:t xml:space="preserve">　 </w:t>
      </w:r>
      <w:r>
        <w:rPr>
          <w:rFonts w:hint="eastAsia" w:cs="仿宋" w:asciiTheme="minorEastAsia" w:hAnsiTheme="minorEastAsia" w:eastAsiaTheme="minorEastAsia"/>
          <w:color w:val="000000"/>
          <w:spacing w:val="-17"/>
          <w:w w:val="15"/>
          <w:kern w:val="0"/>
          <w:szCs w:val="21"/>
          <w:fitText w:val="42" w:id="1486620186"/>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 xml:space="preserve">内不应有遮挡物； </w:t>
      </w:r>
    </w:p>
    <w:p>
      <w:pPr>
        <w:pStyle w:val="41"/>
        <w:numPr>
          <w:ilvl w:val="1"/>
          <w:numId w:val="12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探测器至空调送风口最近边的水平距离不应小于</w:t>
      </w:r>
      <w:r>
        <w:rPr>
          <w:rFonts w:hint="eastAsia" w:asciiTheme="minorEastAsia" w:hAnsiTheme="minorEastAsia" w:eastAsiaTheme="minorEastAsia"/>
          <w:color w:val="000000"/>
          <w:szCs w:val="21"/>
        </w:rPr>
        <w:t>1.5</w:t>
      </w:r>
      <w:r>
        <w:rPr>
          <w:rFonts w:hint="eastAsia" w:cs="仿宋" w:asciiTheme="minorEastAsia" w:hAnsiTheme="minorEastAsia" w:eastAsiaTheme="minorEastAsia"/>
          <w:color w:val="000000"/>
          <w:spacing w:val="0"/>
          <w:w w:val="15"/>
          <w:kern w:val="0"/>
          <w:szCs w:val="21"/>
          <w:fitText w:val="42" w:id="1946894871"/>
        </w:rPr>
        <w:t xml:space="preserve">　 </w:t>
      </w:r>
      <w:r>
        <w:rPr>
          <w:rFonts w:hint="eastAsia" w:cs="仿宋" w:asciiTheme="minorEastAsia" w:hAnsiTheme="minorEastAsia" w:eastAsiaTheme="minorEastAsia"/>
          <w:color w:val="000000"/>
          <w:spacing w:val="-17"/>
          <w:w w:val="15"/>
          <w:kern w:val="0"/>
          <w:szCs w:val="21"/>
          <w:fitText w:val="42" w:id="1946894871"/>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至多孔送风顶棚孔口的水平距离不应小于</w:t>
      </w:r>
      <w:r>
        <w:rPr>
          <w:rFonts w:hint="eastAsia" w:asciiTheme="minorEastAsia" w:hAnsiTheme="minorEastAsia" w:eastAsiaTheme="minorEastAsia"/>
          <w:color w:val="000000"/>
          <w:szCs w:val="21"/>
        </w:rPr>
        <w:t>0.5</w:t>
      </w:r>
      <w:r>
        <w:rPr>
          <w:rFonts w:hint="eastAsia" w:cs="仿宋" w:asciiTheme="minorEastAsia" w:hAnsiTheme="minorEastAsia" w:eastAsiaTheme="minorEastAsia"/>
          <w:color w:val="000000"/>
          <w:spacing w:val="0"/>
          <w:w w:val="15"/>
          <w:kern w:val="0"/>
          <w:szCs w:val="21"/>
          <w:fitText w:val="42" w:id="46497756"/>
        </w:rPr>
        <w:t xml:space="preserve">　 </w:t>
      </w:r>
      <w:r>
        <w:rPr>
          <w:rFonts w:hint="eastAsia" w:cs="仿宋" w:asciiTheme="minorEastAsia" w:hAnsiTheme="minorEastAsia" w:eastAsiaTheme="minorEastAsia"/>
          <w:color w:val="000000"/>
          <w:spacing w:val="-17"/>
          <w:w w:val="15"/>
          <w:kern w:val="0"/>
          <w:szCs w:val="21"/>
          <w:fitText w:val="42" w:id="46497756"/>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w:t>
      </w:r>
    </w:p>
    <w:p>
      <w:pPr>
        <w:pStyle w:val="41"/>
        <w:numPr>
          <w:ilvl w:val="1"/>
          <w:numId w:val="12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在宽度小于</w:t>
      </w:r>
      <w:r>
        <w:rPr>
          <w:rFonts w:hint="eastAsia" w:asciiTheme="minorEastAsia" w:hAnsiTheme="minorEastAsia" w:eastAsiaTheme="minorEastAsia"/>
          <w:color w:val="000000"/>
          <w:szCs w:val="21"/>
        </w:rPr>
        <w:t>3 m</w:t>
      </w:r>
      <w:r>
        <w:rPr>
          <w:rFonts w:hint="eastAsia" w:asciiTheme="minorEastAsia" w:hAnsiTheme="minorEastAsia" w:eastAsiaTheme="minorEastAsia"/>
          <w:szCs w:val="21"/>
        </w:rPr>
        <w:t>的内走道顶棚上安装探测器时，宜居中安装，</w:t>
      </w:r>
      <w:r>
        <w:rPr>
          <w:rFonts w:hint="eastAsia" w:asciiTheme="minorEastAsia" w:hAnsiTheme="minorEastAsia" w:eastAsiaTheme="minorEastAsia"/>
          <w:color w:val="000000"/>
          <w:szCs w:val="21"/>
        </w:rPr>
        <w:t>点型</w:t>
      </w:r>
      <w:r>
        <w:rPr>
          <w:rFonts w:hint="eastAsia" w:asciiTheme="minorEastAsia" w:hAnsiTheme="minorEastAsia" w:eastAsiaTheme="minorEastAsia"/>
          <w:szCs w:val="21"/>
        </w:rPr>
        <w:t>感温火灾探测器的安装间距不应超过</w:t>
      </w:r>
      <w:r>
        <w:rPr>
          <w:rFonts w:hint="eastAsia" w:asciiTheme="minorEastAsia" w:hAnsiTheme="minorEastAsia" w:eastAsiaTheme="minorEastAsia"/>
          <w:color w:val="000000"/>
          <w:szCs w:val="21"/>
        </w:rPr>
        <w:t>10</w:t>
      </w:r>
      <w:r>
        <w:rPr>
          <w:rFonts w:hint="eastAsia" w:cs="仿宋" w:asciiTheme="minorEastAsia" w:hAnsiTheme="minorEastAsia" w:eastAsiaTheme="minorEastAsia"/>
          <w:color w:val="000000"/>
          <w:spacing w:val="0"/>
          <w:w w:val="15"/>
          <w:kern w:val="0"/>
          <w:szCs w:val="21"/>
          <w:fitText w:val="42" w:id="493635436"/>
        </w:rPr>
        <w:t xml:space="preserve">　 </w:t>
      </w:r>
      <w:r>
        <w:rPr>
          <w:rFonts w:hint="eastAsia" w:cs="仿宋" w:asciiTheme="minorEastAsia" w:hAnsiTheme="minorEastAsia" w:eastAsiaTheme="minorEastAsia"/>
          <w:color w:val="000000"/>
          <w:spacing w:val="-17"/>
          <w:w w:val="15"/>
          <w:kern w:val="0"/>
          <w:szCs w:val="21"/>
          <w:fitText w:val="42" w:id="493635436"/>
        </w:rPr>
        <w:t>　</w:t>
      </w:r>
      <w:r>
        <w:rPr>
          <w:rFonts w:hint="eastAsia" w:asciiTheme="minorEastAsia" w:hAnsiTheme="minorEastAsia" w:eastAsiaTheme="minorEastAsia"/>
          <w:color w:val="000000"/>
          <w:szCs w:val="21"/>
        </w:rPr>
        <w:t>m，点型</w:t>
      </w:r>
      <w:r>
        <w:rPr>
          <w:rFonts w:hint="eastAsia" w:asciiTheme="minorEastAsia" w:hAnsiTheme="minorEastAsia" w:eastAsiaTheme="minorEastAsia"/>
          <w:szCs w:val="21"/>
        </w:rPr>
        <w:t>感烟火灾探测器的安装间距不应超过</w:t>
      </w:r>
      <w:r>
        <w:rPr>
          <w:rFonts w:hint="eastAsia" w:asciiTheme="minorEastAsia" w:hAnsiTheme="minorEastAsia" w:eastAsiaTheme="minorEastAsia"/>
          <w:color w:val="000000"/>
          <w:szCs w:val="21"/>
        </w:rPr>
        <w:t>15</w:t>
      </w:r>
      <w:r>
        <w:rPr>
          <w:rFonts w:hint="eastAsia" w:cs="仿宋" w:asciiTheme="minorEastAsia" w:hAnsiTheme="minorEastAsia" w:eastAsiaTheme="minorEastAsia"/>
          <w:color w:val="000000"/>
          <w:spacing w:val="0"/>
          <w:w w:val="15"/>
          <w:kern w:val="0"/>
          <w:szCs w:val="21"/>
          <w:fitText w:val="42" w:id="1217791674"/>
        </w:rPr>
        <w:t xml:space="preserve">　 </w:t>
      </w:r>
      <w:r>
        <w:rPr>
          <w:rFonts w:hint="eastAsia" w:cs="仿宋" w:asciiTheme="minorEastAsia" w:hAnsiTheme="minorEastAsia" w:eastAsiaTheme="minorEastAsia"/>
          <w:color w:val="000000"/>
          <w:spacing w:val="-17"/>
          <w:w w:val="15"/>
          <w:kern w:val="0"/>
          <w:szCs w:val="21"/>
          <w:fitText w:val="42" w:id="1217791674"/>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 xml:space="preserve">探测器至端墙的距离不应大于安装间距的一半； </w:t>
      </w:r>
    </w:p>
    <w:p>
      <w:pPr>
        <w:pStyle w:val="41"/>
        <w:numPr>
          <w:ilvl w:val="1"/>
          <w:numId w:val="12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探测器宜水平安装，当确需倾斜安装时，倾斜角不应大于45°。</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全数检查</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bCs/>
          <w:szCs w:val="21"/>
        </w:rPr>
      </w:pPr>
      <w:r>
        <w:rPr>
          <w:rFonts w:asciiTheme="minorEastAsia" w:hAnsiTheme="minorEastAsia" w:eastAsiaTheme="minorEastAsia"/>
          <w:szCs w:val="21"/>
        </w:rPr>
        <w:t>检查方法</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施工中观察</w:t>
      </w:r>
      <w:r>
        <w:rPr>
          <w:rFonts w:asciiTheme="minorEastAsia" w:hAnsiTheme="minorEastAsia" w:eastAsiaTheme="minorEastAsia"/>
          <w:szCs w:val="21"/>
        </w:rPr>
        <w:t>检查。</w:t>
      </w:r>
    </w:p>
    <w:p>
      <w:pPr>
        <w:pStyle w:val="41"/>
        <w:numPr>
          <w:ilvl w:val="0"/>
          <w:numId w:val="114"/>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 xml:space="preserve">线型光束感烟火灾探测器的安装应符合下列规定： </w:t>
      </w:r>
    </w:p>
    <w:p>
      <w:pPr>
        <w:pStyle w:val="41"/>
        <w:numPr>
          <w:ilvl w:val="1"/>
          <w:numId w:val="13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探测器光束轴线至顶棚的垂直距离宜为</w:t>
      </w:r>
      <w:r>
        <w:rPr>
          <w:rFonts w:hint="eastAsia" w:asciiTheme="minorEastAsia" w:hAnsiTheme="minorEastAsia" w:eastAsiaTheme="minorEastAsia"/>
          <w:color w:val="000000"/>
          <w:szCs w:val="21"/>
        </w:rPr>
        <w:t>0.3</w:t>
      </w:r>
      <w:r>
        <w:rPr>
          <w:rFonts w:hint="eastAsia" w:cs="仿宋" w:asciiTheme="minorEastAsia" w:hAnsiTheme="minorEastAsia" w:eastAsiaTheme="minorEastAsia"/>
          <w:color w:val="000000"/>
          <w:spacing w:val="0"/>
          <w:w w:val="15"/>
          <w:kern w:val="0"/>
          <w:szCs w:val="21"/>
          <w:fitText w:val="42" w:id="1104424648"/>
        </w:rPr>
        <w:t xml:space="preserve">　 </w:t>
      </w:r>
      <w:r>
        <w:rPr>
          <w:rFonts w:hint="eastAsia" w:cs="仿宋" w:asciiTheme="minorEastAsia" w:hAnsiTheme="minorEastAsia" w:eastAsiaTheme="minorEastAsia"/>
          <w:color w:val="000000"/>
          <w:spacing w:val="-17"/>
          <w:w w:val="15"/>
          <w:kern w:val="0"/>
          <w:szCs w:val="21"/>
          <w:fitText w:val="42" w:id="1104424648"/>
        </w:rPr>
        <w:t>　</w:t>
      </w:r>
      <w:r>
        <w:rPr>
          <w:rFonts w:hint="eastAsia" w:cs="仿宋" w:asciiTheme="minorEastAsia" w:hAnsiTheme="minorEastAsia" w:eastAsiaTheme="minorEastAsia"/>
          <w:color w:val="000000"/>
          <w:spacing w:val="0"/>
          <w:w w:val="15"/>
          <w:kern w:val="0"/>
          <w:szCs w:val="21"/>
          <w:fitText w:val="42" w:id="1484274100"/>
        </w:rPr>
        <w:t xml:space="preserve"> </w:t>
      </w:r>
      <w:r>
        <w:rPr>
          <w:rFonts w:hint="eastAsia" w:cs="仿宋" w:asciiTheme="minorEastAsia" w:hAnsiTheme="minorEastAsia" w:eastAsiaTheme="minorEastAsia"/>
          <w:color w:val="000000"/>
          <w:spacing w:val="-2"/>
          <w:w w:val="15"/>
          <w:kern w:val="0"/>
          <w:szCs w:val="21"/>
          <w:fitText w:val="42" w:id="1484274100"/>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1.0</w:t>
      </w:r>
      <w:r>
        <w:rPr>
          <w:rFonts w:hint="eastAsia" w:cs="仿宋" w:asciiTheme="minorEastAsia" w:hAnsiTheme="minorEastAsia" w:eastAsiaTheme="minorEastAsia"/>
          <w:color w:val="000000"/>
          <w:spacing w:val="0"/>
          <w:w w:val="15"/>
          <w:kern w:val="0"/>
          <w:szCs w:val="21"/>
          <w:fitText w:val="42" w:id="58986233"/>
        </w:rPr>
        <w:t xml:space="preserve">　 </w:t>
      </w:r>
      <w:r>
        <w:rPr>
          <w:rFonts w:hint="eastAsia" w:cs="仿宋" w:asciiTheme="minorEastAsia" w:hAnsiTheme="minorEastAsia" w:eastAsiaTheme="minorEastAsia"/>
          <w:color w:val="000000"/>
          <w:spacing w:val="-17"/>
          <w:w w:val="15"/>
          <w:kern w:val="0"/>
          <w:szCs w:val="21"/>
          <w:fitText w:val="42" w:id="58986233"/>
        </w:rPr>
        <w:t>　</w:t>
      </w:r>
      <w:r>
        <w:rPr>
          <w:rFonts w:hint="eastAsia" w:cs="仿宋" w:asciiTheme="minorEastAsia" w:hAnsiTheme="minorEastAsia" w:eastAsiaTheme="minorEastAsia"/>
          <w:color w:val="000000"/>
          <w:spacing w:val="0"/>
          <w:w w:val="15"/>
          <w:kern w:val="0"/>
          <w:szCs w:val="21"/>
          <w:fitText w:val="42" w:id="322991099"/>
        </w:rPr>
        <w:t xml:space="preserve"> </w:t>
      </w:r>
      <w:r>
        <w:rPr>
          <w:rFonts w:hint="eastAsia" w:cs="仿宋" w:asciiTheme="minorEastAsia" w:hAnsiTheme="minorEastAsia" w:eastAsiaTheme="minorEastAsia"/>
          <w:color w:val="000000"/>
          <w:spacing w:val="-2"/>
          <w:w w:val="15"/>
          <w:kern w:val="0"/>
          <w:szCs w:val="21"/>
          <w:fitText w:val="42" w:id="322991099"/>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高度大于</w:t>
      </w:r>
      <w:r>
        <w:rPr>
          <w:rFonts w:hint="eastAsia" w:asciiTheme="minorEastAsia" w:hAnsiTheme="minorEastAsia" w:eastAsiaTheme="minorEastAsia"/>
          <w:color w:val="000000"/>
          <w:szCs w:val="21"/>
        </w:rPr>
        <w:t>12</w:t>
      </w:r>
      <w:r>
        <w:rPr>
          <w:rFonts w:hint="eastAsia" w:cs="仿宋" w:asciiTheme="minorEastAsia" w:hAnsiTheme="minorEastAsia" w:eastAsiaTheme="minorEastAsia"/>
          <w:color w:val="000000"/>
          <w:spacing w:val="0"/>
          <w:w w:val="15"/>
          <w:kern w:val="0"/>
          <w:szCs w:val="21"/>
          <w:fitText w:val="42" w:id="737430005"/>
        </w:rPr>
        <w:t xml:space="preserve">　 </w:t>
      </w:r>
      <w:r>
        <w:rPr>
          <w:rFonts w:hint="eastAsia" w:cs="仿宋" w:asciiTheme="minorEastAsia" w:hAnsiTheme="minorEastAsia" w:eastAsiaTheme="minorEastAsia"/>
          <w:color w:val="000000"/>
          <w:spacing w:val="-17"/>
          <w:w w:val="15"/>
          <w:kern w:val="0"/>
          <w:szCs w:val="21"/>
          <w:fitText w:val="42" w:id="737430005"/>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 xml:space="preserve">的空间场所增设的探测器的安装高度应符合设计文件和现行国家标准《火灾自动报警系统设计规范》GB 50116的规定； </w:t>
      </w:r>
    </w:p>
    <w:p>
      <w:pPr>
        <w:pStyle w:val="41"/>
        <w:numPr>
          <w:ilvl w:val="1"/>
          <w:numId w:val="13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发射器和接收器</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反射式探测器的探测器和反射板</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之间的距离不宜超过</w:t>
      </w:r>
      <w:r>
        <w:rPr>
          <w:rFonts w:hint="eastAsia" w:asciiTheme="minorEastAsia" w:hAnsiTheme="minorEastAsia" w:eastAsiaTheme="minorEastAsia"/>
          <w:color w:val="000000"/>
          <w:szCs w:val="21"/>
        </w:rPr>
        <w:t>100</w:t>
      </w:r>
      <w:r>
        <w:rPr>
          <w:rFonts w:hint="eastAsia" w:cs="仿宋" w:asciiTheme="minorEastAsia" w:hAnsiTheme="minorEastAsia" w:eastAsiaTheme="minorEastAsia"/>
          <w:color w:val="000000"/>
          <w:spacing w:val="0"/>
          <w:w w:val="15"/>
          <w:kern w:val="0"/>
          <w:szCs w:val="21"/>
          <w:fitText w:val="42" w:id="487946837"/>
        </w:rPr>
        <w:t xml:space="preserve">　 </w:t>
      </w:r>
      <w:r>
        <w:rPr>
          <w:rFonts w:hint="eastAsia" w:cs="仿宋" w:asciiTheme="minorEastAsia" w:hAnsiTheme="minorEastAsia" w:eastAsiaTheme="minorEastAsia"/>
          <w:color w:val="000000"/>
          <w:spacing w:val="-17"/>
          <w:w w:val="15"/>
          <w:kern w:val="0"/>
          <w:szCs w:val="21"/>
          <w:fitText w:val="42" w:id="487946837"/>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 xml:space="preserve">； </w:t>
      </w:r>
    </w:p>
    <w:p>
      <w:pPr>
        <w:pStyle w:val="41"/>
        <w:numPr>
          <w:ilvl w:val="1"/>
          <w:numId w:val="13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相邻两组探测器光束轴线的水平距离不应大于</w:t>
      </w:r>
      <w:r>
        <w:rPr>
          <w:rFonts w:hint="eastAsia" w:asciiTheme="minorEastAsia" w:hAnsiTheme="minorEastAsia" w:eastAsiaTheme="minorEastAsia"/>
          <w:color w:val="000000"/>
          <w:szCs w:val="21"/>
        </w:rPr>
        <w:t>14</w:t>
      </w:r>
      <w:r>
        <w:rPr>
          <w:rFonts w:hint="eastAsia" w:cs="仿宋" w:asciiTheme="minorEastAsia" w:hAnsiTheme="minorEastAsia" w:eastAsiaTheme="minorEastAsia"/>
          <w:color w:val="000000"/>
          <w:spacing w:val="0"/>
          <w:w w:val="15"/>
          <w:kern w:val="0"/>
          <w:szCs w:val="21"/>
          <w:fitText w:val="42" w:id="912279460"/>
        </w:rPr>
        <w:t xml:space="preserve">　 </w:t>
      </w:r>
      <w:r>
        <w:rPr>
          <w:rFonts w:hint="eastAsia" w:cs="仿宋" w:asciiTheme="minorEastAsia" w:hAnsiTheme="minorEastAsia" w:eastAsiaTheme="minorEastAsia"/>
          <w:color w:val="000000"/>
          <w:spacing w:val="-17"/>
          <w:w w:val="15"/>
          <w:kern w:val="0"/>
          <w:szCs w:val="21"/>
          <w:fitText w:val="42" w:id="912279460"/>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探测器光束轴线至侧墙水平距离不应大于</w:t>
      </w:r>
      <w:r>
        <w:rPr>
          <w:rFonts w:hint="eastAsia" w:asciiTheme="minorEastAsia" w:hAnsiTheme="minorEastAsia" w:eastAsiaTheme="minorEastAsia"/>
          <w:color w:val="000000"/>
          <w:szCs w:val="21"/>
        </w:rPr>
        <w:t>7</w:t>
      </w:r>
      <w:r>
        <w:rPr>
          <w:rFonts w:hint="eastAsia" w:cs="仿宋" w:asciiTheme="minorEastAsia" w:hAnsiTheme="minorEastAsia" w:eastAsiaTheme="minorEastAsia"/>
          <w:color w:val="000000"/>
          <w:spacing w:val="0"/>
          <w:w w:val="15"/>
          <w:kern w:val="0"/>
          <w:szCs w:val="21"/>
          <w:fitText w:val="42" w:id="191716184"/>
        </w:rPr>
        <w:t xml:space="preserve">　 </w:t>
      </w:r>
      <w:r>
        <w:rPr>
          <w:rFonts w:hint="eastAsia" w:cs="仿宋" w:asciiTheme="minorEastAsia" w:hAnsiTheme="minorEastAsia" w:eastAsiaTheme="minorEastAsia"/>
          <w:color w:val="000000"/>
          <w:spacing w:val="-17"/>
          <w:w w:val="15"/>
          <w:kern w:val="0"/>
          <w:szCs w:val="21"/>
          <w:fitText w:val="42" w:id="191716184"/>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且不应小于</w:t>
      </w:r>
      <w:r>
        <w:rPr>
          <w:rFonts w:hint="eastAsia" w:asciiTheme="minorEastAsia" w:hAnsiTheme="minorEastAsia" w:eastAsiaTheme="minorEastAsia"/>
          <w:color w:val="000000"/>
          <w:szCs w:val="21"/>
        </w:rPr>
        <w:t>0.5</w:t>
      </w:r>
      <w:r>
        <w:rPr>
          <w:rFonts w:hint="eastAsia" w:cs="仿宋" w:asciiTheme="minorEastAsia" w:hAnsiTheme="minorEastAsia" w:eastAsiaTheme="minorEastAsia"/>
          <w:color w:val="000000"/>
          <w:spacing w:val="0"/>
          <w:w w:val="15"/>
          <w:kern w:val="0"/>
          <w:szCs w:val="21"/>
          <w:fitText w:val="42" w:id="2036275267"/>
        </w:rPr>
        <w:t xml:space="preserve">　 </w:t>
      </w:r>
      <w:r>
        <w:rPr>
          <w:rFonts w:hint="eastAsia" w:cs="仿宋" w:asciiTheme="minorEastAsia" w:hAnsiTheme="minorEastAsia" w:eastAsiaTheme="minorEastAsia"/>
          <w:color w:val="000000"/>
          <w:spacing w:val="-17"/>
          <w:w w:val="15"/>
          <w:kern w:val="0"/>
          <w:szCs w:val="21"/>
          <w:fitText w:val="42" w:id="2036275267"/>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 xml:space="preserve">； </w:t>
      </w:r>
    </w:p>
    <w:p>
      <w:pPr>
        <w:pStyle w:val="41"/>
        <w:numPr>
          <w:ilvl w:val="1"/>
          <w:numId w:val="13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发射器和接收器</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反射式探测器的探测器和反射板</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 xml:space="preserve">应安装在固定结构上，且应安装牢固，确需安装在钢架等容易发生位移形变的结构上时，结构的位移不应影响探测器的正常运行； </w:t>
      </w:r>
    </w:p>
    <w:p>
      <w:pPr>
        <w:pStyle w:val="41"/>
        <w:numPr>
          <w:ilvl w:val="1"/>
          <w:numId w:val="13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发射器和接收器</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反射式探测器的探测器和反射板</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 xml:space="preserve">之间的光路上应无遮挡物； </w:t>
      </w:r>
    </w:p>
    <w:p>
      <w:pPr>
        <w:pStyle w:val="41"/>
        <w:numPr>
          <w:ilvl w:val="1"/>
          <w:numId w:val="13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应保证接收器</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反射式探测器的探测器</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 xml:space="preserve">避开日光和人工光源直接照射。 </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全数检查</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bCs/>
          <w:szCs w:val="21"/>
        </w:rPr>
      </w:pPr>
      <w:r>
        <w:rPr>
          <w:rFonts w:asciiTheme="minorEastAsia" w:hAnsiTheme="minorEastAsia" w:eastAsiaTheme="minorEastAsia"/>
          <w:szCs w:val="21"/>
        </w:rPr>
        <w:t>检查方法</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施工中观察</w:t>
      </w:r>
      <w:r>
        <w:rPr>
          <w:rFonts w:asciiTheme="minorEastAsia" w:hAnsiTheme="minorEastAsia" w:eastAsiaTheme="minorEastAsia"/>
          <w:szCs w:val="21"/>
        </w:rPr>
        <w:t>检查。</w:t>
      </w:r>
    </w:p>
    <w:p>
      <w:pPr>
        <w:pStyle w:val="41"/>
        <w:numPr>
          <w:ilvl w:val="0"/>
          <w:numId w:val="114"/>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 xml:space="preserve">管路采样式吸气感烟火灾探测器的安装应符合下列规定： </w:t>
      </w:r>
    </w:p>
    <w:p>
      <w:pPr>
        <w:pStyle w:val="41"/>
        <w:numPr>
          <w:ilvl w:val="1"/>
          <w:numId w:val="13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高灵敏度吸气式感烟火灾探测器当设置为高灵敏度时，可安装在天棚高度大于</w:t>
      </w:r>
      <w:r>
        <w:rPr>
          <w:rFonts w:hint="eastAsia" w:asciiTheme="minorEastAsia" w:hAnsiTheme="minorEastAsia" w:eastAsiaTheme="minorEastAsia"/>
          <w:color w:val="000000"/>
          <w:szCs w:val="21"/>
        </w:rPr>
        <w:t>16</w:t>
      </w:r>
      <w:r>
        <w:rPr>
          <w:rFonts w:hint="eastAsia" w:cs="仿宋" w:asciiTheme="minorEastAsia" w:hAnsiTheme="minorEastAsia" w:eastAsiaTheme="minorEastAsia"/>
          <w:color w:val="000000"/>
          <w:spacing w:val="0"/>
          <w:w w:val="15"/>
          <w:kern w:val="0"/>
          <w:szCs w:val="21"/>
          <w:fitText w:val="42" w:id="1236685400"/>
        </w:rPr>
        <w:t xml:space="preserve">　 </w:t>
      </w:r>
      <w:r>
        <w:rPr>
          <w:rFonts w:hint="eastAsia" w:cs="仿宋" w:asciiTheme="minorEastAsia" w:hAnsiTheme="minorEastAsia" w:eastAsiaTheme="minorEastAsia"/>
          <w:color w:val="000000"/>
          <w:spacing w:val="-17"/>
          <w:w w:val="15"/>
          <w:kern w:val="0"/>
          <w:szCs w:val="21"/>
          <w:fitText w:val="42" w:id="1236685400"/>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的场所，并应保证至少有两个采样孔低于</w:t>
      </w:r>
      <w:r>
        <w:rPr>
          <w:rFonts w:hint="eastAsia" w:asciiTheme="minorEastAsia" w:hAnsiTheme="minorEastAsia" w:eastAsiaTheme="minorEastAsia"/>
          <w:color w:val="000000"/>
          <w:szCs w:val="21"/>
        </w:rPr>
        <w:t>16</w:t>
      </w:r>
      <w:r>
        <w:rPr>
          <w:rFonts w:hint="eastAsia" w:cs="仿宋" w:asciiTheme="minorEastAsia" w:hAnsiTheme="minorEastAsia" w:eastAsiaTheme="minorEastAsia"/>
          <w:color w:val="000000"/>
          <w:spacing w:val="0"/>
          <w:w w:val="15"/>
          <w:kern w:val="0"/>
          <w:szCs w:val="21"/>
          <w:fitText w:val="42" w:id="108992033"/>
        </w:rPr>
        <w:t xml:space="preserve">　 </w:t>
      </w:r>
      <w:r>
        <w:rPr>
          <w:rFonts w:hint="eastAsia" w:cs="仿宋" w:asciiTheme="minorEastAsia" w:hAnsiTheme="minorEastAsia" w:eastAsiaTheme="minorEastAsia"/>
          <w:color w:val="000000"/>
          <w:spacing w:val="-17"/>
          <w:w w:val="15"/>
          <w:kern w:val="0"/>
          <w:szCs w:val="21"/>
          <w:fitText w:val="42" w:id="108992033"/>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 xml:space="preserve"> </w:t>
      </w:r>
    </w:p>
    <w:p>
      <w:pPr>
        <w:pStyle w:val="41"/>
        <w:numPr>
          <w:ilvl w:val="1"/>
          <w:numId w:val="13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非高灵敏度的吸气式感烟火灾探测器不宜安装在天棚高度大于</w:t>
      </w:r>
      <w:r>
        <w:rPr>
          <w:rFonts w:hint="eastAsia" w:asciiTheme="minorEastAsia" w:hAnsiTheme="minorEastAsia" w:eastAsiaTheme="minorEastAsia"/>
          <w:color w:val="000000"/>
          <w:szCs w:val="21"/>
        </w:rPr>
        <w:t>16</w:t>
      </w:r>
      <w:r>
        <w:rPr>
          <w:rFonts w:hint="eastAsia" w:cs="仿宋" w:asciiTheme="minorEastAsia" w:hAnsiTheme="minorEastAsia" w:eastAsiaTheme="minorEastAsia"/>
          <w:color w:val="000000"/>
          <w:spacing w:val="0"/>
          <w:w w:val="15"/>
          <w:kern w:val="0"/>
          <w:szCs w:val="21"/>
          <w:fitText w:val="42" w:id="1316098243"/>
        </w:rPr>
        <w:t xml:space="preserve">　 </w:t>
      </w:r>
      <w:r>
        <w:rPr>
          <w:rFonts w:hint="eastAsia" w:cs="仿宋" w:asciiTheme="minorEastAsia" w:hAnsiTheme="minorEastAsia" w:eastAsiaTheme="minorEastAsia"/>
          <w:color w:val="000000"/>
          <w:spacing w:val="-17"/>
          <w:w w:val="15"/>
          <w:kern w:val="0"/>
          <w:szCs w:val="21"/>
          <w:fitText w:val="42" w:id="1316098243"/>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 xml:space="preserve">的场所； </w:t>
      </w:r>
    </w:p>
    <w:p>
      <w:pPr>
        <w:pStyle w:val="41"/>
        <w:numPr>
          <w:ilvl w:val="1"/>
          <w:numId w:val="13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 xml:space="preserve">采样管应牢固安装在过梁、空间支架等建筑结构上； </w:t>
      </w:r>
    </w:p>
    <w:p>
      <w:pPr>
        <w:pStyle w:val="41"/>
        <w:numPr>
          <w:ilvl w:val="1"/>
          <w:numId w:val="13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在大空间场所安装时，每个采样孔的保护面积、保护半径应满足</w:t>
      </w:r>
      <w:r>
        <w:rPr>
          <w:rFonts w:hint="eastAsia" w:asciiTheme="minorEastAsia" w:hAnsiTheme="minorEastAsia" w:eastAsiaTheme="minorEastAsia"/>
          <w:color w:val="000000"/>
          <w:szCs w:val="21"/>
        </w:rPr>
        <w:t>点型</w:t>
      </w:r>
      <w:r>
        <w:rPr>
          <w:rFonts w:hint="eastAsia" w:asciiTheme="minorEastAsia" w:hAnsiTheme="minorEastAsia" w:eastAsiaTheme="minorEastAsia"/>
          <w:szCs w:val="21"/>
        </w:rPr>
        <w:t>感烟火灾探测器的保护面积、保护半径的要求，当采样管道布置形式为垂直采样时，每</w:t>
      </w:r>
      <w:r>
        <w:rPr>
          <w:rFonts w:hint="eastAsia" w:asciiTheme="minorEastAsia" w:hAnsiTheme="minorEastAsia" w:eastAsiaTheme="minorEastAsia"/>
          <w:color w:val="000000"/>
          <w:szCs w:val="21"/>
        </w:rPr>
        <w:t>2</w:t>
      </w:r>
      <w:r>
        <w:rPr>
          <w:rFonts w:hint="eastAsia" w:cs="仿宋" w:asciiTheme="minorEastAsia" w:hAnsiTheme="minorEastAsia" w:eastAsiaTheme="minorEastAsia"/>
          <w:color w:val="000000"/>
          <w:spacing w:val="0"/>
          <w:w w:val="15"/>
          <w:kern w:val="0"/>
          <w:szCs w:val="21"/>
          <w:fitText w:val="42" w:id="90926637"/>
        </w:rPr>
        <w:t xml:space="preserve">　 </w:t>
      </w:r>
      <w:r>
        <w:rPr>
          <w:rFonts w:hint="eastAsia" w:cs="仿宋" w:asciiTheme="minorEastAsia" w:hAnsiTheme="minorEastAsia" w:eastAsiaTheme="minorEastAsia"/>
          <w:color w:val="000000"/>
          <w:spacing w:val="-17"/>
          <w:w w:val="15"/>
          <w:kern w:val="0"/>
          <w:szCs w:val="21"/>
          <w:fitText w:val="42" w:id="90926637"/>
        </w:rPr>
        <w:t>　</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温差间隔或</w:t>
      </w:r>
      <w:r>
        <w:rPr>
          <w:rFonts w:hint="eastAsia" w:asciiTheme="minorEastAsia" w:hAnsiTheme="minorEastAsia" w:eastAsiaTheme="minorEastAsia"/>
          <w:color w:val="000000"/>
          <w:szCs w:val="21"/>
        </w:rPr>
        <w:t>3</w:t>
      </w:r>
      <w:r>
        <w:rPr>
          <w:rFonts w:hint="eastAsia" w:cs="仿宋" w:asciiTheme="minorEastAsia" w:hAnsiTheme="minorEastAsia" w:eastAsiaTheme="minorEastAsia"/>
          <w:color w:val="000000"/>
          <w:spacing w:val="0"/>
          <w:w w:val="15"/>
          <w:kern w:val="0"/>
          <w:szCs w:val="21"/>
          <w:fitText w:val="42" w:id="990844889"/>
        </w:rPr>
        <w:t xml:space="preserve">　 </w:t>
      </w:r>
      <w:r>
        <w:rPr>
          <w:rFonts w:hint="eastAsia" w:cs="仿宋" w:asciiTheme="minorEastAsia" w:hAnsiTheme="minorEastAsia" w:eastAsiaTheme="minorEastAsia"/>
          <w:color w:val="000000"/>
          <w:spacing w:val="-17"/>
          <w:w w:val="15"/>
          <w:kern w:val="0"/>
          <w:szCs w:val="21"/>
          <w:fitText w:val="42" w:id="990844889"/>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间隔</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取最小者</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 xml:space="preserve">应设置一个采样孔，采样孔不应背对气流方向； </w:t>
      </w:r>
    </w:p>
    <w:p>
      <w:pPr>
        <w:pStyle w:val="41"/>
        <w:numPr>
          <w:ilvl w:val="1"/>
          <w:numId w:val="13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 xml:space="preserve">采样孔的直径应根据采样管的长度及敷设方式、采样孔的数量等因素确定，并应满足设计文件和产品使用说明书的要求，采样孔需要现场加工时，应采用专用打孔工具； </w:t>
      </w:r>
    </w:p>
    <w:p>
      <w:pPr>
        <w:pStyle w:val="41"/>
        <w:numPr>
          <w:ilvl w:val="1"/>
          <w:numId w:val="13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当采样管道采用毛细管布置方式时，毛细管长度不宜超过</w:t>
      </w:r>
      <w:r>
        <w:rPr>
          <w:rFonts w:hint="eastAsia" w:asciiTheme="minorEastAsia" w:hAnsiTheme="minorEastAsia" w:eastAsiaTheme="minorEastAsia"/>
          <w:color w:val="000000"/>
          <w:szCs w:val="21"/>
        </w:rPr>
        <w:t>4</w:t>
      </w:r>
      <w:r>
        <w:rPr>
          <w:rFonts w:hint="eastAsia" w:cs="仿宋" w:asciiTheme="minorEastAsia" w:hAnsiTheme="minorEastAsia" w:eastAsiaTheme="minorEastAsia"/>
          <w:color w:val="000000"/>
          <w:spacing w:val="0"/>
          <w:w w:val="15"/>
          <w:kern w:val="0"/>
          <w:szCs w:val="21"/>
          <w:fitText w:val="42" w:id="441413737"/>
        </w:rPr>
        <w:t xml:space="preserve">　 </w:t>
      </w:r>
      <w:r>
        <w:rPr>
          <w:rFonts w:hint="eastAsia" w:cs="仿宋" w:asciiTheme="minorEastAsia" w:hAnsiTheme="minorEastAsia" w:eastAsiaTheme="minorEastAsia"/>
          <w:color w:val="000000"/>
          <w:spacing w:val="-17"/>
          <w:w w:val="15"/>
          <w:kern w:val="0"/>
          <w:szCs w:val="21"/>
          <w:fitText w:val="42" w:id="441413737"/>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 xml:space="preserve">； </w:t>
      </w:r>
    </w:p>
    <w:p>
      <w:pPr>
        <w:pStyle w:val="41"/>
        <w:numPr>
          <w:ilvl w:val="1"/>
          <w:numId w:val="13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采样管和采样孔应设置明显的火灾探测器标识。</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全数检查</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施工中观察</w:t>
      </w:r>
      <w:r>
        <w:rPr>
          <w:rFonts w:asciiTheme="minorEastAsia" w:hAnsiTheme="minorEastAsia" w:eastAsiaTheme="minorEastAsia"/>
          <w:szCs w:val="21"/>
        </w:rPr>
        <w:t>检查。</w:t>
      </w:r>
    </w:p>
    <w:p>
      <w:pPr>
        <w:pStyle w:val="41"/>
        <w:numPr>
          <w:ilvl w:val="0"/>
          <w:numId w:val="114"/>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 xml:space="preserve">点型火焰探测器和图像型火灾探测器的安装应符合下列规定： </w:t>
      </w:r>
    </w:p>
    <w:p>
      <w:pPr>
        <w:pStyle w:val="41"/>
        <w:numPr>
          <w:ilvl w:val="1"/>
          <w:numId w:val="13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 xml:space="preserve">安装位置应保证其视场角覆盖探测区域，并应避免光源直接照射在探测器的探测窗口； </w:t>
      </w:r>
    </w:p>
    <w:p>
      <w:pPr>
        <w:pStyle w:val="41"/>
        <w:numPr>
          <w:ilvl w:val="1"/>
          <w:numId w:val="13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探测器的探测视角内不应存在遮挡物；</w:t>
      </w:r>
    </w:p>
    <w:p>
      <w:pPr>
        <w:pStyle w:val="41"/>
        <w:numPr>
          <w:ilvl w:val="1"/>
          <w:numId w:val="13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 xml:space="preserve">在室外或交通隧道场所安装时，应采取防尘、防水措施。 </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全数检查</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施工中观察</w:t>
      </w:r>
      <w:r>
        <w:rPr>
          <w:rFonts w:asciiTheme="minorEastAsia" w:hAnsiTheme="minorEastAsia" w:eastAsiaTheme="minorEastAsia"/>
          <w:szCs w:val="21"/>
        </w:rPr>
        <w:t>检查。</w:t>
      </w:r>
    </w:p>
    <w:p>
      <w:pPr>
        <w:pStyle w:val="41"/>
        <w:numPr>
          <w:ilvl w:val="0"/>
          <w:numId w:val="114"/>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消防水炮的控制部件安装应符合下列规定：</w:t>
      </w:r>
    </w:p>
    <w:p>
      <w:pPr>
        <w:pStyle w:val="41"/>
        <w:numPr>
          <w:ilvl w:val="1"/>
          <w:numId w:val="13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现场控制箱设置在相应灭火装置下方附近、便于发现和操作的位置，宜靠近疏散口。</w:t>
      </w:r>
    </w:p>
    <w:p>
      <w:pPr>
        <w:pStyle w:val="41"/>
        <w:numPr>
          <w:ilvl w:val="1"/>
          <w:numId w:val="13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现场控制箱安装方式为壁挂式，其中心线宜距地面1.5米安装，应有明显标识，且周围应无明显的障碍物，便于现场操作。</w:t>
      </w:r>
    </w:p>
    <w:p>
      <w:pPr>
        <w:pStyle w:val="41"/>
        <w:numPr>
          <w:ilvl w:val="1"/>
          <w:numId w:val="13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现场控制箱安装应牢固，手动操作时无晃动。</w:t>
      </w:r>
    </w:p>
    <w:p>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检查数量</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全数检查</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检查方法</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施工中观察</w:t>
      </w:r>
      <w:r>
        <w:rPr>
          <w:rFonts w:asciiTheme="minorEastAsia" w:hAnsiTheme="minorEastAsia" w:eastAsiaTheme="minorEastAsia"/>
          <w:szCs w:val="21"/>
        </w:rPr>
        <w:t>检查。</w:t>
      </w:r>
    </w:p>
    <w:p>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153" w:name="_Toc137216247"/>
      <w:bookmarkStart w:id="154" w:name="_Toc136868053"/>
      <w:bookmarkStart w:id="155" w:name="_Toc136869088"/>
      <w:r>
        <w:rPr>
          <w:rFonts w:hint="eastAsia" w:asciiTheme="minorEastAsia" w:hAnsiTheme="minorEastAsia" w:eastAsiaTheme="minorEastAsia"/>
          <w:sz w:val="24"/>
          <w:szCs w:val="24"/>
        </w:rPr>
        <w:t>6</w:t>
      </w:r>
      <w:r>
        <w:rPr>
          <w:rFonts w:asciiTheme="minorEastAsia" w:hAnsiTheme="minorEastAsia" w:eastAsiaTheme="minorEastAsia"/>
          <w:sz w:val="24"/>
          <w:szCs w:val="24"/>
        </w:rPr>
        <w:t xml:space="preserve">.4 </w:t>
      </w:r>
      <w:r>
        <w:rPr>
          <w:rFonts w:hint="eastAsia" w:asciiTheme="minorEastAsia" w:hAnsiTheme="minorEastAsia" w:eastAsiaTheme="minorEastAsia"/>
          <w:sz w:val="24"/>
          <w:szCs w:val="24"/>
        </w:rPr>
        <w:t>电动汽车供电设备</w:t>
      </w:r>
      <w:bookmarkEnd w:id="153"/>
      <w:bookmarkEnd w:id="154"/>
      <w:bookmarkEnd w:id="155"/>
    </w:p>
    <w:p>
      <w:pPr>
        <w:pStyle w:val="4"/>
        <w:spacing w:before="120" w:beforeLines="50" w:after="120" w:afterLines="50"/>
        <w:rPr>
          <w:rFonts w:asciiTheme="minorEastAsia" w:hAnsiTheme="minorEastAsia" w:eastAsiaTheme="minorEastAsia"/>
          <w:sz w:val="21"/>
          <w:szCs w:val="21"/>
        </w:rPr>
      </w:pPr>
      <w:r>
        <w:t>I</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主控项目</w:t>
      </w:r>
    </w:p>
    <w:p>
      <w:pPr>
        <w:pStyle w:val="41"/>
        <w:numPr>
          <w:ilvl w:val="0"/>
          <w:numId w:val="134"/>
        </w:numPr>
        <w:spacing w:line="360" w:lineRule="auto"/>
        <w:ind w:left="0" w:firstLine="0" w:firstLineChars="0"/>
        <w:rPr>
          <w:rFonts w:ascii="宋体" w:hAnsi="宋体" w:cs="宋体"/>
          <w:szCs w:val="21"/>
        </w:rPr>
      </w:pPr>
      <w:r>
        <w:rPr>
          <w:rFonts w:hint="eastAsia" w:ascii="宋体" w:hAnsi="宋体" w:cs="宋体"/>
          <w:szCs w:val="21"/>
        </w:rPr>
        <w:t>电动汽车供电设备的污染等级和外壳防护等级应符合下表1要求，室内暴露于污染的工业环境时，污染等级为PD3。室外使用时，外壳及外露的材料对紫外辐射引起的材料退化应有足够的耐受能力，不应有明显变形、裂纹或破裂等，不应影响正常使用。</w:t>
      </w:r>
    </w:p>
    <w:p>
      <w:pPr>
        <w:pStyle w:val="41"/>
        <w:spacing w:line="360" w:lineRule="auto"/>
        <w:rPr>
          <w:rFonts w:ascii="宋体" w:hAnsi="宋体" w:cs="宋体"/>
          <w:szCs w:val="21"/>
        </w:rPr>
      </w:pPr>
      <w:r>
        <w:rPr>
          <w:rFonts w:hint="eastAsia" w:ascii="宋体" w:hAnsi="宋体" w:cs="宋体"/>
          <w:szCs w:val="21"/>
        </w:rPr>
        <w:t>检查数量</w:t>
      </w:r>
      <w:r>
        <w:rPr>
          <w:rFonts w:hint="eastAsia" w:ascii="宋体" w:hAnsi="宋体" w:cs="宋体"/>
          <w:color w:val="000000"/>
          <w:szCs w:val="21"/>
        </w:rPr>
        <w:t>：</w:t>
      </w:r>
      <w:r>
        <w:rPr>
          <w:rFonts w:hint="eastAsia" w:ascii="宋体" w:hAnsi="宋体" w:cs="宋体"/>
          <w:szCs w:val="21"/>
        </w:rPr>
        <w:t>全数检查。</w:t>
      </w:r>
    </w:p>
    <w:p>
      <w:pPr>
        <w:spacing w:line="360" w:lineRule="auto"/>
        <w:ind w:firstLine="420" w:firstLineChars="200"/>
        <w:rPr>
          <w:rFonts w:ascii="宋体" w:hAnsi="宋体" w:cs="宋体"/>
          <w:szCs w:val="21"/>
        </w:rPr>
      </w:pPr>
      <w:r>
        <w:rPr>
          <w:rFonts w:hint="eastAsia" w:ascii="宋体" w:hAnsi="宋体" w:cs="宋体"/>
          <w:szCs w:val="21"/>
        </w:rPr>
        <w:t>检查方法</w:t>
      </w:r>
      <w:r>
        <w:rPr>
          <w:rFonts w:hint="eastAsia" w:ascii="宋体" w:hAnsi="宋体" w:cs="宋体"/>
          <w:color w:val="000000"/>
          <w:szCs w:val="21"/>
        </w:rPr>
        <w:t>：</w:t>
      </w:r>
      <w:r>
        <w:rPr>
          <w:rFonts w:hint="eastAsia" w:ascii="宋体" w:hAnsi="宋体" w:cs="宋体"/>
          <w:szCs w:val="21"/>
        </w:rPr>
        <w:t>观察检查。</w:t>
      </w:r>
    </w:p>
    <w:p>
      <w:pPr>
        <w:spacing w:line="360" w:lineRule="auto"/>
        <w:jc w:val="center"/>
        <w:rPr>
          <w:rFonts w:ascii="黑体" w:hAnsi="黑体" w:eastAsia="黑体" w:cs="宋体"/>
          <w:szCs w:val="21"/>
        </w:rPr>
      </w:pPr>
      <w:r>
        <w:rPr>
          <w:rFonts w:hint="eastAsia" w:ascii="黑体" w:hAnsi="黑体" w:eastAsia="黑体" w:cs="宋体"/>
          <w:szCs w:val="21"/>
        </w:rPr>
        <w:t>表6</w:t>
      </w:r>
      <w:r>
        <w:rPr>
          <w:rFonts w:ascii="黑体" w:hAnsi="黑体" w:eastAsia="黑体" w:cs="宋体"/>
          <w:szCs w:val="21"/>
        </w:rPr>
        <w:t>.4.</w:t>
      </w:r>
      <w:r>
        <w:rPr>
          <w:rFonts w:hint="eastAsia" w:ascii="黑体" w:hAnsi="黑体" w:eastAsia="黑体" w:cs="宋体"/>
          <w:szCs w:val="21"/>
        </w:rPr>
        <w:t>1  环境分类</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9"/>
        <w:gridCol w:w="3115"/>
        <w:gridCol w:w="3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360" w:lineRule="auto"/>
              <w:jc w:val="center"/>
              <w:rPr>
                <w:rFonts w:ascii="宋体" w:hAnsi="宋体" w:cs="宋体"/>
                <w:sz w:val="18"/>
                <w:szCs w:val="18"/>
                <w:lang w:eastAsia="zh-Hans"/>
              </w:rPr>
            </w:pPr>
            <w:r>
              <w:rPr>
                <w:rFonts w:hint="eastAsia" w:ascii="宋体" w:hAnsi="宋体" w:cs="宋体"/>
                <w:sz w:val="18"/>
                <w:szCs w:val="18"/>
                <w:lang w:eastAsia="zh-Hans"/>
              </w:rPr>
              <w:t>类型</w:t>
            </w:r>
          </w:p>
        </w:tc>
        <w:tc>
          <w:tcPr>
            <w:tcW w:w="0" w:type="auto"/>
          </w:tcPr>
          <w:p>
            <w:pPr>
              <w:spacing w:line="360" w:lineRule="auto"/>
              <w:jc w:val="center"/>
              <w:rPr>
                <w:rFonts w:ascii="宋体" w:hAnsi="宋体" w:cs="宋体"/>
                <w:sz w:val="18"/>
                <w:szCs w:val="18"/>
                <w:lang w:eastAsia="zh-Hans"/>
              </w:rPr>
            </w:pPr>
            <w:r>
              <w:rPr>
                <w:rFonts w:hint="eastAsia" w:ascii="宋体" w:hAnsi="宋体" w:cs="宋体"/>
                <w:sz w:val="18"/>
                <w:szCs w:val="18"/>
                <w:lang w:eastAsia="zh-Hans"/>
              </w:rPr>
              <w:t>室外</w:t>
            </w:r>
          </w:p>
        </w:tc>
        <w:tc>
          <w:tcPr>
            <w:tcW w:w="0" w:type="auto"/>
          </w:tcPr>
          <w:p>
            <w:pPr>
              <w:spacing w:line="360" w:lineRule="auto"/>
              <w:jc w:val="center"/>
              <w:rPr>
                <w:rFonts w:ascii="宋体" w:hAnsi="宋体" w:cs="宋体"/>
                <w:sz w:val="18"/>
                <w:szCs w:val="18"/>
                <w:lang w:eastAsia="zh-Hans"/>
              </w:rPr>
            </w:pPr>
            <w:r>
              <w:rPr>
                <w:rFonts w:hint="eastAsia" w:ascii="宋体" w:hAnsi="宋体" w:cs="宋体"/>
                <w:sz w:val="18"/>
                <w:szCs w:val="18"/>
                <w:lang w:eastAsia="zh-Hans"/>
              </w:rPr>
              <w:t>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360" w:lineRule="auto"/>
              <w:jc w:val="center"/>
              <w:rPr>
                <w:rFonts w:ascii="宋体" w:hAnsi="宋体" w:cs="宋体"/>
                <w:sz w:val="18"/>
                <w:szCs w:val="18"/>
                <w:lang w:eastAsia="zh-Hans"/>
              </w:rPr>
            </w:pPr>
            <w:r>
              <w:rPr>
                <w:rFonts w:hint="eastAsia" w:ascii="宋体" w:hAnsi="宋体" w:cs="宋体"/>
                <w:sz w:val="18"/>
                <w:szCs w:val="18"/>
                <w:lang w:eastAsia="zh-Hans"/>
              </w:rPr>
              <w:t>污染等级</w:t>
            </w:r>
          </w:p>
        </w:tc>
        <w:tc>
          <w:tcPr>
            <w:tcW w:w="0" w:type="auto"/>
          </w:tcPr>
          <w:p>
            <w:pPr>
              <w:spacing w:line="360" w:lineRule="auto"/>
              <w:jc w:val="center"/>
              <w:rPr>
                <w:rFonts w:ascii="宋体" w:hAnsi="宋体" w:cs="宋体"/>
                <w:sz w:val="18"/>
                <w:szCs w:val="18"/>
                <w:lang w:eastAsia="zh-Hans"/>
              </w:rPr>
            </w:pPr>
            <w:r>
              <w:rPr>
                <w:rFonts w:hint="eastAsia" w:ascii="宋体" w:hAnsi="宋体" w:cs="宋体"/>
                <w:sz w:val="18"/>
                <w:szCs w:val="18"/>
                <w:lang w:eastAsia="zh-Hans"/>
              </w:rPr>
              <w:t>最低PD3</w:t>
            </w:r>
          </w:p>
        </w:tc>
        <w:tc>
          <w:tcPr>
            <w:tcW w:w="0" w:type="auto"/>
          </w:tcPr>
          <w:p>
            <w:pPr>
              <w:spacing w:line="360" w:lineRule="auto"/>
              <w:jc w:val="center"/>
              <w:rPr>
                <w:rFonts w:ascii="宋体" w:hAnsi="宋体" w:cs="宋体"/>
                <w:sz w:val="18"/>
                <w:szCs w:val="18"/>
                <w:lang w:eastAsia="zh-Hans"/>
              </w:rPr>
            </w:pPr>
            <w:r>
              <w:rPr>
                <w:rFonts w:hint="eastAsia" w:ascii="宋体" w:hAnsi="宋体" w:cs="宋体"/>
                <w:sz w:val="18"/>
                <w:szCs w:val="18"/>
                <w:lang w:eastAsia="zh-Hans"/>
              </w:rPr>
              <w:t>最低PD</w:t>
            </w:r>
            <w:r>
              <w:rPr>
                <w:rFonts w:ascii="宋体" w:hAnsi="宋体" w:cs="宋体"/>
                <w:sz w:val="18"/>
                <w:szCs w:val="18"/>
                <w:lang w:eastAsia="zh-Han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360" w:lineRule="auto"/>
              <w:jc w:val="center"/>
              <w:rPr>
                <w:rFonts w:ascii="宋体" w:hAnsi="宋体" w:cs="宋体"/>
                <w:sz w:val="18"/>
                <w:szCs w:val="18"/>
                <w:lang w:eastAsia="zh-Hans"/>
              </w:rPr>
            </w:pPr>
            <w:r>
              <w:rPr>
                <w:rFonts w:hint="eastAsia" w:ascii="宋体" w:hAnsi="宋体" w:cs="宋体"/>
                <w:sz w:val="18"/>
                <w:szCs w:val="18"/>
                <w:lang w:eastAsia="zh-Hans"/>
              </w:rPr>
              <w:t>防护等级</w:t>
            </w:r>
          </w:p>
        </w:tc>
        <w:tc>
          <w:tcPr>
            <w:tcW w:w="0" w:type="auto"/>
          </w:tcPr>
          <w:p>
            <w:pPr>
              <w:spacing w:line="360" w:lineRule="auto"/>
              <w:jc w:val="center"/>
              <w:rPr>
                <w:rFonts w:ascii="宋体" w:hAnsi="宋体" w:cs="宋体"/>
                <w:sz w:val="18"/>
                <w:szCs w:val="18"/>
                <w:lang w:eastAsia="zh-Hans"/>
              </w:rPr>
            </w:pPr>
            <w:r>
              <w:rPr>
                <w:rFonts w:hint="eastAsia" w:ascii="宋体" w:hAnsi="宋体" w:cs="宋体"/>
                <w:sz w:val="18"/>
                <w:szCs w:val="18"/>
                <w:lang w:eastAsia="zh-Hans"/>
              </w:rPr>
              <w:t>最低IP54</w:t>
            </w:r>
          </w:p>
        </w:tc>
        <w:tc>
          <w:tcPr>
            <w:tcW w:w="0" w:type="auto"/>
          </w:tcPr>
          <w:p>
            <w:pPr>
              <w:spacing w:line="360" w:lineRule="auto"/>
              <w:jc w:val="center"/>
              <w:rPr>
                <w:rFonts w:ascii="宋体" w:hAnsi="宋体" w:cs="宋体"/>
                <w:sz w:val="18"/>
                <w:szCs w:val="18"/>
                <w:lang w:eastAsia="zh-Hans"/>
              </w:rPr>
            </w:pPr>
            <w:r>
              <w:rPr>
                <w:rFonts w:hint="eastAsia" w:ascii="宋体" w:hAnsi="宋体" w:cs="宋体"/>
                <w:sz w:val="18"/>
                <w:szCs w:val="18"/>
                <w:lang w:eastAsia="zh-Hans"/>
              </w:rPr>
              <w:t>最低IP32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spacing w:line="360" w:lineRule="auto"/>
              <w:jc w:val="center"/>
              <w:rPr>
                <w:rFonts w:ascii="宋体" w:hAnsi="宋体" w:cs="宋体"/>
                <w:sz w:val="18"/>
                <w:szCs w:val="18"/>
                <w:lang w:eastAsia="zh-Hans"/>
              </w:rPr>
            </w:pPr>
            <w:r>
              <w:rPr>
                <w:rFonts w:hint="eastAsia" w:ascii="宋体" w:hAnsi="宋体" w:cs="宋体"/>
                <w:sz w:val="18"/>
                <w:szCs w:val="18"/>
                <w:lang w:eastAsia="zh-Hans"/>
              </w:rPr>
              <w:t>环境温度范围</w:t>
            </w:r>
          </w:p>
        </w:tc>
        <w:tc>
          <w:tcPr>
            <w:tcW w:w="0" w:type="auto"/>
          </w:tcPr>
          <w:p>
            <w:pPr>
              <w:spacing w:line="360" w:lineRule="auto"/>
              <w:jc w:val="center"/>
              <w:rPr>
                <w:rFonts w:ascii="宋体" w:hAnsi="宋体" w:cs="宋体"/>
                <w:sz w:val="18"/>
                <w:szCs w:val="18"/>
              </w:rPr>
            </w:pPr>
            <w:r>
              <w:rPr>
                <w:rFonts w:ascii="宋体" w:hAnsi="宋体" w:cs="宋体"/>
                <w:color w:val="000000"/>
                <w:sz w:val="18"/>
                <w:szCs w:val="18"/>
              </w:rPr>
              <w:t>-</w:t>
            </w:r>
            <w:r>
              <w:rPr>
                <w:rFonts w:hint="eastAsia" w:ascii="宋体" w:hAnsi="宋体" w:cs="宋体"/>
                <w:color w:val="000000"/>
                <w:sz w:val="18"/>
                <w:szCs w:val="18"/>
              </w:rPr>
              <w:t>20</w:t>
            </w:r>
            <w:r>
              <w:rPr>
                <w:rFonts w:hint="eastAsia" w:cs="仿宋" w:asciiTheme="minorEastAsia" w:hAnsiTheme="minorEastAsia" w:eastAsiaTheme="minorEastAsia"/>
                <w:color w:val="000000"/>
                <w:spacing w:val="0"/>
                <w:w w:val="15"/>
                <w:kern w:val="0"/>
                <w:szCs w:val="21"/>
                <w:fitText w:val="42" w:id="1392392842"/>
              </w:rPr>
              <w:t xml:space="preserve">　 </w:t>
            </w:r>
            <w:r>
              <w:rPr>
                <w:rFonts w:hint="eastAsia" w:cs="仿宋" w:asciiTheme="minorEastAsia" w:hAnsiTheme="minorEastAsia" w:eastAsiaTheme="minorEastAsia"/>
                <w:color w:val="000000"/>
                <w:spacing w:val="-17"/>
                <w:w w:val="15"/>
                <w:kern w:val="0"/>
                <w:szCs w:val="21"/>
                <w:fitText w:val="42" w:id="1392392842"/>
              </w:rPr>
              <w:t>　</w:t>
            </w:r>
            <w:r>
              <w:rPr>
                <w:rFonts w:hint="eastAsia" w:ascii="宋体" w:hAnsi="宋体" w:cs="宋体"/>
                <w:color w:val="000000"/>
                <w:sz w:val="18"/>
                <w:szCs w:val="18"/>
              </w:rPr>
              <w:t>℃</w:t>
            </w:r>
            <w:r>
              <w:rPr>
                <w:rFonts w:ascii="宋体" w:hAnsi="宋体" w:cs="宋体"/>
                <w:sz w:val="18"/>
                <w:szCs w:val="18"/>
              </w:rPr>
              <w:t>～</w:t>
            </w:r>
            <w:r>
              <w:rPr>
                <w:rFonts w:hint="eastAsia" w:ascii="宋体" w:hAnsi="宋体" w:cs="宋体"/>
                <w:color w:val="000000"/>
                <w:sz w:val="18"/>
                <w:szCs w:val="18"/>
              </w:rPr>
              <w:t>50</w:t>
            </w:r>
            <w:r>
              <w:rPr>
                <w:rFonts w:hint="eastAsia" w:cs="仿宋" w:asciiTheme="minorEastAsia" w:hAnsiTheme="minorEastAsia" w:eastAsiaTheme="minorEastAsia"/>
                <w:color w:val="000000"/>
                <w:spacing w:val="0"/>
                <w:w w:val="15"/>
                <w:kern w:val="0"/>
                <w:szCs w:val="21"/>
                <w:fitText w:val="42" w:id="970667303"/>
              </w:rPr>
              <w:t xml:space="preserve">　 </w:t>
            </w:r>
            <w:r>
              <w:rPr>
                <w:rFonts w:hint="eastAsia" w:cs="仿宋" w:asciiTheme="minorEastAsia" w:hAnsiTheme="minorEastAsia" w:eastAsiaTheme="minorEastAsia"/>
                <w:color w:val="000000"/>
                <w:spacing w:val="-17"/>
                <w:w w:val="15"/>
                <w:kern w:val="0"/>
                <w:szCs w:val="21"/>
                <w:fitText w:val="42" w:id="970667303"/>
              </w:rPr>
              <w:t>　</w:t>
            </w:r>
            <w:r>
              <w:rPr>
                <w:rFonts w:hint="eastAsia" w:ascii="宋体" w:hAnsi="宋体" w:cs="宋体"/>
                <w:color w:val="000000"/>
                <w:sz w:val="18"/>
                <w:szCs w:val="18"/>
              </w:rPr>
              <w:t>℃</w:t>
            </w:r>
          </w:p>
        </w:tc>
        <w:tc>
          <w:tcPr>
            <w:tcW w:w="0" w:type="auto"/>
          </w:tcPr>
          <w:p>
            <w:pPr>
              <w:spacing w:line="360" w:lineRule="auto"/>
              <w:jc w:val="center"/>
              <w:rPr>
                <w:rFonts w:ascii="宋体" w:hAnsi="宋体" w:cs="宋体"/>
                <w:sz w:val="18"/>
                <w:szCs w:val="18"/>
              </w:rPr>
            </w:pPr>
            <w:r>
              <w:rPr>
                <w:rFonts w:ascii="宋体" w:hAnsi="宋体" w:cs="宋体"/>
                <w:color w:val="000000"/>
                <w:sz w:val="18"/>
                <w:szCs w:val="18"/>
              </w:rPr>
              <w:t>-</w:t>
            </w:r>
            <w:r>
              <w:rPr>
                <w:rFonts w:hint="eastAsia" w:ascii="宋体" w:hAnsi="宋体" w:cs="宋体"/>
                <w:color w:val="000000"/>
                <w:sz w:val="18"/>
                <w:szCs w:val="18"/>
              </w:rPr>
              <w:t>5</w:t>
            </w:r>
            <w:r>
              <w:rPr>
                <w:rFonts w:hint="eastAsia" w:cs="仿宋" w:asciiTheme="minorEastAsia" w:hAnsiTheme="minorEastAsia" w:eastAsiaTheme="minorEastAsia"/>
                <w:color w:val="000000"/>
                <w:spacing w:val="0"/>
                <w:w w:val="15"/>
                <w:kern w:val="0"/>
                <w:szCs w:val="21"/>
                <w:fitText w:val="42" w:id="1233737135"/>
              </w:rPr>
              <w:t xml:space="preserve">　 </w:t>
            </w:r>
            <w:r>
              <w:rPr>
                <w:rFonts w:hint="eastAsia" w:cs="仿宋" w:asciiTheme="minorEastAsia" w:hAnsiTheme="minorEastAsia" w:eastAsiaTheme="minorEastAsia"/>
                <w:color w:val="000000"/>
                <w:spacing w:val="-17"/>
                <w:w w:val="15"/>
                <w:kern w:val="0"/>
                <w:szCs w:val="21"/>
                <w:fitText w:val="42" w:id="1233737135"/>
              </w:rPr>
              <w:t>　</w:t>
            </w:r>
            <w:r>
              <w:rPr>
                <w:rFonts w:hint="eastAsia" w:ascii="宋体" w:hAnsi="宋体" w:cs="宋体"/>
                <w:color w:val="000000"/>
                <w:sz w:val="18"/>
                <w:szCs w:val="18"/>
              </w:rPr>
              <w:t>℃</w:t>
            </w:r>
            <w:r>
              <w:rPr>
                <w:rFonts w:ascii="宋体" w:hAnsi="宋体" w:cs="宋体"/>
                <w:sz w:val="18"/>
                <w:szCs w:val="18"/>
              </w:rPr>
              <w:t>～</w:t>
            </w:r>
            <w:r>
              <w:rPr>
                <w:rFonts w:ascii="宋体" w:hAnsi="宋体" w:cs="宋体"/>
                <w:color w:val="000000"/>
                <w:sz w:val="18"/>
                <w:szCs w:val="18"/>
              </w:rPr>
              <w:t>+</w:t>
            </w:r>
            <w:r>
              <w:rPr>
                <w:rFonts w:hint="eastAsia" w:ascii="宋体" w:hAnsi="宋体" w:cs="宋体"/>
                <w:color w:val="000000"/>
                <w:sz w:val="18"/>
                <w:szCs w:val="18"/>
              </w:rPr>
              <w:t>50</w:t>
            </w:r>
            <w:r>
              <w:rPr>
                <w:rFonts w:hint="eastAsia" w:cs="仿宋" w:asciiTheme="minorEastAsia" w:hAnsiTheme="minorEastAsia" w:eastAsiaTheme="minorEastAsia"/>
                <w:color w:val="000000"/>
                <w:spacing w:val="0"/>
                <w:w w:val="15"/>
                <w:kern w:val="0"/>
                <w:szCs w:val="21"/>
                <w:fitText w:val="42" w:id="434781365"/>
              </w:rPr>
              <w:t xml:space="preserve">　 </w:t>
            </w:r>
            <w:r>
              <w:rPr>
                <w:rFonts w:hint="eastAsia" w:cs="仿宋" w:asciiTheme="minorEastAsia" w:hAnsiTheme="minorEastAsia" w:eastAsiaTheme="minorEastAsia"/>
                <w:color w:val="000000"/>
                <w:spacing w:val="-17"/>
                <w:w w:val="15"/>
                <w:kern w:val="0"/>
                <w:szCs w:val="21"/>
                <w:fitText w:val="42" w:id="434781365"/>
              </w:rPr>
              <w:t>　</w:t>
            </w: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360" w:lineRule="auto"/>
              <w:jc w:val="center"/>
              <w:rPr>
                <w:rFonts w:ascii="宋体" w:hAnsi="宋体" w:cs="宋体"/>
                <w:sz w:val="18"/>
                <w:szCs w:val="18"/>
                <w:lang w:eastAsia="zh-Hans"/>
              </w:rPr>
            </w:pPr>
            <w:r>
              <w:rPr>
                <w:rFonts w:hint="eastAsia" w:ascii="宋体" w:hAnsi="宋体" w:cs="宋体"/>
                <w:sz w:val="18"/>
                <w:szCs w:val="18"/>
                <w:lang w:eastAsia="zh-Hans"/>
              </w:rPr>
              <w:t>相对湿度范围</w:t>
            </w:r>
          </w:p>
        </w:tc>
        <w:tc>
          <w:tcPr>
            <w:tcW w:w="0" w:type="auto"/>
          </w:tcPr>
          <w:p>
            <w:pPr>
              <w:spacing w:line="360" w:lineRule="auto"/>
              <w:jc w:val="center"/>
              <w:rPr>
                <w:rFonts w:ascii="宋体" w:hAnsi="宋体" w:cs="宋体"/>
                <w:sz w:val="18"/>
                <w:szCs w:val="18"/>
              </w:rPr>
            </w:pPr>
            <w:r>
              <w:rPr>
                <w:rFonts w:ascii="宋体" w:hAnsi="宋体" w:cs="宋体"/>
                <w:sz w:val="18"/>
                <w:szCs w:val="18"/>
              </w:rPr>
              <w:t>5</w:t>
            </w:r>
            <w:r>
              <w:rPr>
                <w:rFonts w:hint="eastAsia" w:ascii="宋体" w:hAnsi="宋体" w:cs="宋体"/>
                <w:sz w:val="18"/>
                <w:szCs w:val="18"/>
              </w:rPr>
              <w:t>%</w:t>
            </w:r>
            <w:r>
              <w:rPr>
                <w:rFonts w:ascii="宋体" w:hAnsi="宋体" w:cs="宋体"/>
                <w:sz w:val="18"/>
                <w:szCs w:val="18"/>
              </w:rPr>
              <w:t>～95</w:t>
            </w:r>
            <w:r>
              <w:rPr>
                <w:rFonts w:hint="eastAsia" w:ascii="宋体" w:hAnsi="宋体" w:cs="宋体"/>
                <w:sz w:val="18"/>
                <w:szCs w:val="18"/>
              </w:rPr>
              <w:t>%</w:t>
            </w:r>
            <w:r>
              <w:rPr>
                <w:rFonts w:ascii="宋体" w:hAnsi="宋体" w:cs="宋体"/>
                <w:sz w:val="18"/>
                <w:szCs w:val="18"/>
              </w:rPr>
              <w:t>（</w:t>
            </w:r>
            <w:r>
              <w:rPr>
                <w:rFonts w:hint="eastAsia" w:ascii="宋体" w:hAnsi="宋体" w:cs="宋体"/>
                <w:sz w:val="18"/>
                <w:szCs w:val="18"/>
                <w:lang w:eastAsia="zh-Hans"/>
              </w:rPr>
              <w:t>无冷凝</w:t>
            </w:r>
            <w:r>
              <w:rPr>
                <w:rFonts w:ascii="宋体" w:hAnsi="宋体" w:cs="宋体"/>
                <w:sz w:val="18"/>
                <w:szCs w:val="18"/>
              </w:rPr>
              <w:t>）</w:t>
            </w:r>
          </w:p>
        </w:tc>
        <w:tc>
          <w:tcPr>
            <w:tcW w:w="0" w:type="auto"/>
          </w:tcPr>
          <w:p>
            <w:pPr>
              <w:spacing w:line="360" w:lineRule="auto"/>
              <w:jc w:val="center"/>
              <w:rPr>
                <w:rFonts w:ascii="宋体" w:hAnsi="宋体" w:cs="宋体"/>
                <w:sz w:val="18"/>
                <w:szCs w:val="18"/>
              </w:rPr>
            </w:pPr>
            <w:r>
              <w:rPr>
                <w:rFonts w:ascii="宋体" w:hAnsi="宋体" w:cs="宋体"/>
                <w:sz w:val="18"/>
                <w:szCs w:val="18"/>
              </w:rPr>
              <w:t>5</w:t>
            </w:r>
            <w:r>
              <w:rPr>
                <w:rFonts w:hint="eastAsia" w:ascii="宋体" w:hAnsi="宋体" w:cs="宋体"/>
                <w:sz w:val="18"/>
                <w:szCs w:val="18"/>
              </w:rPr>
              <w:t>%</w:t>
            </w:r>
            <w:r>
              <w:rPr>
                <w:rFonts w:ascii="宋体" w:hAnsi="宋体" w:cs="宋体"/>
                <w:sz w:val="18"/>
                <w:szCs w:val="18"/>
              </w:rPr>
              <w:t>～95</w:t>
            </w:r>
            <w:r>
              <w:rPr>
                <w:rFonts w:hint="eastAsia" w:ascii="宋体" w:hAnsi="宋体" w:cs="宋体"/>
                <w:sz w:val="18"/>
                <w:szCs w:val="18"/>
              </w:rPr>
              <w:t>%</w:t>
            </w:r>
            <w:r>
              <w:rPr>
                <w:rFonts w:ascii="宋体" w:hAnsi="宋体" w:cs="宋体"/>
                <w:sz w:val="18"/>
                <w:szCs w:val="18"/>
              </w:rPr>
              <w:t>（</w:t>
            </w:r>
            <w:r>
              <w:rPr>
                <w:rFonts w:hint="eastAsia" w:ascii="宋体" w:hAnsi="宋体" w:cs="宋体"/>
                <w:sz w:val="18"/>
                <w:szCs w:val="18"/>
                <w:lang w:eastAsia="zh-Hans"/>
              </w:rPr>
              <w:t>无冷凝</w:t>
            </w:r>
            <w:r>
              <w:rPr>
                <w:rFonts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360" w:lineRule="auto"/>
              <w:jc w:val="center"/>
              <w:rPr>
                <w:rFonts w:ascii="宋体" w:hAnsi="宋体" w:cs="宋体"/>
                <w:sz w:val="18"/>
                <w:szCs w:val="18"/>
                <w:lang w:eastAsia="zh-Hans"/>
              </w:rPr>
            </w:pPr>
            <w:r>
              <w:rPr>
                <w:rFonts w:hint="eastAsia" w:ascii="宋体" w:hAnsi="宋体" w:cs="宋体"/>
                <w:sz w:val="18"/>
                <w:szCs w:val="18"/>
                <w:lang w:eastAsia="zh-Hans"/>
              </w:rPr>
              <w:t>紫外暴露</w:t>
            </w:r>
          </w:p>
        </w:tc>
        <w:tc>
          <w:tcPr>
            <w:tcW w:w="0" w:type="auto"/>
          </w:tcPr>
          <w:p>
            <w:pPr>
              <w:spacing w:line="360" w:lineRule="auto"/>
              <w:jc w:val="center"/>
              <w:rPr>
                <w:rFonts w:ascii="宋体" w:hAnsi="宋体" w:cs="宋体"/>
                <w:sz w:val="18"/>
                <w:szCs w:val="18"/>
                <w:lang w:eastAsia="zh-Hans"/>
              </w:rPr>
            </w:pPr>
            <w:r>
              <w:rPr>
                <w:rFonts w:hint="eastAsia" w:ascii="宋体" w:hAnsi="宋体" w:cs="宋体"/>
                <w:sz w:val="18"/>
                <w:szCs w:val="18"/>
                <w:lang w:eastAsia="zh-Hans"/>
              </w:rPr>
              <w:t>要求</w:t>
            </w:r>
          </w:p>
        </w:tc>
        <w:tc>
          <w:tcPr>
            <w:tcW w:w="0" w:type="auto"/>
          </w:tcPr>
          <w:p>
            <w:pPr>
              <w:spacing w:line="360" w:lineRule="auto"/>
              <w:jc w:val="center"/>
              <w:rPr>
                <w:rFonts w:ascii="宋体" w:hAnsi="宋体" w:cs="宋体"/>
                <w:sz w:val="18"/>
                <w:szCs w:val="18"/>
                <w:lang w:eastAsia="zh-Hans"/>
              </w:rPr>
            </w:pPr>
            <w:r>
              <w:rPr>
                <w:rFonts w:hint="eastAsia" w:ascii="宋体" w:hAnsi="宋体" w:cs="宋体"/>
                <w:sz w:val="18"/>
                <w:szCs w:val="18"/>
                <w:lang w:eastAsia="zh-Hans"/>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360" w:lineRule="auto"/>
              <w:jc w:val="center"/>
              <w:rPr>
                <w:rFonts w:ascii="宋体" w:hAnsi="宋体" w:cs="宋体"/>
                <w:sz w:val="18"/>
                <w:szCs w:val="18"/>
                <w:lang w:eastAsia="zh-Hans"/>
              </w:rPr>
            </w:pPr>
            <w:r>
              <w:rPr>
                <w:rFonts w:hint="eastAsia" w:ascii="宋体" w:hAnsi="宋体" w:cs="宋体"/>
                <w:sz w:val="18"/>
                <w:szCs w:val="18"/>
                <w:lang w:eastAsia="zh-Hans"/>
              </w:rPr>
              <w:t>海拔</w:t>
            </w:r>
          </w:p>
        </w:tc>
        <w:tc>
          <w:tcPr>
            <w:tcW w:w="0" w:type="auto"/>
          </w:tcPr>
          <w:p>
            <w:pPr>
              <w:spacing w:line="360" w:lineRule="auto"/>
              <w:jc w:val="center"/>
              <w:rPr>
                <w:rFonts w:ascii="宋体" w:hAnsi="宋体" w:cs="宋体"/>
                <w:sz w:val="18"/>
                <w:szCs w:val="18"/>
                <w:lang w:eastAsia="zh-Hans"/>
              </w:rPr>
            </w:pPr>
            <w:r>
              <w:rPr>
                <w:rFonts w:hint="eastAsia" w:ascii="宋体" w:hAnsi="宋体" w:cs="宋体"/>
                <w:color w:val="000000"/>
                <w:sz w:val="18"/>
                <w:szCs w:val="18"/>
              </w:rPr>
              <w:t>2000</w:t>
            </w:r>
            <w:r>
              <w:rPr>
                <w:rFonts w:hint="eastAsia" w:cs="仿宋" w:asciiTheme="minorEastAsia" w:hAnsiTheme="minorEastAsia" w:eastAsiaTheme="minorEastAsia"/>
                <w:color w:val="000000"/>
                <w:spacing w:val="0"/>
                <w:w w:val="15"/>
                <w:kern w:val="0"/>
                <w:szCs w:val="21"/>
                <w:fitText w:val="42" w:id="2045729378"/>
              </w:rPr>
              <w:t xml:space="preserve">　 </w:t>
            </w:r>
            <w:r>
              <w:rPr>
                <w:rFonts w:hint="eastAsia" w:cs="仿宋" w:asciiTheme="minorEastAsia" w:hAnsiTheme="minorEastAsia" w:eastAsiaTheme="minorEastAsia"/>
                <w:color w:val="000000"/>
                <w:spacing w:val="-17"/>
                <w:w w:val="15"/>
                <w:kern w:val="0"/>
                <w:szCs w:val="21"/>
                <w:fitText w:val="42" w:id="2045729378"/>
              </w:rPr>
              <w:t>　</w:t>
            </w:r>
            <w:r>
              <w:rPr>
                <w:rFonts w:hint="eastAsia" w:ascii="宋体" w:hAnsi="宋体" w:cs="宋体"/>
                <w:color w:val="000000"/>
                <w:sz w:val="18"/>
                <w:szCs w:val="18"/>
              </w:rPr>
              <w:t>m</w:t>
            </w:r>
            <w:r>
              <w:rPr>
                <w:rFonts w:hint="eastAsia" w:ascii="宋体" w:hAnsi="宋体" w:cs="宋体"/>
                <w:sz w:val="18"/>
                <w:szCs w:val="18"/>
                <w:lang w:eastAsia="zh-Hans"/>
              </w:rPr>
              <w:t>及以下</w:t>
            </w:r>
          </w:p>
        </w:tc>
        <w:tc>
          <w:tcPr>
            <w:tcW w:w="0" w:type="auto"/>
          </w:tcPr>
          <w:p>
            <w:pPr>
              <w:spacing w:line="360" w:lineRule="auto"/>
              <w:jc w:val="center"/>
              <w:rPr>
                <w:rFonts w:ascii="宋体" w:hAnsi="宋体" w:cs="宋体"/>
                <w:sz w:val="18"/>
                <w:szCs w:val="18"/>
              </w:rPr>
            </w:pPr>
            <w:r>
              <w:rPr>
                <w:rFonts w:hint="eastAsia" w:ascii="宋体" w:hAnsi="宋体" w:cs="宋体"/>
                <w:color w:val="000000"/>
                <w:sz w:val="18"/>
                <w:szCs w:val="18"/>
              </w:rPr>
              <w:t>2000</w:t>
            </w:r>
            <w:r>
              <w:rPr>
                <w:rFonts w:hint="eastAsia" w:cs="仿宋" w:asciiTheme="minorEastAsia" w:hAnsiTheme="minorEastAsia" w:eastAsiaTheme="minorEastAsia"/>
                <w:color w:val="000000"/>
                <w:spacing w:val="0"/>
                <w:w w:val="15"/>
                <w:kern w:val="0"/>
                <w:szCs w:val="21"/>
                <w:fitText w:val="42" w:id="407790852"/>
              </w:rPr>
              <w:t xml:space="preserve">　 </w:t>
            </w:r>
            <w:r>
              <w:rPr>
                <w:rFonts w:hint="eastAsia" w:cs="仿宋" w:asciiTheme="minorEastAsia" w:hAnsiTheme="minorEastAsia" w:eastAsiaTheme="minorEastAsia"/>
                <w:color w:val="000000"/>
                <w:spacing w:val="-17"/>
                <w:w w:val="15"/>
                <w:kern w:val="0"/>
                <w:szCs w:val="21"/>
                <w:fitText w:val="42" w:id="407790852"/>
              </w:rPr>
              <w:t>　</w:t>
            </w:r>
            <w:r>
              <w:rPr>
                <w:rFonts w:hint="eastAsia" w:ascii="宋体" w:hAnsi="宋体" w:cs="宋体"/>
                <w:color w:val="000000"/>
                <w:sz w:val="18"/>
                <w:szCs w:val="18"/>
              </w:rPr>
              <w:t>m</w:t>
            </w:r>
            <w:r>
              <w:rPr>
                <w:rFonts w:hint="eastAsia" w:ascii="宋体" w:hAnsi="宋体" w:cs="宋体"/>
                <w:sz w:val="18"/>
                <w:szCs w:val="18"/>
                <w:lang w:eastAsia="zh-Hans"/>
              </w:rPr>
              <w:t>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0" w:type="auto"/>
            <w:gridSpan w:val="3"/>
          </w:tcPr>
          <w:p>
            <w:pPr>
              <w:spacing w:line="360" w:lineRule="auto"/>
              <w:rPr>
                <w:rFonts w:ascii="宋体" w:hAnsi="宋体" w:cs="宋体"/>
                <w:sz w:val="18"/>
                <w:szCs w:val="18"/>
                <w:lang w:eastAsia="zh-Hans"/>
              </w:rPr>
            </w:pPr>
            <w:r>
              <w:rPr>
                <w:rFonts w:hint="eastAsia" w:ascii="宋体" w:hAnsi="宋体" w:cs="宋体"/>
                <w:sz w:val="18"/>
                <w:szCs w:val="18"/>
                <w:lang w:eastAsia="zh-Hans"/>
              </w:rPr>
              <w:t>对于海拔</w:t>
            </w:r>
            <w:r>
              <w:rPr>
                <w:rFonts w:hint="eastAsia" w:ascii="宋体" w:hAnsi="宋体" w:cs="宋体"/>
                <w:color w:val="000000"/>
                <w:sz w:val="18"/>
                <w:szCs w:val="18"/>
              </w:rPr>
              <w:t>2000 m</w:t>
            </w:r>
            <w:r>
              <w:rPr>
                <w:rFonts w:hint="eastAsia" w:ascii="宋体" w:hAnsi="宋体" w:cs="宋体"/>
                <w:sz w:val="18"/>
                <w:szCs w:val="18"/>
                <w:lang w:eastAsia="zh-Hans"/>
              </w:rPr>
              <w:t>以上使用的供电设备</w:t>
            </w:r>
            <w:r>
              <w:rPr>
                <w:rFonts w:ascii="宋体" w:hAnsi="宋体" w:cs="宋体"/>
                <w:sz w:val="18"/>
                <w:szCs w:val="18"/>
                <w:lang w:eastAsia="zh-Hans"/>
              </w:rPr>
              <w:t>，</w:t>
            </w:r>
            <w:r>
              <w:rPr>
                <w:rFonts w:hint="eastAsia" w:ascii="宋体" w:hAnsi="宋体" w:cs="宋体"/>
                <w:sz w:val="18"/>
                <w:szCs w:val="18"/>
                <w:lang w:eastAsia="zh-Hans"/>
              </w:rPr>
              <w:t>电气间隙和爬电距离要根据</w:t>
            </w:r>
            <w:r>
              <w:rPr>
                <w:rFonts w:hint="eastAsia" w:ascii="宋体" w:hAnsi="宋体" w:cs="宋体"/>
                <w:color w:val="000000"/>
                <w:sz w:val="18"/>
                <w:szCs w:val="18"/>
              </w:rPr>
              <w:t>《</w:t>
            </w:r>
            <w:r>
              <w:rPr>
                <w:rFonts w:hint="eastAsia" w:ascii="宋体" w:hAnsi="宋体" w:cs="宋体"/>
                <w:sz w:val="18"/>
                <w:szCs w:val="18"/>
              </w:rPr>
              <w:t>低压系统内设备的绝缘配合 第1部分：原理、要求和试验</w:t>
            </w:r>
            <w:r>
              <w:rPr>
                <w:rFonts w:hint="eastAsia" w:ascii="宋体" w:hAnsi="宋体" w:cs="宋体"/>
                <w:color w:val="000000"/>
                <w:sz w:val="18"/>
                <w:szCs w:val="18"/>
              </w:rPr>
              <w:t>》</w:t>
            </w:r>
            <w:r>
              <w:rPr>
                <w:rFonts w:hint="eastAsia" w:ascii="宋体" w:hAnsi="宋体" w:cs="宋体"/>
                <w:sz w:val="18"/>
                <w:szCs w:val="18"/>
                <w:lang w:eastAsia="zh-Hans"/>
              </w:rPr>
              <w:t>GB</w:t>
            </w:r>
            <w:r>
              <w:rPr>
                <w:rFonts w:ascii="宋体" w:hAnsi="宋体" w:cs="宋体"/>
                <w:sz w:val="18"/>
                <w:szCs w:val="18"/>
                <w:lang w:eastAsia="zh-Hans"/>
              </w:rPr>
              <w:t>/</w:t>
            </w:r>
            <w:r>
              <w:rPr>
                <w:rFonts w:hint="eastAsia" w:ascii="宋体" w:hAnsi="宋体" w:cs="宋体"/>
                <w:sz w:val="18"/>
                <w:szCs w:val="18"/>
                <w:lang w:eastAsia="zh-Hans"/>
              </w:rPr>
              <w:t>T</w:t>
            </w:r>
            <w:r>
              <w:rPr>
                <w:rFonts w:ascii="宋体" w:hAnsi="宋体" w:cs="宋体"/>
                <w:sz w:val="18"/>
                <w:szCs w:val="18"/>
                <w:lang w:eastAsia="zh-Hans"/>
              </w:rPr>
              <w:t xml:space="preserve"> 16935.1-2008</w:t>
            </w:r>
            <w:r>
              <w:rPr>
                <w:rFonts w:hint="eastAsia" w:ascii="宋体" w:hAnsi="宋体" w:cs="宋体"/>
                <w:sz w:val="18"/>
                <w:szCs w:val="18"/>
                <w:lang w:eastAsia="zh-Hans"/>
              </w:rPr>
              <w:t>规定的修正因子进行修正</w:t>
            </w:r>
            <w:r>
              <w:rPr>
                <w:rFonts w:ascii="宋体" w:hAnsi="宋体" w:cs="宋体"/>
                <w:sz w:val="18"/>
                <w:szCs w:val="18"/>
                <w:lang w:eastAsia="zh-Hans"/>
              </w:rPr>
              <w:t>。</w:t>
            </w:r>
          </w:p>
        </w:tc>
      </w:tr>
    </w:tbl>
    <w:p>
      <w:pPr>
        <w:spacing w:line="360" w:lineRule="auto"/>
        <w:ind w:firstLine="420" w:firstLineChars="200"/>
        <w:rPr>
          <w:rFonts w:ascii="宋体" w:hAnsi="宋体" w:cs="宋体"/>
          <w:szCs w:val="21"/>
        </w:rPr>
      </w:pPr>
      <w:r>
        <w:rPr>
          <w:rFonts w:hint="eastAsia" w:ascii="宋体" w:hAnsi="宋体" w:cs="宋体"/>
          <w:szCs w:val="21"/>
        </w:rPr>
        <w:t>检查数量</w:t>
      </w:r>
      <w:r>
        <w:rPr>
          <w:rFonts w:hint="eastAsia" w:ascii="宋体" w:hAnsi="宋体" w:cs="宋体"/>
          <w:color w:val="000000"/>
          <w:szCs w:val="21"/>
        </w:rPr>
        <w:t>：</w:t>
      </w:r>
      <w:r>
        <w:rPr>
          <w:rFonts w:hint="eastAsia" w:ascii="宋体" w:hAnsi="宋体" w:cs="宋体"/>
          <w:szCs w:val="21"/>
        </w:rPr>
        <w:t>全数检查。</w:t>
      </w:r>
    </w:p>
    <w:p>
      <w:pPr>
        <w:spacing w:line="360" w:lineRule="auto"/>
        <w:ind w:firstLine="420" w:firstLineChars="200"/>
        <w:rPr>
          <w:rFonts w:ascii="宋体" w:hAnsi="宋体" w:cs="宋体"/>
          <w:szCs w:val="21"/>
        </w:rPr>
      </w:pPr>
      <w:r>
        <w:rPr>
          <w:rFonts w:hint="eastAsia" w:ascii="宋体" w:hAnsi="宋体" w:cs="宋体"/>
          <w:szCs w:val="21"/>
        </w:rPr>
        <w:t>检查方法</w:t>
      </w:r>
      <w:r>
        <w:rPr>
          <w:rFonts w:hint="eastAsia" w:ascii="宋体" w:hAnsi="宋体" w:cs="宋体"/>
          <w:color w:val="000000"/>
          <w:szCs w:val="21"/>
        </w:rPr>
        <w:t>：</w:t>
      </w:r>
      <w:r>
        <w:rPr>
          <w:rFonts w:hint="eastAsia" w:ascii="宋体" w:hAnsi="宋体" w:cs="宋体"/>
          <w:szCs w:val="21"/>
        </w:rPr>
        <w:t>观察检查。</w:t>
      </w:r>
    </w:p>
    <w:p>
      <w:pPr>
        <w:pStyle w:val="41"/>
        <w:numPr>
          <w:ilvl w:val="0"/>
          <w:numId w:val="134"/>
        </w:numPr>
        <w:spacing w:line="360" w:lineRule="auto"/>
        <w:ind w:left="0" w:firstLine="0" w:firstLineChars="0"/>
        <w:rPr>
          <w:rFonts w:ascii="宋体" w:hAnsi="宋体" w:cs="宋体"/>
          <w:szCs w:val="21"/>
        </w:rPr>
      </w:pPr>
      <w:r>
        <w:rPr>
          <w:rFonts w:hint="eastAsia" w:ascii="宋体" w:hAnsi="宋体" w:cs="宋体"/>
          <w:szCs w:val="21"/>
        </w:rPr>
        <w:t>供电设备充电机柜体应与保护导体可靠连接。</w:t>
      </w:r>
    </w:p>
    <w:p>
      <w:pPr>
        <w:spacing w:line="360" w:lineRule="auto"/>
        <w:ind w:firstLine="420" w:firstLineChars="200"/>
        <w:rPr>
          <w:rFonts w:ascii="宋体" w:hAnsi="宋体" w:cs="宋体"/>
          <w:szCs w:val="21"/>
        </w:rPr>
      </w:pPr>
      <w:r>
        <w:rPr>
          <w:rFonts w:hint="eastAsia" w:ascii="宋体" w:hAnsi="宋体" w:cs="宋体"/>
          <w:szCs w:val="21"/>
        </w:rPr>
        <w:t>检查数量</w:t>
      </w:r>
      <w:r>
        <w:rPr>
          <w:rFonts w:hint="eastAsia" w:ascii="宋体" w:hAnsi="宋体" w:cs="宋体"/>
          <w:color w:val="000000"/>
          <w:szCs w:val="21"/>
        </w:rPr>
        <w:t>：</w:t>
      </w:r>
      <w:r>
        <w:rPr>
          <w:rFonts w:hint="eastAsia" w:ascii="宋体" w:hAnsi="宋体" w:cs="宋体"/>
          <w:szCs w:val="21"/>
        </w:rPr>
        <w:t>全数检查。</w:t>
      </w:r>
    </w:p>
    <w:p>
      <w:pPr>
        <w:spacing w:line="360" w:lineRule="auto"/>
        <w:ind w:firstLine="420" w:firstLineChars="200"/>
        <w:rPr>
          <w:rFonts w:ascii="宋体" w:hAnsi="宋体" w:cs="宋体"/>
          <w:szCs w:val="21"/>
        </w:rPr>
      </w:pPr>
      <w:r>
        <w:rPr>
          <w:rFonts w:hint="eastAsia" w:ascii="宋体" w:hAnsi="宋体" w:cs="宋体"/>
          <w:szCs w:val="21"/>
        </w:rPr>
        <w:t>检查方法</w:t>
      </w:r>
      <w:r>
        <w:rPr>
          <w:rFonts w:hint="eastAsia" w:ascii="宋体" w:hAnsi="宋体" w:cs="宋体"/>
          <w:color w:val="000000"/>
          <w:szCs w:val="21"/>
        </w:rPr>
        <w:t>：</w:t>
      </w:r>
      <w:r>
        <w:rPr>
          <w:rFonts w:hint="eastAsia" w:ascii="宋体" w:hAnsi="宋体" w:cs="宋体"/>
          <w:szCs w:val="21"/>
        </w:rPr>
        <w:t>观察检查。</w:t>
      </w:r>
    </w:p>
    <w:p>
      <w:pPr>
        <w:pStyle w:val="41"/>
        <w:numPr>
          <w:ilvl w:val="0"/>
          <w:numId w:val="134"/>
        </w:numPr>
        <w:spacing w:line="360" w:lineRule="auto"/>
        <w:ind w:left="0" w:firstLine="0" w:firstLineChars="0"/>
        <w:rPr>
          <w:rFonts w:ascii="宋体" w:hAnsi="宋体" w:cs="宋体"/>
          <w:szCs w:val="21"/>
        </w:rPr>
      </w:pPr>
      <w:r>
        <w:rPr>
          <w:rFonts w:hint="eastAsia" w:ascii="宋体" w:hAnsi="宋体" w:cs="宋体"/>
          <w:szCs w:val="21"/>
        </w:rPr>
        <w:t>供电设备的所有连接和拼接在机械上应牢固，在电气上应连续，避免机械损伤。</w:t>
      </w:r>
    </w:p>
    <w:p>
      <w:pPr>
        <w:spacing w:line="360" w:lineRule="auto"/>
        <w:ind w:firstLine="420" w:firstLineChars="200"/>
        <w:rPr>
          <w:rFonts w:ascii="宋体" w:hAnsi="宋体" w:cs="宋体"/>
          <w:szCs w:val="21"/>
        </w:rPr>
      </w:pPr>
      <w:r>
        <w:rPr>
          <w:rFonts w:hint="eastAsia" w:ascii="宋体" w:hAnsi="宋体" w:cs="宋体"/>
          <w:szCs w:val="21"/>
        </w:rPr>
        <w:t>检查数量</w:t>
      </w:r>
      <w:r>
        <w:rPr>
          <w:rFonts w:hint="eastAsia" w:ascii="宋体" w:hAnsi="宋体" w:cs="宋体"/>
          <w:color w:val="000000"/>
          <w:szCs w:val="21"/>
        </w:rPr>
        <w:t>：</w:t>
      </w:r>
      <w:r>
        <w:rPr>
          <w:rFonts w:hint="eastAsia" w:ascii="宋体" w:hAnsi="宋体" w:cs="宋体"/>
          <w:szCs w:val="21"/>
        </w:rPr>
        <w:t>全数检查。</w:t>
      </w:r>
    </w:p>
    <w:p>
      <w:pPr>
        <w:spacing w:line="360" w:lineRule="auto"/>
        <w:ind w:firstLine="420" w:firstLineChars="200"/>
        <w:rPr>
          <w:rFonts w:ascii="宋体" w:hAnsi="宋体" w:cs="宋体"/>
          <w:szCs w:val="21"/>
        </w:rPr>
      </w:pPr>
      <w:r>
        <w:rPr>
          <w:rFonts w:hint="eastAsia" w:ascii="宋体" w:hAnsi="宋体" w:cs="宋体"/>
          <w:szCs w:val="21"/>
        </w:rPr>
        <w:t>检查方法</w:t>
      </w:r>
      <w:r>
        <w:rPr>
          <w:rFonts w:hint="eastAsia" w:ascii="宋体" w:hAnsi="宋体" w:cs="宋体"/>
          <w:color w:val="000000"/>
          <w:szCs w:val="21"/>
        </w:rPr>
        <w:t>：</w:t>
      </w:r>
      <w:r>
        <w:rPr>
          <w:rFonts w:hint="eastAsia" w:ascii="宋体" w:hAnsi="宋体" w:cs="宋体"/>
          <w:szCs w:val="21"/>
        </w:rPr>
        <w:t>观察检查。</w:t>
      </w:r>
    </w:p>
    <w:p>
      <w:pPr>
        <w:pStyle w:val="41"/>
        <w:numPr>
          <w:ilvl w:val="0"/>
          <w:numId w:val="134"/>
        </w:numPr>
        <w:spacing w:line="360" w:lineRule="auto"/>
        <w:ind w:left="0" w:firstLine="0" w:firstLineChars="0"/>
        <w:rPr>
          <w:rFonts w:ascii="宋体" w:hAnsi="宋体" w:cs="宋体"/>
          <w:szCs w:val="21"/>
        </w:rPr>
      </w:pPr>
      <w:r>
        <w:rPr>
          <w:rFonts w:hint="eastAsia" w:ascii="宋体" w:hAnsi="宋体" w:cs="宋体"/>
          <w:szCs w:val="21"/>
        </w:rPr>
        <w:t>供电设备充电机人机界面的菜单切换功能和定值设置应符合设计要求，开停机操作及急停操作应正常，启动和停电恢复应由人工确认后才能恢复。</w:t>
      </w:r>
    </w:p>
    <w:p>
      <w:pPr>
        <w:spacing w:line="360" w:lineRule="auto"/>
        <w:ind w:firstLine="420" w:firstLineChars="200"/>
        <w:rPr>
          <w:rFonts w:ascii="宋体" w:hAnsi="宋体" w:cs="宋体"/>
          <w:szCs w:val="21"/>
        </w:rPr>
      </w:pPr>
      <w:r>
        <w:rPr>
          <w:rFonts w:hint="eastAsia" w:ascii="宋体" w:hAnsi="宋体" w:cs="宋体"/>
          <w:szCs w:val="21"/>
        </w:rPr>
        <w:t>检查数量</w:t>
      </w:r>
      <w:r>
        <w:rPr>
          <w:rFonts w:hint="eastAsia" w:ascii="宋体" w:hAnsi="宋体" w:cs="宋体"/>
          <w:color w:val="000000"/>
          <w:szCs w:val="21"/>
        </w:rPr>
        <w:t>：</w:t>
      </w:r>
      <w:r>
        <w:rPr>
          <w:rFonts w:hint="eastAsia" w:ascii="宋体" w:hAnsi="宋体" w:cs="宋体"/>
          <w:szCs w:val="21"/>
        </w:rPr>
        <w:t>全数检查。</w:t>
      </w:r>
    </w:p>
    <w:p>
      <w:pPr>
        <w:spacing w:line="360" w:lineRule="auto"/>
        <w:ind w:firstLine="420" w:firstLineChars="200"/>
        <w:rPr>
          <w:rFonts w:ascii="宋体" w:hAnsi="宋体" w:cs="宋体"/>
          <w:szCs w:val="21"/>
        </w:rPr>
      </w:pPr>
      <w:r>
        <w:rPr>
          <w:rFonts w:hint="eastAsia" w:ascii="宋体" w:hAnsi="宋体" w:cs="宋体"/>
          <w:szCs w:val="21"/>
        </w:rPr>
        <w:t>检查方法</w:t>
      </w:r>
      <w:r>
        <w:rPr>
          <w:rFonts w:hint="eastAsia" w:ascii="宋体" w:hAnsi="宋体" w:cs="宋体"/>
          <w:color w:val="000000"/>
          <w:szCs w:val="21"/>
        </w:rPr>
        <w:t>：</w:t>
      </w:r>
      <w:r>
        <w:rPr>
          <w:rFonts w:hint="eastAsia" w:ascii="宋体" w:hAnsi="宋体" w:cs="宋体"/>
          <w:szCs w:val="21"/>
        </w:rPr>
        <w:t>观察检查。</w:t>
      </w:r>
    </w:p>
    <w:p>
      <w:pPr>
        <w:pStyle w:val="41"/>
        <w:numPr>
          <w:ilvl w:val="0"/>
          <w:numId w:val="134"/>
        </w:numPr>
        <w:spacing w:line="360" w:lineRule="auto"/>
        <w:ind w:left="0" w:firstLine="0" w:firstLineChars="0"/>
        <w:rPr>
          <w:rFonts w:ascii="宋体" w:hAnsi="宋体" w:cs="宋体"/>
          <w:szCs w:val="21"/>
        </w:rPr>
      </w:pPr>
      <w:r>
        <w:rPr>
          <w:rFonts w:hint="eastAsia" w:ascii="宋体" w:hAnsi="宋体" w:cs="宋体"/>
          <w:szCs w:val="21"/>
        </w:rPr>
        <w:t>供电设备充电机使用前应通过“遥测、遥信、遥控”功能检查，电气绝缘性能测试、噪声测试及设计要求的各项检验测试。供电设备充电机使用前应通过各项电气检验试验方可使用。</w:t>
      </w:r>
    </w:p>
    <w:p>
      <w:pPr>
        <w:spacing w:line="360" w:lineRule="auto"/>
        <w:ind w:firstLine="420" w:firstLineChars="200"/>
        <w:rPr>
          <w:rFonts w:ascii="宋体" w:hAnsi="宋体" w:cs="宋体"/>
          <w:szCs w:val="21"/>
        </w:rPr>
      </w:pPr>
      <w:r>
        <w:rPr>
          <w:rFonts w:hint="eastAsia" w:ascii="宋体" w:hAnsi="宋体" w:cs="宋体"/>
          <w:szCs w:val="21"/>
        </w:rPr>
        <w:t>检查数量</w:t>
      </w:r>
      <w:r>
        <w:rPr>
          <w:rFonts w:hint="eastAsia" w:ascii="宋体" w:hAnsi="宋体" w:cs="宋体"/>
          <w:color w:val="000000"/>
          <w:szCs w:val="21"/>
        </w:rPr>
        <w:t>：</w:t>
      </w:r>
      <w:r>
        <w:rPr>
          <w:rFonts w:hint="eastAsia" w:ascii="宋体" w:hAnsi="宋体" w:cs="宋体"/>
          <w:szCs w:val="21"/>
        </w:rPr>
        <w:t>全数检查。</w:t>
      </w:r>
    </w:p>
    <w:p>
      <w:pPr>
        <w:spacing w:line="360" w:lineRule="auto"/>
        <w:ind w:firstLine="420" w:firstLineChars="200"/>
        <w:rPr>
          <w:rFonts w:ascii="宋体" w:hAnsi="宋体" w:cs="宋体"/>
          <w:szCs w:val="21"/>
        </w:rPr>
      </w:pPr>
      <w:r>
        <w:rPr>
          <w:rFonts w:hint="eastAsia" w:ascii="宋体" w:hAnsi="宋体" w:cs="宋体"/>
          <w:szCs w:val="21"/>
        </w:rPr>
        <w:t>检查方法</w:t>
      </w:r>
      <w:r>
        <w:rPr>
          <w:rFonts w:hint="eastAsia" w:ascii="宋体" w:hAnsi="宋体" w:cs="宋体"/>
          <w:color w:val="000000"/>
          <w:szCs w:val="21"/>
        </w:rPr>
        <w:t>：</w:t>
      </w:r>
      <w:r>
        <w:rPr>
          <w:rFonts w:hint="eastAsia" w:ascii="宋体" w:hAnsi="宋体" w:cs="宋体"/>
          <w:szCs w:val="21"/>
          <w:lang w:eastAsia="zh-Hans"/>
        </w:rPr>
        <w:t>试验</w:t>
      </w:r>
      <w:r>
        <w:rPr>
          <w:rFonts w:hint="eastAsia" w:ascii="宋体" w:hAnsi="宋体" w:cs="宋体"/>
          <w:szCs w:val="21"/>
        </w:rPr>
        <w:t>检查</w:t>
      </w:r>
      <w:r>
        <w:rPr>
          <w:rFonts w:hint="eastAsia" w:ascii="宋体" w:hAnsi="宋体" w:cs="宋体"/>
          <w:szCs w:val="21"/>
          <w:lang w:eastAsia="zh-Hans"/>
        </w:rPr>
        <w:t>及观察检查</w:t>
      </w:r>
      <w:r>
        <w:rPr>
          <w:rFonts w:hint="eastAsia" w:ascii="宋体" w:hAnsi="宋体" w:cs="宋体"/>
          <w:szCs w:val="21"/>
        </w:rPr>
        <w:t>。</w:t>
      </w:r>
    </w:p>
    <w:p>
      <w:pPr>
        <w:pStyle w:val="4"/>
        <w:spacing w:before="120" w:beforeLines="50" w:after="120" w:afterLines="50"/>
        <w:rPr>
          <w:rFonts w:asciiTheme="minorEastAsia" w:hAnsiTheme="minorEastAsia" w:eastAsiaTheme="minorEastAsia"/>
          <w:sz w:val="21"/>
          <w:szCs w:val="21"/>
        </w:rPr>
      </w:pPr>
      <w:r>
        <w:t>Ⅱ</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一般项目</w:t>
      </w:r>
    </w:p>
    <w:p>
      <w:pPr>
        <w:pStyle w:val="41"/>
        <w:numPr>
          <w:ilvl w:val="0"/>
          <w:numId w:val="134"/>
        </w:numPr>
        <w:spacing w:line="360" w:lineRule="auto"/>
        <w:ind w:left="0" w:firstLine="0" w:firstLineChars="0"/>
        <w:rPr>
          <w:rFonts w:ascii="宋体" w:hAnsi="宋体" w:cs="宋体"/>
          <w:szCs w:val="21"/>
        </w:rPr>
      </w:pPr>
      <w:r>
        <w:rPr>
          <w:rFonts w:hint="eastAsia" w:ascii="宋体" w:hAnsi="宋体" w:cs="宋体"/>
          <w:szCs w:val="21"/>
        </w:rPr>
        <w:t>供电设备充电机柜体应安装整齐、固定牢固、框架无变形。柜体安装垂直倾斜度不超过5%。外壳及暴露在外的支架、零件应采取可靠的防腐防锈措施。</w:t>
      </w:r>
    </w:p>
    <w:p>
      <w:pPr>
        <w:spacing w:line="360" w:lineRule="auto"/>
        <w:ind w:firstLine="420" w:firstLineChars="200"/>
        <w:rPr>
          <w:rFonts w:ascii="宋体" w:hAnsi="宋体" w:cs="宋体"/>
          <w:szCs w:val="21"/>
        </w:rPr>
      </w:pPr>
      <w:r>
        <w:rPr>
          <w:rFonts w:hint="eastAsia" w:ascii="宋体" w:hAnsi="宋体" w:cs="宋体"/>
          <w:szCs w:val="21"/>
        </w:rPr>
        <w:t>检查数量</w:t>
      </w:r>
      <w:r>
        <w:rPr>
          <w:rFonts w:hint="eastAsia" w:ascii="宋体" w:hAnsi="宋体" w:cs="宋体"/>
          <w:color w:val="000000"/>
          <w:szCs w:val="21"/>
        </w:rPr>
        <w:t>：</w:t>
      </w:r>
      <w:r>
        <w:rPr>
          <w:rFonts w:hint="eastAsia" w:ascii="宋体" w:hAnsi="宋体" w:cs="宋体"/>
          <w:szCs w:val="21"/>
        </w:rPr>
        <w:t>全数检查。</w:t>
      </w:r>
    </w:p>
    <w:p>
      <w:pPr>
        <w:spacing w:line="360" w:lineRule="auto"/>
        <w:ind w:firstLine="420" w:firstLineChars="200"/>
        <w:rPr>
          <w:rFonts w:ascii="宋体" w:hAnsi="宋体" w:cs="宋体"/>
          <w:szCs w:val="21"/>
        </w:rPr>
      </w:pPr>
      <w:r>
        <w:rPr>
          <w:rFonts w:hint="eastAsia" w:ascii="宋体" w:hAnsi="宋体" w:cs="宋体"/>
          <w:szCs w:val="21"/>
        </w:rPr>
        <w:t>检查方法</w:t>
      </w:r>
      <w:r>
        <w:rPr>
          <w:rFonts w:hint="eastAsia" w:ascii="宋体" w:hAnsi="宋体" w:cs="宋体"/>
          <w:color w:val="000000"/>
          <w:szCs w:val="21"/>
        </w:rPr>
        <w:t>：</w:t>
      </w:r>
      <w:r>
        <w:rPr>
          <w:rFonts w:hint="eastAsia" w:ascii="宋体" w:hAnsi="宋体" w:cs="宋体"/>
          <w:szCs w:val="21"/>
        </w:rPr>
        <w:t>观察检查。</w:t>
      </w:r>
    </w:p>
    <w:p>
      <w:pPr>
        <w:pStyle w:val="41"/>
        <w:numPr>
          <w:ilvl w:val="0"/>
          <w:numId w:val="134"/>
        </w:numPr>
        <w:spacing w:line="360" w:lineRule="auto"/>
        <w:ind w:left="0" w:firstLine="0" w:firstLineChars="0"/>
        <w:rPr>
          <w:rFonts w:ascii="宋体" w:hAnsi="宋体" w:cs="宋体"/>
          <w:szCs w:val="21"/>
        </w:rPr>
      </w:pPr>
      <w:r>
        <w:rPr>
          <w:rFonts w:hint="eastAsia" w:ascii="宋体" w:hAnsi="宋体" w:cs="宋体"/>
          <w:szCs w:val="21"/>
        </w:rPr>
        <w:t>室外安装的充电机外壳门应装有防盗锁，固定充电机的螺栓应</w:t>
      </w:r>
      <w:r>
        <w:rPr>
          <w:rFonts w:hint="eastAsia" w:ascii="宋体" w:hAnsi="宋体" w:cs="宋体"/>
          <w:color w:val="000000"/>
          <w:szCs w:val="21"/>
        </w:rPr>
        <w:t>在</w:t>
      </w:r>
      <w:r>
        <w:rPr>
          <w:rFonts w:hint="eastAsia" w:ascii="宋体" w:hAnsi="宋体" w:cs="宋体"/>
          <w:szCs w:val="21"/>
        </w:rPr>
        <w:t>打开外壳门才可安装或拆卸。</w:t>
      </w:r>
    </w:p>
    <w:p>
      <w:pPr>
        <w:spacing w:line="360" w:lineRule="auto"/>
        <w:ind w:firstLine="420" w:firstLineChars="200"/>
        <w:rPr>
          <w:rFonts w:ascii="宋体" w:hAnsi="宋体" w:cs="宋体"/>
          <w:szCs w:val="21"/>
        </w:rPr>
      </w:pPr>
      <w:r>
        <w:rPr>
          <w:rFonts w:hint="eastAsia" w:ascii="宋体" w:hAnsi="宋体" w:cs="宋体"/>
          <w:szCs w:val="21"/>
        </w:rPr>
        <w:t>检查数量</w:t>
      </w:r>
      <w:r>
        <w:rPr>
          <w:rFonts w:hint="eastAsia" w:ascii="宋体" w:hAnsi="宋体" w:cs="宋体"/>
          <w:color w:val="000000"/>
          <w:szCs w:val="21"/>
        </w:rPr>
        <w:t>：</w:t>
      </w:r>
      <w:r>
        <w:rPr>
          <w:rFonts w:hint="eastAsia" w:ascii="宋体" w:hAnsi="宋体" w:cs="宋体"/>
          <w:szCs w:val="21"/>
        </w:rPr>
        <w:t>全数检查。</w:t>
      </w:r>
    </w:p>
    <w:p>
      <w:pPr>
        <w:spacing w:line="360" w:lineRule="auto"/>
        <w:ind w:firstLine="420" w:firstLineChars="200"/>
        <w:rPr>
          <w:rFonts w:ascii="宋体" w:hAnsi="宋体" w:cs="宋体"/>
          <w:szCs w:val="21"/>
        </w:rPr>
      </w:pPr>
      <w:r>
        <w:rPr>
          <w:rFonts w:hint="eastAsia" w:ascii="宋体" w:hAnsi="宋体" w:cs="宋体"/>
          <w:szCs w:val="21"/>
        </w:rPr>
        <w:t>检查方法</w:t>
      </w:r>
      <w:r>
        <w:rPr>
          <w:rFonts w:hint="eastAsia" w:ascii="宋体" w:hAnsi="宋体" w:cs="宋体"/>
          <w:color w:val="000000"/>
          <w:szCs w:val="21"/>
        </w:rPr>
        <w:t>：</w:t>
      </w:r>
      <w:r>
        <w:rPr>
          <w:rFonts w:hint="eastAsia" w:ascii="宋体" w:hAnsi="宋体" w:cs="宋体"/>
          <w:szCs w:val="21"/>
        </w:rPr>
        <w:t>观察检查。</w:t>
      </w:r>
    </w:p>
    <w:p>
      <w:pPr>
        <w:pStyle w:val="41"/>
        <w:numPr>
          <w:ilvl w:val="0"/>
          <w:numId w:val="134"/>
        </w:numPr>
        <w:spacing w:line="360" w:lineRule="auto"/>
        <w:ind w:left="0" w:firstLine="0" w:firstLineChars="0"/>
        <w:rPr>
          <w:rFonts w:ascii="宋体" w:hAnsi="宋体" w:cs="宋体"/>
          <w:szCs w:val="21"/>
        </w:rPr>
      </w:pPr>
      <w:r>
        <w:rPr>
          <w:rFonts w:hint="eastAsia" w:ascii="宋体" w:hAnsi="宋体" w:cs="宋体"/>
          <w:szCs w:val="21"/>
        </w:rPr>
        <w:t>供电设备机屏上的电器名称、型号编号及运行标志应齐全、清晰。</w:t>
      </w:r>
    </w:p>
    <w:p>
      <w:pPr>
        <w:spacing w:line="360" w:lineRule="auto"/>
        <w:ind w:firstLine="420" w:firstLineChars="200"/>
        <w:rPr>
          <w:rFonts w:ascii="宋体" w:hAnsi="宋体" w:cs="宋体"/>
          <w:szCs w:val="21"/>
        </w:rPr>
      </w:pPr>
      <w:r>
        <w:rPr>
          <w:rFonts w:hint="eastAsia" w:ascii="宋体" w:hAnsi="宋体" w:cs="宋体"/>
          <w:szCs w:val="21"/>
        </w:rPr>
        <w:t>检查数量</w:t>
      </w:r>
      <w:r>
        <w:rPr>
          <w:rFonts w:hint="eastAsia" w:ascii="宋体" w:hAnsi="宋体" w:cs="宋体"/>
          <w:color w:val="000000"/>
          <w:szCs w:val="21"/>
        </w:rPr>
        <w:t>：</w:t>
      </w:r>
      <w:r>
        <w:rPr>
          <w:rFonts w:hint="eastAsia" w:ascii="宋体" w:hAnsi="宋体" w:cs="宋体"/>
          <w:szCs w:val="21"/>
        </w:rPr>
        <w:t>全数检查。</w:t>
      </w:r>
    </w:p>
    <w:p>
      <w:pPr>
        <w:spacing w:line="360" w:lineRule="auto"/>
        <w:ind w:firstLine="420" w:firstLineChars="200"/>
        <w:rPr>
          <w:rFonts w:ascii="宋体" w:hAnsi="宋体" w:cs="宋体"/>
          <w:szCs w:val="21"/>
        </w:rPr>
      </w:pPr>
      <w:r>
        <w:rPr>
          <w:rFonts w:hint="eastAsia" w:ascii="宋体" w:hAnsi="宋体" w:cs="宋体"/>
          <w:szCs w:val="21"/>
        </w:rPr>
        <w:t>检查方法</w:t>
      </w:r>
      <w:r>
        <w:rPr>
          <w:rFonts w:hint="eastAsia" w:ascii="宋体" w:hAnsi="宋体" w:cs="宋体"/>
          <w:color w:val="000000"/>
          <w:szCs w:val="21"/>
        </w:rPr>
        <w:t>：</w:t>
      </w:r>
      <w:r>
        <w:rPr>
          <w:rFonts w:hint="eastAsia" w:ascii="宋体" w:hAnsi="宋体" w:cs="宋体"/>
          <w:szCs w:val="21"/>
        </w:rPr>
        <w:t>观察检查。</w:t>
      </w:r>
    </w:p>
    <w:p>
      <w:pPr>
        <w:pStyle w:val="41"/>
        <w:numPr>
          <w:ilvl w:val="0"/>
          <w:numId w:val="134"/>
        </w:numPr>
        <w:spacing w:line="360" w:lineRule="auto"/>
        <w:ind w:left="0" w:firstLine="0" w:firstLineChars="0"/>
        <w:rPr>
          <w:rFonts w:ascii="宋体" w:hAnsi="宋体" w:cs="宋体"/>
          <w:szCs w:val="21"/>
        </w:rPr>
      </w:pPr>
      <w:r>
        <w:rPr>
          <w:rFonts w:hint="eastAsia" w:ascii="宋体" w:hAnsi="宋体" w:cs="宋体"/>
          <w:szCs w:val="21"/>
        </w:rPr>
        <w:t>供电设备人机界面的模拟</w:t>
      </w:r>
      <w:r>
        <w:rPr>
          <w:rFonts w:hint="eastAsia" w:ascii="宋体" w:hAnsi="宋体" w:cs="宋体"/>
          <w:color w:val="000000"/>
          <w:szCs w:val="21"/>
        </w:rPr>
        <w:t>量</w:t>
      </w:r>
      <w:r>
        <w:rPr>
          <w:rFonts w:hint="eastAsia" w:ascii="宋体" w:hAnsi="宋体" w:cs="宋体"/>
          <w:szCs w:val="21"/>
        </w:rPr>
        <w:t>采集及显示数据应准确，功能正常。</w:t>
      </w:r>
    </w:p>
    <w:p>
      <w:pPr>
        <w:spacing w:line="360" w:lineRule="auto"/>
        <w:ind w:firstLine="420" w:firstLineChars="200"/>
        <w:rPr>
          <w:rFonts w:ascii="宋体" w:hAnsi="宋体" w:cs="宋体"/>
          <w:szCs w:val="21"/>
        </w:rPr>
      </w:pPr>
      <w:r>
        <w:rPr>
          <w:rFonts w:hint="eastAsia" w:ascii="宋体" w:hAnsi="宋体" w:cs="宋体"/>
          <w:szCs w:val="21"/>
        </w:rPr>
        <w:t>检查数量</w:t>
      </w:r>
      <w:r>
        <w:rPr>
          <w:rFonts w:hint="eastAsia" w:ascii="宋体" w:hAnsi="宋体" w:cs="宋体"/>
          <w:color w:val="000000"/>
          <w:szCs w:val="21"/>
        </w:rPr>
        <w:t>：</w:t>
      </w:r>
      <w:r>
        <w:rPr>
          <w:rFonts w:hint="eastAsia" w:ascii="宋体" w:hAnsi="宋体" w:cs="宋体"/>
          <w:szCs w:val="21"/>
        </w:rPr>
        <w:t>全数检查。</w:t>
      </w:r>
    </w:p>
    <w:p>
      <w:pPr>
        <w:spacing w:line="360" w:lineRule="auto"/>
        <w:ind w:firstLine="420" w:firstLineChars="200"/>
        <w:rPr>
          <w:rFonts w:ascii="宋体" w:hAnsi="宋体" w:cs="宋体"/>
          <w:szCs w:val="21"/>
        </w:rPr>
      </w:pPr>
      <w:r>
        <w:rPr>
          <w:rFonts w:hint="eastAsia" w:ascii="宋体" w:hAnsi="宋体" w:cs="宋体"/>
          <w:szCs w:val="21"/>
        </w:rPr>
        <w:t>检查方法</w:t>
      </w:r>
      <w:r>
        <w:rPr>
          <w:rFonts w:hint="eastAsia" w:ascii="宋体" w:hAnsi="宋体" w:cs="宋体"/>
          <w:color w:val="000000"/>
          <w:szCs w:val="21"/>
        </w:rPr>
        <w:t>：</w:t>
      </w:r>
      <w:r>
        <w:rPr>
          <w:rFonts w:hint="eastAsia" w:ascii="宋体" w:hAnsi="宋体" w:cs="宋体"/>
          <w:szCs w:val="21"/>
        </w:rPr>
        <w:t>观察检查。</w:t>
      </w:r>
    </w:p>
    <w:p>
      <w:pPr>
        <w:pStyle w:val="41"/>
        <w:numPr>
          <w:ilvl w:val="0"/>
          <w:numId w:val="134"/>
        </w:numPr>
        <w:spacing w:line="360" w:lineRule="auto"/>
        <w:ind w:left="0" w:firstLine="0" w:firstLineChars="0"/>
        <w:rPr>
          <w:rFonts w:ascii="宋体" w:hAnsi="宋体" w:cs="宋体"/>
          <w:szCs w:val="21"/>
        </w:rPr>
      </w:pPr>
      <w:r>
        <w:rPr>
          <w:rFonts w:hint="eastAsia" w:ascii="宋体" w:hAnsi="宋体" w:cs="宋体"/>
          <w:szCs w:val="21"/>
        </w:rPr>
        <w:t>供电设备充电连接器内部绝缘体应无裂纹或伤痕，外壳、手柄及电缆应无损伤或变形。</w:t>
      </w:r>
    </w:p>
    <w:p>
      <w:pPr>
        <w:spacing w:line="360" w:lineRule="auto"/>
        <w:ind w:firstLine="420" w:firstLineChars="200"/>
        <w:rPr>
          <w:rFonts w:ascii="宋体" w:hAnsi="宋体" w:cs="宋体"/>
          <w:szCs w:val="21"/>
        </w:rPr>
      </w:pPr>
      <w:r>
        <w:rPr>
          <w:rFonts w:hint="eastAsia" w:ascii="宋体" w:hAnsi="宋体" w:cs="宋体"/>
          <w:szCs w:val="21"/>
        </w:rPr>
        <w:t>检查数量</w:t>
      </w:r>
      <w:r>
        <w:rPr>
          <w:rFonts w:hint="eastAsia" w:ascii="宋体" w:hAnsi="宋体" w:cs="宋体"/>
          <w:color w:val="000000"/>
          <w:szCs w:val="21"/>
        </w:rPr>
        <w:t>：</w:t>
      </w:r>
      <w:r>
        <w:rPr>
          <w:rFonts w:hint="eastAsia" w:ascii="宋体" w:hAnsi="宋体" w:cs="宋体"/>
          <w:szCs w:val="21"/>
        </w:rPr>
        <w:t>全数检查。</w:t>
      </w:r>
    </w:p>
    <w:p>
      <w:pPr>
        <w:spacing w:line="360" w:lineRule="auto"/>
        <w:ind w:firstLine="420" w:firstLineChars="200"/>
        <w:rPr>
          <w:rFonts w:ascii="宋体" w:hAnsi="宋体" w:cs="宋体"/>
          <w:szCs w:val="21"/>
        </w:rPr>
      </w:pPr>
      <w:r>
        <w:rPr>
          <w:rFonts w:hint="eastAsia" w:ascii="宋体" w:hAnsi="宋体" w:cs="宋体"/>
          <w:szCs w:val="21"/>
        </w:rPr>
        <w:t>检查方法</w:t>
      </w:r>
      <w:r>
        <w:rPr>
          <w:rFonts w:hint="eastAsia" w:ascii="宋体" w:hAnsi="宋体" w:cs="宋体"/>
          <w:color w:val="000000"/>
          <w:szCs w:val="21"/>
        </w:rPr>
        <w:t>：</w:t>
      </w:r>
      <w:r>
        <w:rPr>
          <w:rFonts w:hint="eastAsia" w:ascii="宋体" w:hAnsi="宋体" w:cs="宋体"/>
          <w:szCs w:val="21"/>
        </w:rPr>
        <w:t>观察检查。</w:t>
      </w:r>
    </w:p>
    <w:p>
      <w:pPr>
        <w:pStyle w:val="41"/>
        <w:numPr>
          <w:ilvl w:val="0"/>
          <w:numId w:val="134"/>
        </w:numPr>
        <w:spacing w:line="360" w:lineRule="auto"/>
        <w:ind w:left="0" w:firstLine="0" w:firstLineChars="0"/>
        <w:rPr>
          <w:rFonts w:ascii="宋体" w:hAnsi="宋体" w:cs="宋体"/>
          <w:szCs w:val="21"/>
        </w:rPr>
      </w:pPr>
      <w:r>
        <w:rPr>
          <w:rFonts w:hint="eastAsia" w:ascii="宋体" w:hAnsi="宋体" w:cs="宋体"/>
          <w:szCs w:val="21"/>
        </w:rPr>
        <w:t>供电设备充电连接器应满足充电测试要求，BMS系统能正常响应充电过程，充电参数符合设计要求，故障情况下应可及时断电并能拔出。</w:t>
      </w:r>
    </w:p>
    <w:p>
      <w:pPr>
        <w:spacing w:line="360" w:lineRule="auto"/>
        <w:ind w:firstLine="420" w:firstLineChars="200"/>
        <w:rPr>
          <w:rFonts w:ascii="宋体" w:hAnsi="宋体" w:cs="宋体"/>
          <w:szCs w:val="21"/>
        </w:rPr>
      </w:pPr>
      <w:r>
        <w:rPr>
          <w:rFonts w:hint="eastAsia" w:ascii="宋体" w:hAnsi="宋体" w:cs="宋体"/>
          <w:szCs w:val="21"/>
        </w:rPr>
        <w:t>检查数量</w:t>
      </w:r>
      <w:r>
        <w:rPr>
          <w:rFonts w:hint="eastAsia" w:ascii="宋体" w:hAnsi="宋体" w:cs="宋体"/>
          <w:color w:val="000000"/>
          <w:szCs w:val="21"/>
        </w:rPr>
        <w:t>：</w:t>
      </w:r>
      <w:r>
        <w:rPr>
          <w:rFonts w:hint="eastAsia" w:ascii="宋体" w:hAnsi="宋体" w:cs="宋体"/>
          <w:szCs w:val="21"/>
        </w:rPr>
        <w:t>全数检查。</w:t>
      </w:r>
    </w:p>
    <w:p>
      <w:pPr>
        <w:spacing w:line="360" w:lineRule="auto"/>
        <w:ind w:firstLine="420" w:firstLineChars="200"/>
        <w:rPr>
          <w:rFonts w:ascii="宋体" w:hAnsi="宋体" w:cs="宋体"/>
          <w:szCs w:val="21"/>
        </w:rPr>
      </w:pPr>
      <w:r>
        <w:rPr>
          <w:rFonts w:hint="eastAsia" w:ascii="宋体" w:hAnsi="宋体" w:cs="宋体"/>
          <w:szCs w:val="21"/>
        </w:rPr>
        <w:t>检查方法</w:t>
      </w:r>
      <w:r>
        <w:rPr>
          <w:rFonts w:hint="eastAsia" w:ascii="宋体" w:hAnsi="宋体" w:cs="宋体"/>
          <w:color w:val="000000"/>
          <w:szCs w:val="21"/>
        </w:rPr>
        <w:t>：</w:t>
      </w:r>
      <w:r>
        <w:rPr>
          <w:rFonts w:hint="eastAsia" w:ascii="宋体" w:hAnsi="宋体" w:cs="宋体"/>
          <w:szCs w:val="21"/>
        </w:rPr>
        <w:t>观察检查。</w:t>
      </w:r>
    </w:p>
    <w:p>
      <w:pPr>
        <w:pStyle w:val="41"/>
        <w:numPr>
          <w:ilvl w:val="0"/>
          <w:numId w:val="134"/>
        </w:numPr>
        <w:spacing w:line="360" w:lineRule="auto"/>
        <w:ind w:left="0" w:firstLine="0" w:firstLineChars="0"/>
        <w:rPr>
          <w:rFonts w:ascii="宋体" w:hAnsi="宋体" w:cs="宋体"/>
          <w:szCs w:val="21"/>
        </w:rPr>
      </w:pPr>
      <w:r>
        <w:rPr>
          <w:rFonts w:hint="eastAsia" w:ascii="宋体" w:hAnsi="宋体" w:cs="宋体"/>
          <w:szCs w:val="21"/>
        </w:rPr>
        <w:t>供电设备充电机内部配线应整齐、清晰、美观、导线绝缘应良好，无损伤，线芯标识规范、二次回路编号准确，端子排固定牢固，绝缘良好，无损坏。</w:t>
      </w:r>
    </w:p>
    <w:p>
      <w:pPr>
        <w:spacing w:line="360" w:lineRule="auto"/>
        <w:ind w:firstLine="420" w:firstLineChars="200"/>
        <w:rPr>
          <w:rFonts w:ascii="宋体" w:hAnsi="宋体" w:cs="宋体"/>
          <w:szCs w:val="21"/>
        </w:rPr>
      </w:pPr>
      <w:r>
        <w:rPr>
          <w:rFonts w:hint="eastAsia" w:ascii="宋体" w:hAnsi="宋体" w:cs="宋体"/>
          <w:szCs w:val="21"/>
        </w:rPr>
        <w:t>检查数量</w:t>
      </w:r>
      <w:r>
        <w:rPr>
          <w:rFonts w:hint="eastAsia" w:ascii="宋体" w:hAnsi="宋体" w:cs="宋体"/>
          <w:color w:val="000000"/>
          <w:szCs w:val="21"/>
        </w:rPr>
        <w:t>：</w:t>
      </w:r>
      <w:r>
        <w:rPr>
          <w:rFonts w:hint="eastAsia" w:ascii="宋体" w:hAnsi="宋体" w:cs="宋体"/>
          <w:szCs w:val="21"/>
        </w:rPr>
        <w:t>全数检查。</w:t>
      </w:r>
    </w:p>
    <w:p>
      <w:pPr>
        <w:spacing w:line="360" w:lineRule="auto"/>
        <w:ind w:firstLine="420" w:firstLineChars="200"/>
        <w:rPr>
          <w:rFonts w:ascii="宋体" w:hAnsi="宋体" w:cs="宋体"/>
          <w:szCs w:val="21"/>
        </w:rPr>
      </w:pPr>
      <w:r>
        <w:rPr>
          <w:rFonts w:hint="eastAsia" w:ascii="宋体" w:hAnsi="宋体" w:cs="宋体"/>
          <w:szCs w:val="21"/>
        </w:rPr>
        <w:t>检查方法</w:t>
      </w:r>
      <w:r>
        <w:rPr>
          <w:rFonts w:hint="eastAsia" w:ascii="宋体" w:hAnsi="宋体" w:cs="宋体"/>
          <w:color w:val="000000"/>
          <w:szCs w:val="21"/>
        </w:rPr>
        <w:t>：</w:t>
      </w:r>
      <w:r>
        <w:rPr>
          <w:rFonts w:hint="eastAsia" w:ascii="宋体" w:hAnsi="宋体" w:cs="宋体"/>
          <w:szCs w:val="21"/>
        </w:rPr>
        <w:t>观察检查并用绝缘电阻测试仪测试。</w:t>
      </w:r>
    </w:p>
    <w:p>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156" w:name="_Toc137216248"/>
      <w:bookmarkStart w:id="157" w:name="_Toc136869089"/>
      <w:bookmarkStart w:id="158" w:name="_Toc136868054"/>
      <w:bookmarkStart w:id="159" w:name="_Toc124168175"/>
      <w:r>
        <w:rPr>
          <w:rFonts w:hint="eastAsia" w:asciiTheme="minorEastAsia" w:hAnsiTheme="minorEastAsia" w:eastAsiaTheme="minorEastAsia"/>
          <w:sz w:val="24"/>
          <w:szCs w:val="24"/>
        </w:rPr>
        <w:t>6</w:t>
      </w:r>
      <w:r>
        <w:rPr>
          <w:rFonts w:asciiTheme="minorEastAsia" w:hAnsiTheme="minorEastAsia" w:eastAsiaTheme="minorEastAsia"/>
          <w:sz w:val="24"/>
          <w:szCs w:val="24"/>
        </w:rPr>
        <w:t xml:space="preserve">.5 </w:t>
      </w:r>
      <w:r>
        <w:rPr>
          <w:rFonts w:hint="eastAsia" w:asciiTheme="minorEastAsia" w:hAnsiTheme="minorEastAsia" w:eastAsiaTheme="minorEastAsia"/>
          <w:sz w:val="24"/>
          <w:szCs w:val="24"/>
        </w:rPr>
        <w:t>其他常用动力设备安装</w:t>
      </w:r>
      <w:bookmarkEnd w:id="156"/>
      <w:bookmarkEnd w:id="157"/>
      <w:bookmarkEnd w:id="158"/>
      <w:bookmarkEnd w:id="159"/>
    </w:p>
    <w:p>
      <w:pPr>
        <w:pStyle w:val="4"/>
        <w:spacing w:before="120" w:beforeLines="50" w:after="120" w:afterLines="50"/>
        <w:rPr>
          <w:rFonts w:asciiTheme="minorEastAsia" w:hAnsiTheme="minorEastAsia" w:eastAsiaTheme="minorEastAsia"/>
          <w:sz w:val="21"/>
          <w:szCs w:val="21"/>
        </w:rPr>
      </w:pPr>
      <w:bookmarkStart w:id="160" w:name="_Toc124168176"/>
      <w:r>
        <w:t>I</w:t>
      </w:r>
      <w:r>
        <w:rPr>
          <w:rFonts w:hint="eastAsia" w:asciiTheme="minorEastAsia" w:hAnsiTheme="minorEastAsia" w:eastAsiaTheme="minorEastAsia"/>
          <w:sz w:val="21"/>
          <w:szCs w:val="21"/>
        </w:rPr>
        <w:t xml:space="preserve"> 主控项目</w:t>
      </w:r>
      <w:bookmarkEnd w:id="160"/>
    </w:p>
    <w:p>
      <w:pPr>
        <w:pStyle w:val="41"/>
        <w:numPr>
          <w:ilvl w:val="0"/>
          <w:numId w:val="135"/>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电动卷帘门的所有金属构件及附属电气设备的外露可导电部分均应做等电位联结。</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pPr>
        <w:pStyle w:val="41"/>
        <w:numPr>
          <w:ilvl w:val="0"/>
          <w:numId w:val="135"/>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屏蔽门电源及监控系统应符合下列规定：</w:t>
      </w:r>
    </w:p>
    <w:p>
      <w:pPr>
        <w:pStyle w:val="41"/>
        <w:numPr>
          <w:ilvl w:val="1"/>
          <w:numId w:val="13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应具有过流、过压保护，当电压在±10%范围内波动时，屏蔽门系统应能正常工作；当电压超过10%时，屏蔽门系统应自动保护。</w:t>
      </w:r>
    </w:p>
    <w:p>
      <w:pPr>
        <w:pStyle w:val="41"/>
        <w:numPr>
          <w:ilvl w:val="1"/>
          <w:numId w:val="13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驱动电源、控制电源与外电源的隔离阻抗不应小于</w:t>
      </w:r>
      <w:r>
        <w:rPr>
          <w:rFonts w:hint="eastAsia" w:asciiTheme="minorEastAsia" w:hAnsiTheme="minorEastAsia" w:eastAsiaTheme="minorEastAsia"/>
          <w:color w:val="000000"/>
          <w:szCs w:val="21"/>
        </w:rPr>
        <w:t>5</w:t>
      </w:r>
      <w:r>
        <w:rPr>
          <w:rFonts w:hint="eastAsia" w:cs="仿宋" w:asciiTheme="minorEastAsia" w:hAnsiTheme="minorEastAsia" w:eastAsiaTheme="minorEastAsia"/>
          <w:color w:val="000000"/>
          <w:spacing w:val="0"/>
          <w:w w:val="15"/>
          <w:kern w:val="0"/>
          <w:szCs w:val="21"/>
          <w:fitText w:val="42" w:id="657214579"/>
        </w:rPr>
        <w:t xml:space="preserve">　 </w:t>
      </w:r>
      <w:r>
        <w:rPr>
          <w:rFonts w:hint="eastAsia" w:cs="仿宋" w:asciiTheme="minorEastAsia" w:hAnsiTheme="minorEastAsia" w:eastAsiaTheme="minorEastAsia"/>
          <w:color w:val="000000"/>
          <w:spacing w:val="-17"/>
          <w:w w:val="15"/>
          <w:kern w:val="0"/>
          <w:szCs w:val="21"/>
          <w:fitText w:val="42" w:id="657214579"/>
        </w:rPr>
        <w:t>　</w:t>
      </w:r>
      <w:r>
        <w:rPr>
          <w:rFonts w:hint="eastAsia" w:asciiTheme="minorEastAsia" w:hAnsiTheme="minorEastAsia" w:eastAsiaTheme="minorEastAsia"/>
          <w:color w:val="000000"/>
          <w:szCs w:val="21"/>
        </w:rPr>
        <w:t>MΩ</w:t>
      </w:r>
      <w:r>
        <w:rPr>
          <w:rFonts w:hint="eastAsia" w:asciiTheme="minorEastAsia" w:hAnsiTheme="minorEastAsia" w:eastAsiaTheme="minorEastAsia"/>
          <w:szCs w:val="21"/>
        </w:rPr>
        <w:t>。</w:t>
      </w:r>
    </w:p>
    <w:p>
      <w:pPr>
        <w:pStyle w:val="41"/>
        <w:numPr>
          <w:ilvl w:val="1"/>
          <w:numId w:val="13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动力电缆、控制电缆应釆用不同线槽敷设或同槽分室。</w:t>
      </w:r>
    </w:p>
    <w:p>
      <w:pPr>
        <w:pStyle w:val="41"/>
        <w:numPr>
          <w:ilvl w:val="1"/>
          <w:numId w:val="13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门体金属机械结构之间应采用电线（缆）相连，保持等电位连接。</w:t>
      </w:r>
    </w:p>
    <w:p>
      <w:pPr>
        <w:pStyle w:val="41"/>
        <w:numPr>
          <w:ilvl w:val="1"/>
          <w:numId w:val="13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端门、应急门应安装关闭且锁紧装置，应能检测门体状态，在门体超过规定时间未关闭时，应有声光报警。</w:t>
      </w:r>
    </w:p>
    <w:p>
      <w:pPr>
        <w:pStyle w:val="41"/>
        <w:numPr>
          <w:ilvl w:val="1"/>
          <w:numId w:val="13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滑动门单元应安装关闭且锁紧装置，应能检测门体状态。</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检查方法：核对设计文件，施工中观察检查并查阅试验记录。</w:t>
      </w:r>
    </w:p>
    <w:p>
      <w:pPr>
        <w:pStyle w:val="4"/>
        <w:spacing w:before="120" w:beforeLines="50" w:after="120" w:afterLines="50"/>
        <w:rPr>
          <w:rFonts w:asciiTheme="minorEastAsia" w:hAnsiTheme="minorEastAsia" w:eastAsiaTheme="minorEastAsia"/>
          <w:sz w:val="21"/>
          <w:szCs w:val="21"/>
        </w:rPr>
      </w:pPr>
      <w:bookmarkStart w:id="161" w:name="_Toc124168177"/>
      <w:r>
        <w:t>Ⅱ</w:t>
      </w:r>
      <w:r>
        <w:rPr>
          <w:rFonts w:hint="eastAsia" w:asciiTheme="minorEastAsia" w:hAnsiTheme="minorEastAsia" w:eastAsiaTheme="minorEastAsia"/>
          <w:sz w:val="21"/>
          <w:szCs w:val="21"/>
        </w:rPr>
        <w:t>一般项目</w:t>
      </w:r>
      <w:bookmarkEnd w:id="161"/>
    </w:p>
    <w:p>
      <w:pPr>
        <w:pStyle w:val="41"/>
        <w:numPr>
          <w:ilvl w:val="0"/>
          <w:numId w:val="135"/>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电动卷帘门控制箱应设置在卷帘门附近，在卷帘门的一侧或两侧应设置手动控制按钮，当设计无要求时，其安装高度宜为中心距地</w:t>
      </w:r>
      <w:r>
        <w:rPr>
          <w:rFonts w:hint="eastAsia" w:asciiTheme="minorEastAsia" w:hAnsiTheme="minorEastAsia" w:eastAsiaTheme="minorEastAsia"/>
          <w:color w:val="000000"/>
          <w:szCs w:val="21"/>
        </w:rPr>
        <w:t>1.4</w:t>
      </w:r>
      <w:r>
        <w:rPr>
          <w:rFonts w:hint="eastAsia" w:cs="仿宋" w:asciiTheme="minorEastAsia" w:hAnsiTheme="minorEastAsia" w:eastAsiaTheme="minorEastAsia"/>
          <w:color w:val="000000"/>
          <w:spacing w:val="0"/>
          <w:w w:val="15"/>
          <w:kern w:val="0"/>
          <w:szCs w:val="21"/>
          <w:fitText w:val="42" w:id="1223913087"/>
        </w:rPr>
        <w:t xml:space="preserve">　 </w:t>
      </w:r>
      <w:r>
        <w:rPr>
          <w:rFonts w:hint="eastAsia" w:cs="仿宋" w:asciiTheme="minorEastAsia" w:hAnsiTheme="minorEastAsia" w:eastAsiaTheme="minorEastAsia"/>
          <w:color w:val="000000"/>
          <w:spacing w:val="-17"/>
          <w:w w:val="15"/>
          <w:kern w:val="0"/>
          <w:szCs w:val="21"/>
          <w:fitText w:val="42" w:id="1223913087"/>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pPr>
        <w:pStyle w:val="41"/>
        <w:numPr>
          <w:ilvl w:val="0"/>
          <w:numId w:val="135"/>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电伴热系统安装时，被伴热管道必须全部施工完毕，应进行压力试验（或</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和气密试验），并符合设计要求。</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检查方法：核对设计文件并查阅试验记录。</w:t>
      </w:r>
    </w:p>
    <w:p>
      <w:pPr>
        <w:pStyle w:val="41"/>
        <w:numPr>
          <w:ilvl w:val="0"/>
          <w:numId w:val="135"/>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电伴热带应与被伴热管道（或设备）贴紧并固定，固定电伴热带时，扎带材料应根据管道的温度选用，严禁用金属丝绑扎。</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检查数量：按总数抽查10%，且不得少于1处。</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pPr>
        <w:pStyle w:val="41"/>
        <w:numPr>
          <w:ilvl w:val="0"/>
          <w:numId w:val="135"/>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当采用钢轨作回流轨时，屏蔽门应与钢轨进行等电位连接，等电位连接应符合下列规定：</w:t>
      </w:r>
    </w:p>
    <w:p>
      <w:pPr>
        <w:pStyle w:val="41"/>
        <w:numPr>
          <w:ilvl w:val="1"/>
          <w:numId w:val="137"/>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正常情况下人体可触及的屏蔽门金属构件应与土建结构绝缘，单侧站台门体与车站土建结构之间的绝缘电阻在</w:t>
      </w:r>
      <w:r>
        <w:rPr>
          <w:rFonts w:hint="eastAsia" w:asciiTheme="minorEastAsia" w:hAnsiTheme="minorEastAsia" w:eastAsiaTheme="minorEastAsia"/>
          <w:color w:val="000000"/>
          <w:szCs w:val="21"/>
        </w:rPr>
        <w:t>500</w:t>
      </w:r>
      <w:r>
        <w:rPr>
          <w:rFonts w:hint="eastAsia" w:cs="仿宋" w:asciiTheme="minorEastAsia" w:hAnsiTheme="minorEastAsia" w:eastAsiaTheme="minorEastAsia"/>
          <w:color w:val="000000"/>
          <w:spacing w:val="0"/>
          <w:w w:val="15"/>
          <w:kern w:val="0"/>
          <w:szCs w:val="21"/>
          <w:fitText w:val="42" w:id="1692223507"/>
        </w:rPr>
        <w:t xml:space="preserve">　 </w:t>
      </w:r>
      <w:r>
        <w:rPr>
          <w:rFonts w:hint="eastAsia" w:cs="仿宋" w:asciiTheme="minorEastAsia" w:hAnsiTheme="minorEastAsia" w:eastAsiaTheme="minorEastAsia"/>
          <w:color w:val="000000"/>
          <w:spacing w:val="-17"/>
          <w:w w:val="15"/>
          <w:kern w:val="0"/>
          <w:szCs w:val="21"/>
          <w:fitText w:val="42" w:id="1692223507"/>
        </w:rPr>
        <w:t>　</w:t>
      </w:r>
      <w:r>
        <w:rPr>
          <w:rFonts w:hint="eastAsia" w:asciiTheme="minorEastAsia" w:hAnsiTheme="minorEastAsia" w:eastAsiaTheme="minorEastAsia"/>
          <w:color w:val="000000"/>
          <w:szCs w:val="21"/>
        </w:rPr>
        <w:t>VDC</w:t>
      </w:r>
      <w:r>
        <w:rPr>
          <w:rFonts w:hint="eastAsia" w:asciiTheme="minorEastAsia" w:hAnsiTheme="minorEastAsia" w:eastAsiaTheme="minorEastAsia"/>
          <w:szCs w:val="21"/>
        </w:rPr>
        <w:t>下不应小于</w:t>
      </w:r>
      <w:r>
        <w:rPr>
          <w:rFonts w:hint="eastAsia" w:asciiTheme="minorEastAsia" w:hAnsiTheme="minorEastAsia" w:eastAsiaTheme="minorEastAsia"/>
          <w:color w:val="000000"/>
          <w:szCs w:val="21"/>
        </w:rPr>
        <w:t>0.5</w:t>
      </w:r>
      <w:r>
        <w:rPr>
          <w:rFonts w:hint="eastAsia" w:cs="仿宋" w:asciiTheme="minorEastAsia" w:hAnsiTheme="minorEastAsia" w:eastAsiaTheme="minorEastAsia"/>
          <w:color w:val="000000"/>
          <w:spacing w:val="0"/>
          <w:w w:val="15"/>
          <w:kern w:val="0"/>
          <w:szCs w:val="21"/>
          <w:fitText w:val="42" w:id="1671896053"/>
        </w:rPr>
        <w:t xml:space="preserve">　 </w:t>
      </w:r>
      <w:r>
        <w:rPr>
          <w:rFonts w:hint="eastAsia" w:cs="仿宋" w:asciiTheme="minorEastAsia" w:hAnsiTheme="minorEastAsia" w:eastAsiaTheme="minorEastAsia"/>
          <w:color w:val="000000"/>
          <w:spacing w:val="-17"/>
          <w:w w:val="15"/>
          <w:kern w:val="0"/>
          <w:szCs w:val="21"/>
          <w:fitText w:val="42" w:id="1671896053"/>
        </w:rPr>
        <w:t>　</w:t>
      </w:r>
      <w:r>
        <w:rPr>
          <w:rFonts w:hint="eastAsia" w:asciiTheme="minorEastAsia" w:hAnsiTheme="minorEastAsia" w:eastAsiaTheme="minorEastAsia"/>
          <w:color w:val="000000"/>
          <w:szCs w:val="21"/>
        </w:rPr>
        <w:t>MΩ</w:t>
      </w:r>
      <w:r>
        <w:rPr>
          <w:rFonts w:hint="eastAsia" w:asciiTheme="minorEastAsia" w:hAnsiTheme="minorEastAsia" w:eastAsiaTheme="minorEastAsia"/>
          <w:szCs w:val="21"/>
        </w:rPr>
        <w:t>。</w:t>
      </w:r>
      <w:r>
        <w:rPr>
          <w:rFonts w:asciiTheme="minorEastAsia" w:hAnsiTheme="minorEastAsia" w:eastAsiaTheme="minorEastAsia"/>
          <w:color w:val="000000"/>
          <w:szCs w:val="21"/>
        </w:rPr>
        <w:t>0.</w:t>
      </w:r>
      <w:r>
        <w:rPr>
          <w:rFonts w:hint="eastAsia" w:asciiTheme="minorEastAsia" w:hAnsiTheme="minorEastAsia" w:eastAsiaTheme="minorEastAsia"/>
          <w:color w:val="000000"/>
          <w:szCs w:val="21"/>
        </w:rPr>
        <w:t>5</w:t>
      </w:r>
      <w:r>
        <w:rPr>
          <w:rFonts w:hint="eastAsia" w:cs="仿宋" w:asciiTheme="minorEastAsia" w:hAnsiTheme="minorEastAsia" w:eastAsiaTheme="minorEastAsia"/>
          <w:color w:val="000000"/>
          <w:spacing w:val="0"/>
          <w:w w:val="15"/>
          <w:kern w:val="0"/>
          <w:szCs w:val="21"/>
          <w:fitText w:val="42" w:id="1501906932"/>
        </w:rPr>
        <w:t xml:space="preserve">　 </w:t>
      </w:r>
      <w:r>
        <w:rPr>
          <w:rFonts w:hint="eastAsia" w:cs="仿宋" w:asciiTheme="minorEastAsia" w:hAnsiTheme="minorEastAsia" w:eastAsiaTheme="minorEastAsia"/>
          <w:color w:val="000000"/>
          <w:spacing w:val="-17"/>
          <w:w w:val="15"/>
          <w:kern w:val="0"/>
          <w:szCs w:val="21"/>
          <w:fitText w:val="42" w:id="1501906932"/>
        </w:rPr>
        <w:t>　</w:t>
      </w:r>
      <w:r>
        <w:rPr>
          <w:rFonts w:hint="eastAsia" w:asciiTheme="minorEastAsia" w:hAnsiTheme="minorEastAsia" w:eastAsiaTheme="minorEastAsia"/>
          <w:color w:val="000000"/>
          <w:szCs w:val="21"/>
        </w:rPr>
        <w:t>M</w:t>
      </w:r>
      <w:r>
        <w:rPr>
          <w:rFonts w:asciiTheme="minorEastAsia" w:hAnsiTheme="minorEastAsia" w:eastAsiaTheme="minorEastAsia"/>
          <w:color w:val="000000"/>
          <w:szCs w:val="21"/>
        </w:rPr>
        <w:t>Ω</w:t>
      </w:r>
      <w:r>
        <w:rPr>
          <w:rFonts w:hint="eastAsia" w:asciiTheme="minorEastAsia" w:hAnsiTheme="minorEastAsia" w:eastAsiaTheme="minorEastAsia"/>
          <w:szCs w:val="21"/>
        </w:rPr>
        <w:t>绝缘电阻值要求应在屏蔽门门体与其他接口进行绝缘封闭前进行测量。</w:t>
      </w:r>
    </w:p>
    <w:p>
      <w:pPr>
        <w:pStyle w:val="41"/>
        <w:numPr>
          <w:ilvl w:val="1"/>
          <w:numId w:val="137"/>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在屏蔽门站台侧、端门内外的地面应设置距离门体不小于</w:t>
      </w:r>
      <w:r>
        <w:rPr>
          <w:rFonts w:hint="eastAsia" w:asciiTheme="minorEastAsia" w:hAnsiTheme="minorEastAsia" w:eastAsiaTheme="minorEastAsia"/>
          <w:color w:val="000000"/>
          <w:szCs w:val="21"/>
        </w:rPr>
        <w:t>900</w:t>
      </w:r>
      <w:r>
        <w:rPr>
          <w:rFonts w:hint="eastAsia" w:cs="仿宋" w:asciiTheme="minorEastAsia" w:hAnsiTheme="minorEastAsia" w:eastAsiaTheme="minorEastAsia"/>
          <w:color w:val="000000"/>
          <w:spacing w:val="0"/>
          <w:w w:val="15"/>
          <w:kern w:val="0"/>
          <w:szCs w:val="21"/>
          <w:fitText w:val="42" w:id="892353202"/>
        </w:rPr>
        <w:t xml:space="preserve">　 </w:t>
      </w:r>
      <w:r>
        <w:rPr>
          <w:rFonts w:hint="eastAsia" w:cs="仿宋" w:asciiTheme="minorEastAsia" w:hAnsiTheme="minorEastAsia" w:eastAsiaTheme="minorEastAsia"/>
          <w:color w:val="000000"/>
          <w:spacing w:val="-17"/>
          <w:w w:val="15"/>
          <w:kern w:val="0"/>
          <w:szCs w:val="21"/>
          <w:fitText w:val="42" w:id="892353202"/>
        </w:rPr>
        <w:t>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的绝缘区域；在端门内外两侧墙面高</w:t>
      </w:r>
      <w:r>
        <w:rPr>
          <w:rFonts w:hint="eastAsia" w:asciiTheme="minorEastAsia" w:hAnsiTheme="minorEastAsia" w:eastAsiaTheme="minorEastAsia"/>
          <w:color w:val="000000"/>
          <w:szCs w:val="21"/>
        </w:rPr>
        <w:t>2 m</w:t>
      </w:r>
      <w:r>
        <w:rPr>
          <w:rFonts w:hint="eastAsia" w:asciiTheme="minorEastAsia" w:hAnsiTheme="minorEastAsia" w:eastAsiaTheme="minorEastAsia"/>
          <w:szCs w:val="21"/>
        </w:rPr>
        <w:t>范围内应设置距离门体不小于</w:t>
      </w:r>
      <w:r>
        <w:rPr>
          <w:rFonts w:hint="eastAsia" w:asciiTheme="minorEastAsia" w:hAnsiTheme="minorEastAsia" w:eastAsiaTheme="minorEastAsia"/>
          <w:color w:val="000000"/>
          <w:szCs w:val="21"/>
        </w:rPr>
        <w:t>900</w:t>
      </w:r>
      <w:r>
        <w:rPr>
          <w:rFonts w:hint="eastAsia" w:cs="仿宋" w:asciiTheme="minorEastAsia" w:hAnsiTheme="minorEastAsia" w:eastAsiaTheme="minorEastAsia"/>
          <w:color w:val="000000"/>
          <w:spacing w:val="0"/>
          <w:w w:val="15"/>
          <w:kern w:val="0"/>
          <w:szCs w:val="21"/>
          <w:fitText w:val="42" w:id="1122525163"/>
        </w:rPr>
        <w:t xml:space="preserve">　 </w:t>
      </w:r>
      <w:r>
        <w:rPr>
          <w:rFonts w:hint="eastAsia" w:cs="仿宋" w:asciiTheme="minorEastAsia" w:hAnsiTheme="minorEastAsia" w:eastAsiaTheme="minorEastAsia"/>
          <w:color w:val="000000"/>
          <w:spacing w:val="-17"/>
          <w:w w:val="15"/>
          <w:kern w:val="0"/>
          <w:szCs w:val="21"/>
          <w:fitText w:val="42" w:id="1122525163"/>
        </w:rPr>
        <w:t>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的绝缘区域。</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检查方法：施工中观察检查并查阅隐蔽工程检查记录。</w:t>
      </w:r>
    </w:p>
    <w:p>
      <w:pPr>
        <w:pStyle w:val="41"/>
        <w:numPr>
          <w:ilvl w:val="0"/>
          <w:numId w:val="135"/>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当钢轨不作回流轨时，屏蔽门应通过接地端子连接车站的接地网。</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pPr>
        <w:pStyle w:val="41"/>
        <w:numPr>
          <w:ilvl w:val="0"/>
          <w:numId w:val="135"/>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屏蔽门系统在站台区域的不带电外露金属部分应进行等电位连接，单侧站台屏蔽门整体电阻值不应大于</w:t>
      </w:r>
      <w:r>
        <w:rPr>
          <w:rFonts w:hint="eastAsia" w:asciiTheme="minorEastAsia" w:hAnsiTheme="minorEastAsia" w:eastAsiaTheme="minorEastAsia"/>
          <w:color w:val="000000"/>
          <w:szCs w:val="21"/>
        </w:rPr>
        <w:t>0.4</w:t>
      </w:r>
      <w:r>
        <w:rPr>
          <w:rFonts w:hint="eastAsia" w:cs="仿宋" w:asciiTheme="minorEastAsia" w:hAnsiTheme="minorEastAsia" w:eastAsiaTheme="minorEastAsia"/>
          <w:color w:val="000000"/>
          <w:spacing w:val="0"/>
          <w:w w:val="15"/>
          <w:kern w:val="0"/>
          <w:szCs w:val="21"/>
          <w:fitText w:val="42" w:id="1340887350"/>
        </w:rPr>
        <w:t xml:space="preserve">　 </w:t>
      </w:r>
      <w:r>
        <w:rPr>
          <w:rFonts w:hint="eastAsia" w:cs="仿宋" w:asciiTheme="minorEastAsia" w:hAnsiTheme="minorEastAsia" w:eastAsiaTheme="minorEastAsia"/>
          <w:color w:val="000000"/>
          <w:spacing w:val="-17"/>
          <w:w w:val="15"/>
          <w:kern w:val="0"/>
          <w:szCs w:val="21"/>
          <w:fitText w:val="42" w:id="1340887350"/>
        </w:rPr>
        <w:t>　</w:t>
      </w:r>
      <w:r>
        <w:rPr>
          <w:rFonts w:hint="eastAsia" w:asciiTheme="minorEastAsia" w:hAnsiTheme="minorEastAsia" w:eastAsiaTheme="minorEastAsia"/>
          <w:color w:val="000000"/>
          <w:szCs w:val="21"/>
        </w:rPr>
        <w:t>Ω</w:t>
      </w:r>
      <w:r>
        <w:rPr>
          <w:rFonts w:hint="eastAsia" w:asciiTheme="minorEastAsia" w:hAnsiTheme="minorEastAsia" w:eastAsiaTheme="minorEastAsia"/>
          <w:szCs w:val="21"/>
        </w:rPr>
        <w:t>。</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检查方法：查阅试验记录。</w:t>
      </w:r>
    </w:p>
    <w:p>
      <w:pPr>
        <w:pStyle w:val="41"/>
        <w:numPr>
          <w:ilvl w:val="0"/>
          <w:numId w:val="135"/>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屏蔽门安装后每个单元应进行运行试验和功能测试；一侧完整的屏蔽门应连续进行</w:t>
      </w:r>
      <w:r>
        <w:rPr>
          <w:rFonts w:hint="eastAsia" w:asciiTheme="minorEastAsia" w:hAnsiTheme="minorEastAsia" w:eastAsiaTheme="minorEastAsia"/>
          <w:color w:val="000000"/>
          <w:szCs w:val="21"/>
        </w:rPr>
        <w:t>5000</w:t>
      </w:r>
      <w:r>
        <w:rPr>
          <w:rFonts w:hint="eastAsia" w:asciiTheme="minorEastAsia" w:hAnsiTheme="minorEastAsia" w:eastAsiaTheme="minorEastAsia"/>
          <w:szCs w:val="21"/>
        </w:rPr>
        <w:t>次运行检测，检测期间屏蔽门应运行平稳、无运行故障。</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检查方法：查阅试验记录。</w:t>
      </w:r>
    </w:p>
    <w:p>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162" w:name="_Toc136868055"/>
      <w:bookmarkStart w:id="163" w:name="_Toc137216249"/>
      <w:bookmarkStart w:id="164" w:name="_Toc136869090"/>
      <w:r>
        <w:rPr>
          <w:rFonts w:hint="eastAsia" w:asciiTheme="minorEastAsia" w:hAnsiTheme="minorEastAsia" w:eastAsiaTheme="minorEastAsia"/>
          <w:sz w:val="24"/>
          <w:szCs w:val="24"/>
        </w:rPr>
        <w:t>6</w:t>
      </w:r>
      <w:r>
        <w:rPr>
          <w:rFonts w:asciiTheme="minorEastAsia" w:hAnsiTheme="minorEastAsia" w:eastAsiaTheme="minorEastAsia"/>
          <w:sz w:val="24"/>
          <w:szCs w:val="24"/>
        </w:rPr>
        <w:t xml:space="preserve">.6 </w:t>
      </w:r>
      <w:r>
        <w:rPr>
          <w:rFonts w:hint="eastAsia" w:asciiTheme="minorEastAsia" w:hAnsiTheme="minorEastAsia" w:eastAsiaTheme="minorEastAsia"/>
          <w:sz w:val="24"/>
          <w:szCs w:val="24"/>
        </w:rPr>
        <w:t>电气设备试验和试运行</w:t>
      </w:r>
      <w:bookmarkEnd w:id="162"/>
      <w:bookmarkEnd w:id="163"/>
      <w:bookmarkEnd w:id="164"/>
    </w:p>
    <w:p>
      <w:pPr>
        <w:pStyle w:val="4"/>
        <w:spacing w:before="120" w:beforeLines="50" w:after="120" w:afterLines="50"/>
        <w:rPr>
          <w:rFonts w:asciiTheme="minorEastAsia" w:hAnsiTheme="minorEastAsia" w:eastAsiaTheme="minorEastAsia"/>
          <w:sz w:val="21"/>
          <w:szCs w:val="21"/>
        </w:rPr>
      </w:pPr>
      <w:r>
        <w:t>I</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主控项目</w:t>
      </w:r>
    </w:p>
    <w:p>
      <w:pPr>
        <w:pStyle w:val="41"/>
        <w:numPr>
          <w:ilvl w:val="0"/>
          <w:numId w:val="138"/>
        </w:numPr>
        <w:spacing w:line="360" w:lineRule="auto"/>
        <w:ind w:left="0" w:firstLine="0" w:firstLineChars="0"/>
        <w:rPr>
          <w:rFonts w:ascii="宋体" w:hAnsi="宋体" w:cs="宋体"/>
          <w:szCs w:val="21"/>
        </w:rPr>
      </w:pPr>
      <w:r>
        <w:rPr>
          <w:rFonts w:hint="eastAsia" w:ascii="宋体" w:hAnsi="宋体" w:cs="宋体"/>
          <w:szCs w:val="21"/>
        </w:rPr>
        <w:t>试运行前，相关电气设备和线路应按本规范的规定试验合格。</w:t>
      </w:r>
    </w:p>
    <w:p>
      <w:pPr>
        <w:pStyle w:val="41"/>
        <w:spacing w:line="360" w:lineRule="auto"/>
        <w:rPr>
          <w:rFonts w:ascii="宋体" w:hAnsi="宋体" w:cs="宋体"/>
          <w:szCs w:val="21"/>
        </w:rPr>
      </w:pPr>
      <w:r>
        <w:rPr>
          <w:rFonts w:hint="eastAsia" w:ascii="宋体" w:hAnsi="宋体" w:cs="宋体"/>
          <w:szCs w:val="21"/>
        </w:rPr>
        <w:t>检查数量：全数检查。</w:t>
      </w:r>
    </w:p>
    <w:p>
      <w:pPr>
        <w:pStyle w:val="41"/>
        <w:spacing w:line="360" w:lineRule="auto"/>
        <w:rPr>
          <w:rFonts w:ascii="宋体" w:hAnsi="宋体" w:cs="宋体"/>
          <w:szCs w:val="21"/>
        </w:rPr>
      </w:pPr>
      <w:r>
        <w:rPr>
          <w:rFonts w:hint="eastAsia" w:ascii="宋体" w:hAnsi="宋体" w:cs="宋体"/>
          <w:szCs w:val="21"/>
        </w:rPr>
        <w:t>检查方法：试验时观察检查并查阅相关试验、测试记录。</w:t>
      </w:r>
    </w:p>
    <w:p>
      <w:pPr>
        <w:pStyle w:val="41"/>
        <w:numPr>
          <w:ilvl w:val="0"/>
          <w:numId w:val="138"/>
        </w:numPr>
        <w:spacing w:line="360" w:lineRule="auto"/>
        <w:ind w:left="0" w:firstLine="0" w:firstLineChars="0"/>
        <w:rPr>
          <w:rFonts w:ascii="宋体" w:hAnsi="宋体" w:cs="宋体"/>
          <w:szCs w:val="21"/>
        </w:rPr>
      </w:pPr>
      <w:r>
        <w:rPr>
          <w:rFonts w:hint="eastAsia" w:ascii="宋体" w:hAnsi="宋体" w:cs="宋体"/>
          <w:szCs w:val="21"/>
        </w:rPr>
        <w:t>在试运行前，现场单独安装的低压电器交接试验项目应符合本规范附表规定。</w:t>
      </w:r>
    </w:p>
    <w:p>
      <w:pPr>
        <w:spacing w:after="48" w:afterLines="20" w:line="360" w:lineRule="auto"/>
        <w:jc w:val="center"/>
        <w:rPr>
          <w:rFonts w:ascii="黑体" w:hAnsi="黑体" w:eastAsia="黑体" w:cs="黑体"/>
          <w:spacing w:val="1"/>
          <w:kern w:val="0"/>
          <w:szCs w:val="21"/>
        </w:rPr>
      </w:pPr>
      <w:r>
        <w:rPr>
          <w:rFonts w:hint="eastAsia" w:ascii="黑体" w:hAnsi="黑体" w:eastAsia="黑体" w:cs="黑体"/>
          <w:spacing w:val="1"/>
          <w:kern w:val="0"/>
          <w:szCs w:val="21"/>
        </w:rPr>
        <w:t>表6.</w:t>
      </w:r>
      <w:r>
        <w:rPr>
          <w:rFonts w:ascii="黑体" w:hAnsi="黑体" w:eastAsia="黑体" w:cs="黑体"/>
          <w:spacing w:val="1"/>
          <w:kern w:val="0"/>
          <w:szCs w:val="21"/>
        </w:rPr>
        <w:t>6</w:t>
      </w:r>
      <w:r>
        <w:rPr>
          <w:rFonts w:hint="eastAsia" w:ascii="黑体" w:hAnsi="黑体" w:eastAsia="黑体" w:cs="黑体"/>
          <w:spacing w:val="1"/>
          <w:kern w:val="0"/>
          <w:szCs w:val="21"/>
        </w:rPr>
        <w:t>.2</w:t>
      </w:r>
      <w:r>
        <w:rPr>
          <w:rFonts w:ascii="黑体" w:hAnsi="黑体" w:eastAsia="黑体" w:cs="黑体"/>
          <w:spacing w:val="1"/>
          <w:kern w:val="0"/>
          <w:szCs w:val="21"/>
        </w:rPr>
        <w:t xml:space="preserve">  </w:t>
      </w:r>
      <w:r>
        <w:rPr>
          <w:rFonts w:hint="eastAsia" w:ascii="黑体" w:hAnsi="黑体" w:eastAsia="黑体" w:cs="黑体"/>
          <w:spacing w:val="1"/>
          <w:kern w:val="0"/>
          <w:szCs w:val="21"/>
        </w:rPr>
        <w:t>低压电器交接试验</w:t>
      </w:r>
    </w:p>
    <w:tbl>
      <w:tblPr>
        <w:tblStyle w:val="28"/>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2320"/>
        <w:gridCol w:w="5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66"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序号</w:t>
            </w:r>
          </w:p>
        </w:tc>
        <w:tc>
          <w:tcPr>
            <w:tcW w:w="2320" w:type="dxa"/>
            <w:vAlign w:val="center"/>
          </w:tcPr>
          <w:p>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试验内容</w:t>
            </w:r>
          </w:p>
        </w:tc>
        <w:tc>
          <w:tcPr>
            <w:tcW w:w="5644" w:type="dxa"/>
            <w:vAlign w:val="center"/>
          </w:tcPr>
          <w:p>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试验标准或条件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trPr>
        <w:tc>
          <w:tcPr>
            <w:tcW w:w="666" w:type="dxa"/>
            <w:vAlign w:val="center"/>
          </w:tcPr>
          <w:p>
            <w:pPr>
              <w:widowControl/>
              <w:spacing w:line="360" w:lineRule="auto"/>
              <w:jc w:val="center"/>
              <w:textAlignment w:val="center"/>
              <w:rPr>
                <w:rFonts w:ascii="宋体" w:hAnsi="宋体" w:cs="宋体"/>
                <w:kern w:val="0"/>
                <w:sz w:val="18"/>
                <w:szCs w:val="18"/>
              </w:rPr>
            </w:pPr>
            <w:r>
              <w:rPr>
                <w:rFonts w:hint="eastAsia" w:ascii="宋体" w:hAnsi="宋体" w:cs="宋体"/>
                <w:kern w:val="0"/>
                <w:sz w:val="18"/>
                <w:szCs w:val="18"/>
              </w:rPr>
              <w:t>1</w:t>
            </w:r>
          </w:p>
        </w:tc>
        <w:tc>
          <w:tcPr>
            <w:tcW w:w="2320" w:type="dxa"/>
            <w:vAlign w:val="center"/>
          </w:tcPr>
          <w:p>
            <w:pPr>
              <w:widowControl/>
              <w:adjustRightInd w:val="0"/>
              <w:snapToGrid w:val="0"/>
              <w:spacing w:line="360" w:lineRule="auto"/>
              <w:jc w:val="center"/>
              <w:textAlignment w:val="center"/>
              <w:rPr>
                <w:rFonts w:ascii="宋体" w:hAnsi="宋体" w:cs="宋体"/>
                <w:kern w:val="0"/>
                <w:sz w:val="18"/>
                <w:szCs w:val="18"/>
              </w:rPr>
            </w:pPr>
            <w:r>
              <w:rPr>
                <w:rFonts w:hint="eastAsia" w:ascii="宋体" w:hAnsi="宋体" w:cs="宋体"/>
                <w:kern w:val="0"/>
                <w:sz w:val="18"/>
                <w:szCs w:val="18"/>
              </w:rPr>
              <w:t>绝缘电阻</w:t>
            </w:r>
          </w:p>
        </w:tc>
        <w:tc>
          <w:tcPr>
            <w:tcW w:w="5644" w:type="dxa"/>
            <w:vAlign w:val="center"/>
          </w:tcPr>
          <w:p>
            <w:pPr>
              <w:widowControl/>
              <w:adjustRightInd w:val="0"/>
              <w:snapToGrid w:val="0"/>
              <w:spacing w:line="360" w:lineRule="auto"/>
              <w:jc w:val="center"/>
              <w:textAlignment w:val="center"/>
              <w:rPr>
                <w:rFonts w:ascii="宋体" w:hAnsi="宋体" w:cs="宋体"/>
                <w:kern w:val="0"/>
                <w:sz w:val="18"/>
                <w:szCs w:val="18"/>
              </w:rPr>
            </w:pPr>
            <w:r>
              <w:rPr>
                <w:rFonts w:hint="eastAsia" w:ascii="宋体" w:hAnsi="宋体" w:cs="宋体"/>
                <w:kern w:val="0"/>
                <w:sz w:val="18"/>
                <w:szCs w:val="18"/>
              </w:rPr>
              <w:t>用</w:t>
            </w:r>
            <w:r>
              <w:rPr>
                <w:rFonts w:hint="eastAsia" w:ascii="宋体" w:hAnsi="宋体" w:cs="宋体"/>
                <w:color w:val="000000"/>
                <w:kern w:val="0"/>
                <w:sz w:val="18"/>
                <w:szCs w:val="18"/>
              </w:rPr>
              <w:t>500 V</w:t>
            </w:r>
            <w:r>
              <w:rPr>
                <w:rFonts w:hint="eastAsia" w:ascii="宋体" w:hAnsi="宋体" w:cs="宋体"/>
                <w:kern w:val="0"/>
                <w:sz w:val="18"/>
                <w:szCs w:val="18"/>
              </w:rPr>
              <w:t>兆欧表摇测≥</w:t>
            </w:r>
            <w:r>
              <w:rPr>
                <w:rFonts w:hint="eastAsia" w:ascii="宋体" w:hAnsi="宋体" w:cs="宋体"/>
                <w:color w:val="000000"/>
                <w:kern w:val="0"/>
                <w:sz w:val="18"/>
                <w:szCs w:val="18"/>
              </w:rPr>
              <w:t>1</w:t>
            </w:r>
            <w:r>
              <w:rPr>
                <w:rFonts w:hint="eastAsia" w:cs="仿宋" w:asciiTheme="minorEastAsia" w:hAnsiTheme="minorEastAsia" w:eastAsiaTheme="minorEastAsia"/>
                <w:color w:val="000000"/>
                <w:spacing w:val="0"/>
                <w:w w:val="15"/>
                <w:kern w:val="0"/>
                <w:szCs w:val="21"/>
                <w:fitText w:val="42" w:id="257237105"/>
              </w:rPr>
              <w:t xml:space="preserve">　 </w:t>
            </w:r>
            <w:r>
              <w:rPr>
                <w:rFonts w:hint="eastAsia" w:cs="仿宋" w:asciiTheme="minorEastAsia" w:hAnsiTheme="minorEastAsia" w:eastAsiaTheme="minorEastAsia"/>
                <w:color w:val="000000"/>
                <w:spacing w:val="-17"/>
                <w:w w:val="15"/>
                <w:kern w:val="0"/>
                <w:szCs w:val="21"/>
                <w:fitText w:val="42" w:id="257237105"/>
              </w:rPr>
              <w:t>　</w:t>
            </w:r>
            <w:r>
              <w:rPr>
                <w:rFonts w:hint="eastAsia" w:ascii="宋体" w:hAnsi="宋体" w:cs="宋体"/>
                <w:color w:val="000000"/>
                <w:kern w:val="0"/>
                <w:sz w:val="18"/>
                <w:szCs w:val="18"/>
              </w:rPr>
              <w:t>MΩ</w:t>
            </w:r>
            <w:r>
              <w:rPr>
                <w:rFonts w:hint="eastAsia" w:ascii="宋体" w:hAnsi="宋体" w:cs="宋体"/>
                <w:kern w:val="0"/>
                <w:sz w:val="18"/>
                <w:szCs w:val="18"/>
              </w:rPr>
              <w:t>，潮湿场所≥</w:t>
            </w:r>
            <w:r>
              <w:rPr>
                <w:rFonts w:hint="eastAsia" w:ascii="宋体" w:hAnsi="宋体" w:cs="宋体"/>
                <w:color w:val="000000"/>
                <w:kern w:val="0"/>
                <w:sz w:val="18"/>
                <w:szCs w:val="18"/>
              </w:rPr>
              <w:t>0.5</w:t>
            </w:r>
            <w:r>
              <w:rPr>
                <w:rFonts w:hint="eastAsia" w:cs="仿宋" w:asciiTheme="minorEastAsia" w:hAnsiTheme="minorEastAsia" w:eastAsiaTheme="minorEastAsia"/>
                <w:color w:val="000000"/>
                <w:spacing w:val="0"/>
                <w:w w:val="15"/>
                <w:kern w:val="0"/>
                <w:szCs w:val="21"/>
                <w:fitText w:val="42" w:id="1583559822"/>
              </w:rPr>
              <w:t xml:space="preserve">　 </w:t>
            </w:r>
            <w:r>
              <w:rPr>
                <w:rFonts w:hint="eastAsia" w:cs="仿宋" w:asciiTheme="minorEastAsia" w:hAnsiTheme="minorEastAsia" w:eastAsiaTheme="minorEastAsia"/>
                <w:color w:val="000000"/>
                <w:spacing w:val="-17"/>
                <w:w w:val="15"/>
                <w:kern w:val="0"/>
                <w:szCs w:val="21"/>
                <w:fitText w:val="42" w:id="1583559822"/>
              </w:rPr>
              <w:t>　</w:t>
            </w:r>
            <w:r>
              <w:rPr>
                <w:rFonts w:hint="eastAsia" w:ascii="宋体" w:hAnsi="宋体" w:cs="宋体"/>
                <w:color w:val="000000"/>
                <w:kern w:val="0"/>
                <w:sz w:val="18"/>
                <w:szCs w:val="18"/>
              </w:rPr>
              <w:t>MΩ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exact"/>
        </w:trPr>
        <w:tc>
          <w:tcPr>
            <w:tcW w:w="666" w:type="dxa"/>
            <w:vAlign w:val="center"/>
          </w:tcPr>
          <w:p>
            <w:pPr>
              <w:widowControl/>
              <w:spacing w:line="360" w:lineRule="auto"/>
              <w:jc w:val="center"/>
              <w:textAlignment w:val="center"/>
              <w:rPr>
                <w:rFonts w:ascii="宋体" w:hAnsi="宋体" w:cs="宋体"/>
                <w:kern w:val="0"/>
                <w:sz w:val="18"/>
                <w:szCs w:val="18"/>
              </w:rPr>
            </w:pPr>
            <w:r>
              <w:rPr>
                <w:rFonts w:hint="eastAsia" w:ascii="宋体" w:hAnsi="宋体" w:cs="宋体"/>
                <w:kern w:val="0"/>
                <w:sz w:val="18"/>
                <w:szCs w:val="18"/>
              </w:rPr>
              <w:t>2</w:t>
            </w:r>
          </w:p>
        </w:tc>
        <w:tc>
          <w:tcPr>
            <w:tcW w:w="2320" w:type="dxa"/>
            <w:vAlign w:val="center"/>
          </w:tcPr>
          <w:p>
            <w:pPr>
              <w:widowControl/>
              <w:adjustRightInd w:val="0"/>
              <w:snapToGrid w:val="0"/>
              <w:spacing w:line="360" w:lineRule="auto"/>
              <w:jc w:val="center"/>
              <w:textAlignment w:val="center"/>
              <w:rPr>
                <w:rFonts w:ascii="宋体" w:hAnsi="宋体" w:cs="宋体"/>
                <w:kern w:val="0"/>
                <w:sz w:val="18"/>
                <w:szCs w:val="18"/>
              </w:rPr>
            </w:pPr>
            <w:r>
              <w:rPr>
                <w:rFonts w:hint="eastAsia" w:ascii="宋体" w:hAnsi="宋体" w:cs="宋体"/>
                <w:kern w:val="0"/>
                <w:sz w:val="18"/>
                <w:szCs w:val="18"/>
              </w:rPr>
              <w:t>采用电动机、电磁、电控气动操作或气动传动方式操作的</w:t>
            </w:r>
            <w:r>
              <w:rPr>
                <w:rFonts w:hint="eastAsia" w:ascii="宋体" w:hAnsi="宋体" w:cs="宋体"/>
                <w:color w:val="000000"/>
                <w:kern w:val="0"/>
                <w:sz w:val="18"/>
                <w:szCs w:val="18"/>
              </w:rPr>
              <w:t>电器</w:t>
            </w:r>
            <w:r>
              <w:rPr>
                <w:rFonts w:hint="eastAsia" w:ascii="宋体" w:hAnsi="宋体" w:cs="宋体"/>
                <w:kern w:val="0"/>
                <w:sz w:val="18"/>
                <w:szCs w:val="18"/>
              </w:rPr>
              <w:t>动作</w:t>
            </w:r>
          </w:p>
        </w:tc>
        <w:tc>
          <w:tcPr>
            <w:tcW w:w="5644" w:type="dxa"/>
            <w:vAlign w:val="center"/>
          </w:tcPr>
          <w:p>
            <w:pPr>
              <w:widowControl/>
              <w:adjustRightInd w:val="0"/>
              <w:snapToGrid w:val="0"/>
              <w:spacing w:line="360" w:lineRule="auto"/>
              <w:jc w:val="center"/>
              <w:textAlignment w:val="center"/>
              <w:rPr>
                <w:rFonts w:ascii="宋体" w:hAnsi="宋体" w:cs="宋体"/>
                <w:kern w:val="0"/>
                <w:sz w:val="18"/>
                <w:szCs w:val="18"/>
              </w:rPr>
            </w:pPr>
            <w:r>
              <w:rPr>
                <w:rFonts w:hint="eastAsia" w:ascii="宋体" w:hAnsi="宋体" w:cs="宋体"/>
                <w:kern w:val="0"/>
                <w:sz w:val="18"/>
                <w:szCs w:val="18"/>
              </w:rPr>
              <w:t>除产品另有规定外，电压、液压或气压在额定值</w:t>
            </w:r>
            <w:r>
              <w:rPr>
                <w:rFonts w:hint="eastAsia"/>
              </w:rPr>
              <w:t>的</w:t>
            </w:r>
            <w:r>
              <w:rPr>
                <w:rFonts w:hint="eastAsia" w:ascii="宋体" w:hAnsi="宋体" w:cs="宋体"/>
                <w:kern w:val="0"/>
                <w:sz w:val="18"/>
                <w:szCs w:val="18"/>
              </w:rPr>
              <w:t>85</w:t>
            </w:r>
            <w:r>
              <w:rPr>
                <w:rFonts w:hint="eastAsia" w:ascii="宋体" w:hAnsi="宋体" w:cs="宋体"/>
                <w:color w:val="000000"/>
                <w:kern w:val="0"/>
                <w:sz w:val="18"/>
                <w:szCs w:val="18"/>
              </w:rPr>
              <w:t>%</w:t>
            </w:r>
            <w:r>
              <w:rPr>
                <w:rFonts w:hint="eastAsia" w:ascii="宋体" w:hAnsi="宋体" w:cs="宋体"/>
                <w:kern w:val="0"/>
                <w:sz w:val="18"/>
                <w:szCs w:val="18"/>
              </w:rPr>
              <w:t>~110</w:t>
            </w:r>
            <w:r>
              <w:rPr>
                <w:rFonts w:hint="eastAsia" w:ascii="宋体" w:hAnsi="宋体" w:cs="宋体"/>
                <w:color w:val="000000"/>
                <w:kern w:val="0"/>
                <w:sz w:val="18"/>
                <w:szCs w:val="18"/>
              </w:rPr>
              <w:t>%</w:t>
            </w:r>
            <w:r>
              <w:rPr>
                <w:rFonts w:hint="eastAsia" w:ascii="宋体" w:hAnsi="宋体" w:cs="宋体"/>
                <w:kern w:val="0"/>
                <w:sz w:val="18"/>
                <w:szCs w:val="18"/>
              </w:rPr>
              <w:t>范围内能可靠</w:t>
            </w:r>
            <w:r>
              <w:rPr>
                <w:rFonts w:hint="eastAsia" w:ascii="宋体" w:hAnsi="宋体" w:cs="宋体"/>
                <w:color w:val="000000"/>
                <w:kern w:val="0"/>
                <w:sz w:val="18"/>
                <w:szCs w:val="18"/>
              </w:rPr>
              <w:t>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8" w:hRule="exact"/>
        </w:trPr>
        <w:tc>
          <w:tcPr>
            <w:tcW w:w="666" w:type="dxa"/>
            <w:vAlign w:val="center"/>
          </w:tcPr>
          <w:p>
            <w:pPr>
              <w:widowControl/>
              <w:spacing w:line="360" w:lineRule="auto"/>
              <w:jc w:val="center"/>
              <w:textAlignment w:val="center"/>
              <w:rPr>
                <w:rFonts w:ascii="宋体" w:hAnsi="宋体" w:cs="宋体"/>
                <w:kern w:val="0"/>
                <w:sz w:val="18"/>
                <w:szCs w:val="18"/>
              </w:rPr>
            </w:pPr>
            <w:r>
              <w:rPr>
                <w:rFonts w:hint="eastAsia" w:ascii="宋体" w:hAnsi="宋体" w:cs="宋体"/>
                <w:kern w:val="0"/>
                <w:sz w:val="18"/>
                <w:szCs w:val="18"/>
              </w:rPr>
              <w:t>3</w:t>
            </w:r>
          </w:p>
        </w:tc>
        <w:tc>
          <w:tcPr>
            <w:tcW w:w="2320" w:type="dxa"/>
            <w:vAlign w:val="center"/>
          </w:tcPr>
          <w:p>
            <w:pPr>
              <w:widowControl/>
              <w:adjustRightInd w:val="0"/>
              <w:snapToGrid w:val="0"/>
              <w:spacing w:line="360" w:lineRule="auto"/>
              <w:jc w:val="center"/>
              <w:textAlignment w:val="center"/>
              <w:rPr>
                <w:rFonts w:ascii="宋体" w:hAnsi="宋体" w:cs="宋体"/>
                <w:kern w:val="0"/>
                <w:sz w:val="18"/>
                <w:szCs w:val="18"/>
              </w:rPr>
            </w:pPr>
            <w:r>
              <w:rPr>
                <w:rFonts w:hint="eastAsia" w:ascii="宋体" w:hAnsi="宋体" w:cs="宋体"/>
                <w:kern w:val="0"/>
                <w:sz w:val="18"/>
                <w:szCs w:val="18"/>
              </w:rPr>
              <w:t>脱扣器或继电器动作</w:t>
            </w:r>
          </w:p>
        </w:tc>
        <w:tc>
          <w:tcPr>
            <w:tcW w:w="5644" w:type="dxa"/>
            <w:vAlign w:val="center"/>
          </w:tcPr>
          <w:p>
            <w:pPr>
              <w:widowControl/>
              <w:adjustRightInd w:val="0"/>
              <w:snapToGrid w:val="0"/>
              <w:spacing w:line="360" w:lineRule="auto"/>
              <w:jc w:val="center"/>
              <w:textAlignment w:val="center"/>
              <w:rPr>
                <w:rFonts w:ascii="宋体" w:hAnsi="宋体" w:cs="宋体"/>
                <w:kern w:val="0"/>
                <w:sz w:val="18"/>
                <w:szCs w:val="18"/>
              </w:rPr>
            </w:pPr>
            <w:r>
              <w:rPr>
                <w:rFonts w:hint="eastAsia" w:ascii="宋体" w:hAnsi="宋体" w:cs="宋体"/>
                <w:kern w:val="0"/>
                <w:sz w:val="18"/>
                <w:szCs w:val="18"/>
              </w:rPr>
              <w:t>分励脱扣器应在额定控制电源电压70%~110%的范围内均能可靠动作，欠电压继电器或脱扣器应在额定电源电压70%~35%的范围内均能可靠</w:t>
            </w:r>
            <w:r>
              <w:rPr>
                <w:rFonts w:hint="eastAsia" w:ascii="宋体" w:hAnsi="宋体" w:cs="宋体"/>
                <w:color w:val="000000"/>
                <w:kern w:val="0"/>
                <w:sz w:val="18"/>
                <w:szCs w:val="18"/>
              </w:rPr>
              <w:t>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66" w:type="dxa"/>
            <w:vAlign w:val="center"/>
          </w:tcPr>
          <w:p>
            <w:pPr>
              <w:widowControl/>
              <w:spacing w:line="360" w:lineRule="auto"/>
              <w:jc w:val="center"/>
              <w:textAlignment w:val="center"/>
              <w:rPr>
                <w:rFonts w:ascii="宋体" w:hAnsi="宋体" w:cs="宋体"/>
                <w:kern w:val="0"/>
                <w:sz w:val="18"/>
                <w:szCs w:val="18"/>
              </w:rPr>
            </w:pPr>
            <w:r>
              <w:rPr>
                <w:rFonts w:hint="eastAsia" w:ascii="宋体" w:hAnsi="宋体" w:cs="宋体"/>
                <w:kern w:val="0"/>
                <w:sz w:val="18"/>
                <w:szCs w:val="18"/>
              </w:rPr>
              <w:t>4</w:t>
            </w:r>
          </w:p>
        </w:tc>
        <w:tc>
          <w:tcPr>
            <w:tcW w:w="2320" w:type="dxa"/>
            <w:vAlign w:val="center"/>
          </w:tcPr>
          <w:p>
            <w:pPr>
              <w:widowControl/>
              <w:adjustRightInd w:val="0"/>
              <w:snapToGrid w:val="0"/>
              <w:spacing w:line="360" w:lineRule="auto"/>
              <w:jc w:val="center"/>
              <w:textAlignment w:val="center"/>
              <w:rPr>
                <w:rFonts w:ascii="宋体" w:hAnsi="宋体" w:cs="宋体"/>
                <w:kern w:val="0"/>
                <w:sz w:val="18"/>
                <w:szCs w:val="18"/>
              </w:rPr>
            </w:pPr>
            <w:r>
              <w:rPr>
                <w:rFonts w:hint="eastAsia" w:ascii="宋体" w:hAnsi="宋体" w:cs="宋体"/>
                <w:kern w:val="0"/>
                <w:sz w:val="18"/>
                <w:szCs w:val="18"/>
              </w:rPr>
              <w:t>脱扣器的整定值</w:t>
            </w:r>
          </w:p>
        </w:tc>
        <w:tc>
          <w:tcPr>
            <w:tcW w:w="5644" w:type="dxa"/>
            <w:vAlign w:val="center"/>
          </w:tcPr>
          <w:p>
            <w:pPr>
              <w:widowControl/>
              <w:adjustRightInd w:val="0"/>
              <w:snapToGrid w:val="0"/>
              <w:spacing w:line="360" w:lineRule="auto"/>
              <w:jc w:val="center"/>
              <w:textAlignment w:val="center"/>
              <w:rPr>
                <w:rFonts w:ascii="宋体" w:hAnsi="宋体" w:cs="宋体"/>
                <w:kern w:val="0"/>
                <w:sz w:val="18"/>
                <w:szCs w:val="18"/>
              </w:rPr>
            </w:pPr>
            <w:r>
              <w:rPr>
                <w:rFonts w:hint="eastAsia" w:ascii="宋体" w:hAnsi="宋体" w:cs="宋体"/>
                <w:kern w:val="0"/>
                <w:sz w:val="18"/>
                <w:szCs w:val="18"/>
              </w:rPr>
              <w:t>整定值误差不得超过产品技术条件的规定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exact"/>
        </w:trPr>
        <w:tc>
          <w:tcPr>
            <w:tcW w:w="666" w:type="dxa"/>
            <w:vAlign w:val="center"/>
          </w:tcPr>
          <w:p>
            <w:pPr>
              <w:widowControl/>
              <w:spacing w:line="360" w:lineRule="auto"/>
              <w:jc w:val="center"/>
              <w:textAlignment w:val="center"/>
              <w:rPr>
                <w:rFonts w:ascii="宋体" w:hAnsi="宋体" w:cs="宋体"/>
                <w:kern w:val="0"/>
                <w:sz w:val="18"/>
                <w:szCs w:val="18"/>
              </w:rPr>
            </w:pPr>
            <w:r>
              <w:rPr>
                <w:rFonts w:hint="eastAsia" w:ascii="宋体" w:hAnsi="宋体" w:cs="宋体"/>
                <w:kern w:val="0"/>
                <w:sz w:val="18"/>
                <w:szCs w:val="18"/>
              </w:rPr>
              <w:t>5</w:t>
            </w:r>
          </w:p>
        </w:tc>
        <w:tc>
          <w:tcPr>
            <w:tcW w:w="2320" w:type="dxa"/>
            <w:vAlign w:val="center"/>
          </w:tcPr>
          <w:p>
            <w:pPr>
              <w:widowControl/>
              <w:adjustRightInd w:val="0"/>
              <w:snapToGrid w:val="0"/>
              <w:spacing w:line="360" w:lineRule="auto"/>
              <w:jc w:val="center"/>
              <w:textAlignment w:val="center"/>
              <w:rPr>
                <w:rFonts w:ascii="宋体" w:hAnsi="宋体" w:cs="宋体"/>
                <w:kern w:val="0"/>
                <w:sz w:val="18"/>
                <w:szCs w:val="18"/>
              </w:rPr>
            </w:pPr>
            <w:r>
              <w:rPr>
                <w:rFonts w:hint="eastAsia" w:ascii="宋体" w:hAnsi="宋体" w:cs="宋体"/>
                <w:kern w:val="0"/>
                <w:sz w:val="18"/>
                <w:szCs w:val="18"/>
              </w:rPr>
              <w:t>剩余电流保护器</w:t>
            </w:r>
          </w:p>
        </w:tc>
        <w:tc>
          <w:tcPr>
            <w:tcW w:w="5644" w:type="dxa"/>
            <w:vAlign w:val="center"/>
          </w:tcPr>
          <w:p>
            <w:pPr>
              <w:widowControl/>
              <w:adjustRightInd w:val="0"/>
              <w:snapToGrid w:val="0"/>
              <w:spacing w:line="360" w:lineRule="auto"/>
              <w:jc w:val="center"/>
              <w:textAlignment w:val="center"/>
              <w:rPr>
                <w:rFonts w:ascii="宋体" w:hAnsi="宋体" w:cs="宋体"/>
                <w:kern w:val="0"/>
                <w:sz w:val="18"/>
                <w:szCs w:val="18"/>
              </w:rPr>
            </w:pPr>
            <w:r>
              <w:rPr>
                <w:rFonts w:hint="eastAsia" w:ascii="宋体" w:hAnsi="宋体" w:cs="宋体"/>
                <w:kern w:val="0"/>
                <w:sz w:val="18"/>
                <w:szCs w:val="18"/>
              </w:rPr>
              <w:t>在设定剩余动作电流值时，测试分断时间，应符合设计及产品技术文件的要求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exact"/>
        </w:trPr>
        <w:tc>
          <w:tcPr>
            <w:tcW w:w="666" w:type="dxa"/>
            <w:vAlign w:val="center"/>
          </w:tcPr>
          <w:p>
            <w:pPr>
              <w:widowControl/>
              <w:spacing w:line="360" w:lineRule="auto"/>
              <w:jc w:val="center"/>
              <w:textAlignment w:val="center"/>
              <w:rPr>
                <w:rFonts w:ascii="宋体" w:hAnsi="宋体" w:cs="宋体"/>
                <w:kern w:val="0"/>
                <w:sz w:val="18"/>
                <w:szCs w:val="18"/>
              </w:rPr>
            </w:pPr>
            <w:r>
              <w:rPr>
                <w:rFonts w:hint="eastAsia" w:ascii="宋体" w:hAnsi="宋体" w:cs="宋体"/>
                <w:kern w:val="0"/>
                <w:sz w:val="18"/>
                <w:szCs w:val="18"/>
              </w:rPr>
              <w:t>6</w:t>
            </w:r>
          </w:p>
        </w:tc>
        <w:tc>
          <w:tcPr>
            <w:tcW w:w="2320" w:type="dxa"/>
            <w:vAlign w:val="center"/>
          </w:tcPr>
          <w:p>
            <w:pPr>
              <w:widowControl/>
              <w:adjustRightInd w:val="0"/>
              <w:snapToGrid w:val="0"/>
              <w:spacing w:line="360" w:lineRule="auto"/>
              <w:jc w:val="center"/>
              <w:textAlignment w:val="center"/>
              <w:rPr>
                <w:rFonts w:ascii="宋体" w:hAnsi="宋体" w:cs="宋体"/>
                <w:kern w:val="0"/>
                <w:sz w:val="18"/>
                <w:szCs w:val="18"/>
              </w:rPr>
            </w:pPr>
            <w:r>
              <w:rPr>
                <w:rFonts w:hint="eastAsia" w:ascii="宋体" w:hAnsi="宋体" w:cs="宋体"/>
                <w:kern w:val="0"/>
                <w:sz w:val="18"/>
                <w:szCs w:val="18"/>
              </w:rPr>
              <w:t>电阻器和变阻器的直流电阻值</w:t>
            </w:r>
          </w:p>
        </w:tc>
        <w:tc>
          <w:tcPr>
            <w:tcW w:w="5644" w:type="dxa"/>
            <w:vAlign w:val="center"/>
          </w:tcPr>
          <w:p>
            <w:pPr>
              <w:widowControl/>
              <w:adjustRightInd w:val="0"/>
              <w:snapToGrid w:val="0"/>
              <w:spacing w:line="360" w:lineRule="auto"/>
              <w:jc w:val="center"/>
              <w:textAlignment w:val="center"/>
              <w:rPr>
                <w:rFonts w:ascii="宋体" w:hAnsi="宋体" w:cs="宋体"/>
                <w:kern w:val="0"/>
                <w:sz w:val="18"/>
                <w:szCs w:val="18"/>
              </w:rPr>
            </w:pPr>
            <w:r>
              <w:rPr>
                <w:rFonts w:hint="eastAsia" w:ascii="宋体" w:hAnsi="宋体" w:cs="宋体"/>
                <w:kern w:val="0"/>
                <w:sz w:val="18"/>
                <w:szCs w:val="18"/>
              </w:rPr>
              <w:t>其差值应符合产品技术规定，电阻值应满足回路使用的要求</w:t>
            </w:r>
          </w:p>
        </w:tc>
      </w:tr>
    </w:tbl>
    <w:p>
      <w:pPr>
        <w:pStyle w:val="41"/>
        <w:spacing w:line="360" w:lineRule="auto"/>
        <w:rPr>
          <w:rFonts w:ascii="宋体" w:hAnsi="宋体" w:cs="宋体"/>
          <w:szCs w:val="21"/>
        </w:rPr>
      </w:pPr>
      <w:r>
        <w:rPr>
          <w:rFonts w:hint="eastAsia" w:ascii="宋体" w:hAnsi="宋体" w:cs="宋体"/>
          <w:szCs w:val="21"/>
        </w:rPr>
        <w:t>检查数量：全数检查。</w:t>
      </w:r>
    </w:p>
    <w:p>
      <w:pPr>
        <w:pStyle w:val="41"/>
        <w:spacing w:line="360" w:lineRule="auto"/>
        <w:rPr>
          <w:rFonts w:ascii="宋体" w:hAnsi="宋体" w:cs="宋体"/>
          <w:szCs w:val="21"/>
        </w:rPr>
      </w:pPr>
      <w:r>
        <w:rPr>
          <w:rFonts w:hint="eastAsia" w:ascii="宋体" w:hAnsi="宋体" w:cs="宋体"/>
          <w:szCs w:val="21"/>
        </w:rPr>
        <w:t>检查方法：试验时观察检查并查阅交接试验检验记录。</w:t>
      </w:r>
    </w:p>
    <w:p>
      <w:pPr>
        <w:pStyle w:val="41"/>
        <w:numPr>
          <w:ilvl w:val="0"/>
          <w:numId w:val="138"/>
        </w:numPr>
        <w:spacing w:line="360" w:lineRule="auto"/>
        <w:ind w:left="0" w:firstLine="0" w:firstLineChars="0"/>
        <w:rPr>
          <w:rFonts w:ascii="宋体" w:hAnsi="宋体" w:cs="宋体"/>
          <w:szCs w:val="21"/>
        </w:rPr>
      </w:pPr>
      <w:r>
        <w:rPr>
          <w:rFonts w:hint="eastAsia" w:ascii="宋体" w:hAnsi="宋体" w:cs="宋体"/>
          <w:szCs w:val="21"/>
        </w:rPr>
        <w:t xml:space="preserve">电动机应试通电，并应检查转向和机械转动情况，电动机空载试运行应符合下列规定：                                                           </w:t>
      </w:r>
    </w:p>
    <w:p>
      <w:pPr>
        <w:pStyle w:val="41"/>
        <w:numPr>
          <w:ilvl w:val="1"/>
          <w:numId w:val="139"/>
        </w:numPr>
        <w:spacing w:line="360" w:lineRule="auto"/>
        <w:ind w:firstLine="424" w:firstLineChars="202"/>
        <w:rPr>
          <w:rFonts w:ascii="宋体" w:hAnsi="宋体" w:cs="宋体"/>
          <w:szCs w:val="21"/>
        </w:rPr>
      </w:pPr>
      <w:r>
        <w:rPr>
          <w:rFonts w:hint="eastAsia" w:ascii="宋体" w:hAnsi="宋体" w:cs="宋体"/>
          <w:szCs w:val="21"/>
        </w:rPr>
        <w:t>空载试运行时间宜为</w:t>
      </w:r>
      <w:r>
        <w:rPr>
          <w:rFonts w:hint="eastAsia" w:ascii="宋体" w:hAnsi="宋体" w:cs="宋体"/>
          <w:color w:val="000000"/>
          <w:szCs w:val="21"/>
        </w:rPr>
        <w:t>2</w:t>
      </w:r>
      <w:r>
        <w:rPr>
          <w:rFonts w:hint="eastAsia" w:cs="仿宋" w:asciiTheme="minorEastAsia" w:hAnsiTheme="minorEastAsia" w:eastAsiaTheme="minorEastAsia"/>
          <w:color w:val="000000"/>
          <w:spacing w:val="0"/>
          <w:w w:val="15"/>
          <w:kern w:val="0"/>
          <w:szCs w:val="21"/>
          <w:fitText w:val="42" w:id="477448535"/>
        </w:rPr>
        <w:t xml:space="preserve">　 </w:t>
      </w:r>
      <w:r>
        <w:rPr>
          <w:rFonts w:hint="eastAsia" w:cs="仿宋" w:asciiTheme="minorEastAsia" w:hAnsiTheme="minorEastAsia" w:eastAsiaTheme="minorEastAsia"/>
          <w:color w:val="000000"/>
          <w:spacing w:val="-17"/>
          <w:w w:val="15"/>
          <w:kern w:val="0"/>
          <w:szCs w:val="21"/>
          <w:fitText w:val="42" w:id="477448535"/>
        </w:rPr>
        <w:t>　</w:t>
      </w:r>
      <w:r>
        <w:rPr>
          <w:rFonts w:hint="eastAsia" w:ascii="宋体" w:hAnsi="宋体" w:cs="宋体"/>
          <w:color w:val="000000"/>
          <w:szCs w:val="21"/>
        </w:rPr>
        <w:t>h</w:t>
      </w:r>
      <w:r>
        <w:rPr>
          <w:rFonts w:hint="eastAsia" w:ascii="宋体" w:hAnsi="宋体" w:cs="宋体"/>
          <w:szCs w:val="21"/>
        </w:rPr>
        <w:t>，机身和轴承的温升、电压和电流等应符合建筑设备或工艺装置的空载状态运行要求，并应记录电流、电压、温度、运行时间等有关数据；</w:t>
      </w:r>
    </w:p>
    <w:p>
      <w:pPr>
        <w:pStyle w:val="41"/>
        <w:numPr>
          <w:ilvl w:val="1"/>
          <w:numId w:val="139"/>
        </w:numPr>
        <w:spacing w:line="360" w:lineRule="auto"/>
        <w:ind w:firstLine="424" w:firstLineChars="202"/>
        <w:rPr>
          <w:rFonts w:ascii="宋体" w:hAnsi="宋体" w:cs="宋体"/>
          <w:szCs w:val="21"/>
        </w:rPr>
      </w:pPr>
      <w:r>
        <w:rPr>
          <w:rFonts w:hint="eastAsia" w:ascii="宋体" w:hAnsi="宋体" w:cs="宋体"/>
          <w:szCs w:val="21"/>
        </w:rPr>
        <w:t>空载状态下可启动次数及间隔时间应符合产品技术文件的要求；无要求时，连续启动2次的时间间隔不应小于</w:t>
      </w:r>
      <w:r>
        <w:rPr>
          <w:rFonts w:hint="eastAsia" w:ascii="宋体" w:hAnsi="宋体" w:cs="宋体"/>
          <w:color w:val="000000"/>
          <w:szCs w:val="21"/>
        </w:rPr>
        <w:t>5</w:t>
      </w:r>
      <w:r>
        <w:rPr>
          <w:rFonts w:hint="eastAsia" w:cs="仿宋" w:asciiTheme="minorEastAsia" w:hAnsiTheme="minorEastAsia" w:eastAsiaTheme="minorEastAsia"/>
          <w:color w:val="000000"/>
          <w:spacing w:val="0"/>
          <w:w w:val="15"/>
          <w:kern w:val="0"/>
          <w:szCs w:val="21"/>
          <w:fitText w:val="42" w:id="1820874413"/>
        </w:rPr>
        <w:t xml:space="preserve">　 </w:t>
      </w:r>
      <w:r>
        <w:rPr>
          <w:rFonts w:hint="eastAsia" w:cs="仿宋" w:asciiTheme="minorEastAsia" w:hAnsiTheme="minorEastAsia" w:eastAsiaTheme="minorEastAsia"/>
          <w:color w:val="000000"/>
          <w:spacing w:val="-17"/>
          <w:w w:val="15"/>
          <w:kern w:val="0"/>
          <w:szCs w:val="21"/>
          <w:fitText w:val="42" w:id="1820874413"/>
        </w:rPr>
        <w:t>　</w:t>
      </w:r>
      <w:r>
        <w:rPr>
          <w:rFonts w:hint="eastAsia" w:ascii="宋体" w:hAnsi="宋体" w:cs="宋体"/>
          <w:color w:val="000000"/>
          <w:szCs w:val="21"/>
        </w:rPr>
        <w:t>min</w:t>
      </w:r>
      <w:r>
        <w:rPr>
          <w:rFonts w:hint="eastAsia" w:ascii="宋体" w:hAnsi="宋体" w:cs="宋体"/>
          <w:szCs w:val="21"/>
        </w:rPr>
        <w:t>，并应在电动机冷却至常温下进行再次启动。</w:t>
      </w:r>
    </w:p>
    <w:p>
      <w:pPr>
        <w:pStyle w:val="41"/>
        <w:spacing w:line="360" w:lineRule="auto"/>
        <w:rPr>
          <w:rFonts w:ascii="宋体" w:hAnsi="宋体" w:cs="宋体"/>
          <w:szCs w:val="21"/>
        </w:rPr>
      </w:pPr>
      <w:r>
        <w:rPr>
          <w:rFonts w:hint="eastAsia" w:ascii="宋体" w:hAnsi="宋体" w:cs="宋体"/>
          <w:szCs w:val="21"/>
        </w:rPr>
        <w:t>检查数量：按设备总数抽查10%，且不得少于1台。</w:t>
      </w:r>
    </w:p>
    <w:p>
      <w:pPr>
        <w:pStyle w:val="41"/>
        <w:spacing w:line="360" w:lineRule="auto"/>
        <w:rPr>
          <w:rFonts w:ascii="宋体" w:hAnsi="宋体" w:cs="宋体"/>
          <w:szCs w:val="21"/>
        </w:rPr>
      </w:pPr>
      <w:r>
        <w:rPr>
          <w:rFonts w:hint="eastAsia" w:ascii="宋体" w:hAnsi="宋体" w:cs="宋体"/>
          <w:szCs w:val="21"/>
        </w:rPr>
        <w:t>检查方法：轴承温度采用测温仪测量，其他参数可在试验时观察检查并查阅电动机空载试运行记录。</w:t>
      </w:r>
    </w:p>
    <w:p>
      <w:pPr>
        <w:pStyle w:val="4"/>
        <w:spacing w:before="120" w:beforeLines="50" w:after="120" w:afterLines="50"/>
        <w:rPr>
          <w:rFonts w:asciiTheme="minorEastAsia" w:hAnsiTheme="minorEastAsia" w:eastAsiaTheme="minorEastAsia"/>
          <w:sz w:val="21"/>
          <w:szCs w:val="21"/>
        </w:rPr>
      </w:pPr>
      <w:r>
        <w:t>Ⅱ</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一般项目</w:t>
      </w:r>
    </w:p>
    <w:p>
      <w:pPr>
        <w:pStyle w:val="41"/>
        <w:numPr>
          <w:ilvl w:val="0"/>
          <w:numId w:val="138"/>
        </w:numPr>
        <w:spacing w:line="360" w:lineRule="auto"/>
        <w:ind w:left="0" w:firstLine="0" w:firstLineChars="0"/>
        <w:rPr>
          <w:rFonts w:ascii="宋体" w:hAnsi="宋体" w:cs="宋体"/>
          <w:szCs w:val="21"/>
        </w:rPr>
      </w:pPr>
      <w:r>
        <w:rPr>
          <w:rFonts w:hint="eastAsia" w:ascii="宋体" w:hAnsi="宋体" w:cs="宋体"/>
          <w:szCs w:val="21"/>
        </w:rPr>
        <w:t>电气动力设备的运行电压、电流应正常，各种仪表指示应正常。</w:t>
      </w:r>
    </w:p>
    <w:p>
      <w:pPr>
        <w:pStyle w:val="41"/>
        <w:spacing w:line="360" w:lineRule="auto"/>
        <w:rPr>
          <w:rFonts w:ascii="宋体" w:hAnsi="宋体" w:cs="宋体"/>
          <w:szCs w:val="21"/>
        </w:rPr>
      </w:pPr>
      <w:r>
        <w:rPr>
          <w:rFonts w:hint="eastAsia" w:ascii="宋体" w:hAnsi="宋体" w:cs="宋体"/>
          <w:szCs w:val="21"/>
        </w:rPr>
        <w:t>检查数量：全数检查</w:t>
      </w:r>
    </w:p>
    <w:p>
      <w:pPr>
        <w:pStyle w:val="41"/>
        <w:spacing w:line="360" w:lineRule="auto"/>
        <w:rPr>
          <w:rFonts w:ascii="宋体" w:hAnsi="宋体" w:cs="宋体"/>
          <w:szCs w:val="21"/>
        </w:rPr>
      </w:pPr>
      <w:r>
        <w:rPr>
          <w:rFonts w:hint="eastAsia" w:ascii="宋体" w:hAnsi="宋体" w:cs="宋体"/>
          <w:szCs w:val="21"/>
        </w:rPr>
        <w:t>检查方法：观察检查</w:t>
      </w:r>
    </w:p>
    <w:p>
      <w:pPr>
        <w:pStyle w:val="41"/>
        <w:numPr>
          <w:ilvl w:val="0"/>
          <w:numId w:val="138"/>
        </w:numPr>
        <w:spacing w:line="360" w:lineRule="auto"/>
        <w:ind w:left="0" w:firstLine="0" w:firstLineChars="0"/>
        <w:rPr>
          <w:rFonts w:ascii="宋体" w:hAnsi="宋体" w:cs="宋体"/>
          <w:szCs w:val="21"/>
        </w:rPr>
      </w:pPr>
      <w:r>
        <w:rPr>
          <w:rFonts w:hint="eastAsia" w:ascii="宋体" w:hAnsi="宋体" w:cs="宋体"/>
          <w:szCs w:val="21"/>
        </w:rPr>
        <w:t>电动执行机构的动作方向及指示应与工艺装置的设计要求保持一致。</w:t>
      </w:r>
    </w:p>
    <w:p>
      <w:pPr>
        <w:pStyle w:val="41"/>
        <w:spacing w:line="360" w:lineRule="auto"/>
        <w:rPr>
          <w:rFonts w:ascii="宋体" w:hAnsi="宋体" w:cs="宋体"/>
          <w:szCs w:val="21"/>
        </w:rPr>
      </w:pPr>
      <w:r>
        <w:rPr>
          <w:rFonts w:hint="eastAsia" w:ascii="宋体" w:hAnsi="宋体" w:cs="宋体"/>
          <w:szCs w:val="21"/>
        </w:rPr>
        <w:t>检查数量：按设备总数抽查10%，且不得少于1台。</w:t>
      </w:r>
    </w:p>
    <w:p>
      <w:pPr>
        <w:pStyle w:val="41"/>
        <w:spacing w:line="360" w:lineRule="auto"/>
        <w:rPr>
          <w:rFonts w:ascii="宋体" w:hAnsi="宋体" w:cs="宋体"/>
          <w:szCs w:val="21"/>
        </w:rPr>
      </w:pPr>
      <w:r>
        <w:rPr>
          <w:rFonts w:hint="eastAsia" w:ascii="宋体" w:hAnsi="宋体" w:cs="宋体"/>
          <w:szCs w:val="21"/>
        </w:rPr>
        <w:t>检查方法：观察检查。</w:t>
      </w:r>
    </w:p>
    <w:p>
      <w:pPr>
        <w:pStyle w:val="41"/>
        <w:spacing w:line="360" w:lineRule="auto"/>
        <w:rPr>
          <w:rFonts w:ascii="宋体" w:hAnsi="宋体" w:cs="宋体"/>
          <w:szCs w:val="21"/>
        </w:rPr>
      </w:pPr>
    </w:p>
    <w:p>
      <w:pPr>
        <w:pStyle w:val="41"/>
        <w:spacing w:line="360" w:lineRule="auto"/>
        <w:rPr>
          <w:rFonts w:ascii="宋体" w:hAnsi="宋体" w:cs="宋体"/>
          <w:szCs w:val="21"/>
        </w:rPr>
      </w:pPr>
    </w:p>
    <w:p>
      <w:pPr>
        <w:pStyle w:val="41"/>
        <w:spacing w:line="360" w:lineRule="auto"/>
        <w:rPr>
          <w:rFonts w:ascii="宋体" w:hAnsi="宋体" w:cs="宋体"/>
          <w:szCs w:val="21"/>
        </w:rPr>
      </w:pPr>
    </w:p>
    <w:p>
      <w:pPr>
        <w:pStyle w:val="41"/>
        <w:spacing w:line="360" w:lineRule="auto"/>
        <w:rPr>
          <w:rFonts w:ascii="宋体" w:hAnsi="宋体" w:cs="宋体"/>
          <w:szCs w:val="21"/>
        </w:rPr>
      </w:pPr>
    </w:p>
    <w:p>
      <w:pPr>
        <w:pStyle w:val="41"/>
        <w:spacing w:line="360" w:lineRule="auto"/>
        <w:rPr>
          <w:rFonts w:ascii="宋体" w:hAnsi="宋体" w:cs="宋体"/>
          <w:szCs w:val="21"/>
        </w:rPr>
      </w:pPr>
    </w:p>
    <w:p>
      <w:pPr>
        <w:pStyle w:val="41"/>
        <w:spacing w:line="360" w:lineRule="auto"/>
        <w:rPr>
          <w:rFonts w:ascii="宋体" w:hAnsi="宋体" w:cs="宋体"/>
          <w:szCs w:val="21"/>
        </w:rPr>
      </w:pPr>
    </w:p>
    <w:p>
      <w:pPr>
        <w:pStyle w:val="41"/>
        <w:spacing w:line="360" w:lineRule="auto"/>
        <w:rPr>
          <w:rFonts w:ascii="宋体" w:hAnsi="宋体" w:cs="宋体"/>
          <w:szCs w:val="21"/>
        </w:rPr>
      </w:pPr>
    </w:p>
    <w:p>
      <w:pPr>
        <w:pStyle w:val="41"/>
        <w:spacing w:line="360" w:lineRule="auto"/>
        <w:rPr>
          <w:rFonts w:ascii="宋体" w:hAnsi="宋体" w:cs="宋体"/>
          <w:szCs w:val="21"/>
        </w:rPr>
      </w:pPr>
    </w:p>
    <w:p>
      <w:pPr>
        <w:pStyle w:val="41"/>
        <w:spacing w:line="360" w:lineRule="auto"/>
        <w:rPr>
          <w:rFonts w:ascii="宋体" w:hAnsi="宋体" w:cs="宋体"/>
          <w:szCs w:val="21"/>
        </w:rPr>
      </w:pPr>
    </w:p>
    <w:p>
      <w:pPr>
        <w:pStyle w:val="41"/>
        <w:spacing w:line="360" w:lineRule="auto"/>
        <w:rPr>
          <w:rFonts w:ascii="宋体" w:hAnsi="宋体" w:cs="宋体"/>
          <w:szCs w:val="21"/>
        </w:rPr>
      </w:pPr>
    </w:p>
    <w:p>
      <w:pPr>
        <w:pStyle w:val="41"/>
        <w:spacing w:line="360" w:lineRule="auto"/>
        <w:rPr>
          <w:rFonts w:ascii="宋体" w:hAnsi="宋体" w:cs="宋体"/>
          <w:szCs w:val="21"/>
        </w:rPr>
      </w:pPr>
    </w:p>
    <w:p>
      <w:pPr>
        <w:pStyle w:val="41"/>
        <w:spacing w:line="360" w:lineRule="auto"/>
        <w:rPr>
          <w:rFonts w:ascii="宋体" w:hAnsi="宋体" w:cs="宋体"/>
          <w:szCs w:val="21"/>
        </w:rPr>
      </w:pPr>
    </w:p>
    <w:p>
      <w:pPr>
        <w:pStyle w:val="41"/>
        <w:spacing w:line="360" w:lineRule="auto"/>
        <w:rPr>
          <w:rFonts w:ascii="宋体" w:hAnsi="宋体" w:cs="宋体"/>
          <w:szCs w:val="21"/>
        </w:rPr>
      </w:pPr>
    </w:p>
    <w:p>
      <w:pPr>
        <w:pStyle w:val="41"/>
        <w:spacing w:line="360" w:lineRule="auto"/>
        <w:rPr>
          <w:rFonts w:ascii="宋体" w:hAnsi="宋体" w:cs="宋体"/>
          <w:szCs w:val="21"/>
        </w:rPr>
      </w:pPr>
    </w:p>
    <w:p>
      <w:pPr>
        <w:pStyle w:val="41"/>
        <w:spacing w:line="360" w:lineRule="auto"/>
        <w:rPr>
          <w:rFonts w:ascii="宋体" w:hAnsi="宋体" w:cs="宋体"/>
          <w:szCs w:val="21"/>
        </w:rPr>
      </w:pPr>
    </w:p>
    <w:p>
      <w:pPr>
        <w:pStyle w:val="41"/>
        <w:spacing w:line="360" w:lineRule="auto"/>
        <w:rPr>
          <w:rFonts w:ascii="宋体" w:hAnsi="宋体" w:cs="宋体"/>
          <w:szCs w:val="21"/>
        </w:rPr>
      </w:pPr>
    </w:p>
    <w:p>
      <w:pPr>
        <w:pStyle w:val="41"/>
        <w:spacing w:line="360" w:lineRule="auto"/>
        <w:rPr>
          <w:rFonts w:ascii="宋体" w:hAnsi="宋体" w:cs="宋体"/>
          <w:szCs w:val="21"/>
        </w:rPr>
      </w:pPr>
    </w:p>
    <w:p>
      <w:pPr>
        <w:widowControl/>
        <w:jc w:val="left"/>
        <w:rPr>
          <w:rFonts w:asciiTheme="minorEastAsia" w:hAnsiTheme="minorEastAsia" w:eastAsiaTheme="minorEastAsia"/>
          <w:b/>
          <w:bCs/>
          <w:kern w:val="44"/>
          <w:sz w:val="28"/>
          <w:szCs w:val="30"/>
        </w:rPr>
      </w:pPr>
      <w:bookmarkStart w:id="165" w:name="_Toc124168181"/>
      <w:bookmarkStart w:id="166" w:name="_Toc136869091"/>
      <w:bookmarkStart w:id="167" w:name="_Toc136868056"/>
      <w:r>
        <w:rPr>
          <w:rFonts w:asciiTheme="minorEastAsia" w:hAnsiTheme="minorEastAsia" w:eastAsiaTheme="minorEastAsia"/>
          <w:sz w:val="28"/>
          <w:szCs w:val="30"/>
        </w:rPr>
        <w:br w:type="page"/>
      </w:r>
    </w:p>
    <w:p>
      <w:pPr>
        <w:pStyle w:val="2"/>
        <w:numPr>
          <w:ilvl w:val="0"/>
          <w:numId w:val="4"/>
        </w:numPr>
        <w:spacing w:before="120" w:beforeLines="50" w:after="120" w:afterLines="50" w:line="360" w:lineRule="auto"/>
        <w:jc w:val="center"/>
        <w:rPr>
          <w:rFonts w:asciiTheme="minorEastAsia" w:hAnsiTheme="minorEastAsia" w:eastAsiaTheme="minorEastAsia"/>
          <w:sz w:val="28"/>
          <w:szCs w:val="30"/>
        </w:rPr>
      </w:pPr>
      <w:bookmarkStart w:id="168" w:name="_Toc137216250"/>
      <w:r>
        <w:rPr>
          <w:rFonts w:asciiTheme="minorEastAsia" w:hAnsiTheme="minorEastAsia" w:eastAsiaTheme="minorEastAsia"/>
          <w:sz w:val="28"/>
          <w:szCs w:val="30"/>
        </w:rPr>
        <w:t>照明</w:t>
      </w:r>
      <w:bookmarkEnd w:id="165"/>
      <w:bookmarkEnd w:id="166"/>
      <w:bookmarkEnd w:id="167"/>
      <w:bookmarkEnd w:id="168"/>
    </w:p>
    <w:p>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169" w:name="_Toc124168182"/>
      <w:bookmarkStart w:id="170" w:name="_Toc137216251"/>
      <w:bookmarkStart w:id="171" w:name="_Toc136869092"/>
      <w:bookmarkStart w:id="172" w:name="_Toc136868057"/>
      <w:r>
        <w:rPr>
          <w:rFonts w:hint="eastAsia" w:asciiTheme="minorEastAsia" w:hAnsiTheme="minorEastAsia" w:eastAsiaTheme="minorEastAsia"/>
          <w:sz w:val="24"/>
          <w:szCs w:val="24"/>
        </w:rPr>
        <w:t>7</w:t>
      </w:r>
      <w:r>
        <w:rPr>
          <w:rFonts w:asciiTheme="minorEastAsia" w:hAnsiTheme="minorEastAsia" w:eastAsiaTheme="minorEastAsia"/>
          <w:sz w:val="24"/>
          <w:szCs w:val="24"/>
        </w:rPr>
        <w:t xml:space="preserve">.1 </w:t>
      </w:r>
      <w:bookmarkEnd w:id="169"/>
      <w:r>
        <w:rPr>
          <w:rFonts w:hint="eastAsia" w:asciiTheme="minorEastAsia" w:hAnsiTheme="minorEastAsia" w:eastAsiaTheme="minorEastAsia"/>
          <w:sz w:val="24"/>
          <w:szCs w:val="24"/>
        </w:rPr>
        <w:t>电气照明装置安装</w:t>
      </w:r>
      <w:bookmarkEnd w:id="170"/>
      <w:bookmarkEnd w:id="171"/>
      <w:bookmarkEnd w:id="172"/>
    </w:p>
    <w:p>
      <w:pPr>
        <w:pStyle w:val="4"/>
        <w:spacing w:before="120" w:beforeLines="50" w:after="120" w:afterLines="50"/>
        <w:rPr>
          <w:rFonts w:asciiTheme="minorEastAsia" w:hAnsiTheme="minorEastAsia" w:eastAsiaTheme="minorEastAsia"/>
          <w:sz w:val="21"/>
          <w:szCs w:val="21"/>
        </w:rPr>
      </w:pPr>
      <w:bookmarkStart w:id="173" w:name="_Toc124168183"/>
      <w:r>
        <w:t>I</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主控项目</w:t>
      </w:r>
      <w:bookmarkEnd w:id="173"/>
    </w:p>
    <w:p>
      <w:pPr>
        <w:pStyle w:val="41"/>
        <w:numPr>
          <w:ilvl w:val="0"/>
          <w:numId w:val="140"/>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灯具固定应符合下列规定：</w:t>
      </w:r>
    </w:p>
    <w:p>
      <w:pPr>
        <w:pStyle w:val="41"/>
        <w:numPr>
          <w:ilvl w:val="1"/>
          <w:numId w:val="14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灯具固定应牢固可靠，固定在砌体和混凝土结构上严禁使用木楔、尼龙塞或塑料塞；</w:t>
      </w:r>
    </w:p>
    <w:p>
      <w:pPr>
        <w:pStyle w:val="41"/>
        <w:numPr>
          <w:ilvl w:val="1"/>
          <w:numId w:val="14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质量大于</w:t>
      </w:r>
      <w:r>
        <w:rPr>
          <w:rFonts w:hint="eastAsia" w:asciiTheme="minorEastAsia" w:hAnsiTheme="minorEastAsia" w:eastAsiaTheme="minorEastAsia"/>
          <w:color w:val="000000"/>
          <w:szCs w:val="21"/>
        </w:rPr>
        <w:t>10</w:t>
      </w:r>
      <w:r>
        <w:rPr>
          <w:rFonts w:hint="eastAsia" w:cs="仿宋" w:asciiTheme="minorEastAsia" w:hAnsiTheme="minorEastAsia" w:eastAsiaTheme="minorEastAsia"/>
          <w:color w:val="000000"/>
          <w:spacing w:val="0"/>
          <w:w w:val="15"/>
          <w:kern w:val="0"/>
          <w:szCs w:val="21"/>
          <w:fitText w:val="42" w:id="623983639"/>
        </w:rPr>
        <w:t xml:space="preserve">　 </w:t>
      </w:r>
      <w:r>
        <w:rPr>
          <w:rFonts w:hint="eastAsia" w:cs="仿宋" w:asciiTheme="minorEastAsia" w:hAnsiTheme="minorEastAsia" w:eastAsiaTheme="minorEastAsia"/>
          <w:color w:val="000000"/>
          <w:spacing w:val="-17"/>
          <w:w w:val="15"/>
          <w:kern w:val="0"/>
          <w:szCs w:val="21"/>
          <w:fitText w:val="42" w:id="623983639"/>
        </w:rPr>
        <w:t>　</w:t>
      </w:r>
      <w:r>
        <w:rPr>
          <w:rFonts w:hint="eastAsia" w:asciiTheme="minorEastAsia" w:hAnsiTheme="minorEastAsia" w:eastAsiaTheme="minorEastAsia"/>
          <w:color w:val="000000"/>
          <w:szCs w:val="21"/>
        </w:rPr>
        <w:t>kg</w:t>
      </w:r>
      <w:r>
        <w:rPr>
          <w:rFonts w:hint="eastAsia" w:asciiTheme="minorEastAsia" w:hAnsiTheme="minorEastAsia" w:eastAsiaTheme="minorEastAsia"/>
          <w:szCs w:val="21"/>
        </w:rPr>
        <w:t>的灯具，固定装置及悬吊装置应按灯具重量的5倍恒定</w:t>
      </w:r>
      <w:r>
        <w:rPr>
          <w:rFonts w:hint="eastAsia" w:asciiTheme="minorEastAsia" w:hAnsiTheme="minorEastAsia" w:eastAsiaTheme="minorEastAsia"/>
          <w:color w:val="000000"/>
          <w:szCs w:val="21"/>
        </w:rPr>
        <w:t>均布载荷</w:t>
      </w:r>
      <w:r>
        <w:rPr>
          <w:rFonts w:hint="eastAsia" w:asciiTheme="minorEastAsia" w:hAnsiTheme="minorEastAsia" w:eastAsiaTheme="minorEastAsia"/>
          <w:szCs w:val="21"/>
        </w:rPr>
        <w:t>做强度试验，且持续时间不得少于</w:t>
      </w:r>
      <w:r>
        <w:rPr>
          <w:rFonts w:hint="eastAsia" w:asciiTheme="minorEastAsia" w:hAnsiTheme="minorEastAsia" w:eastAsiaTheme="minorEastAsia"/>
          <w:color w:val="000000"/>
          <w:szCs w:val="21"/>
        </w:rPr>
        <w:t>15</w:t>
      </w:r>
      <w:r>
        <w:rPr>
          <w:rFonts w:hint="eastAsia" w:cs="仿宋" w:asciiTheme="minorEastAsia" w:hAnsiTheme="minorEastAsia" w:eastAsiaTheme="minorEastAsia"/>
          <w:color w:val="000000"/>
          <w:spacing w:val="0"/>
          <w:w w:val="15"/>
          <w:kern w:val="0"/>
          <w:szCs w:val="21"/>
          <w:fitText w:val="42" w:id="1768837806"/>
        </w:rPr>
        <w:t xml:space="preserve">　 </w:t>
      </w:r>
      <w:r>
        <w:rPr>
          <w:rFonts w:hint="eastAsia" w:cs="仿宋" w:asciiTheme="minorEastAsia" w:hAnsiTheme="minorEastAsia" w:eastAsiaTheme="minorEastAsia"/>
          <w:color w:val="000000"/>
          <w:spacing w:val="-17"/>
          <w:w w:val="15"/>
          <w:kern w:val="0"/>
          <w:szCs w:val="21"/>
          <w:fitText w:val="42" w:id="1768837806"/>
        </w:rPr>
        <w:t>　</w:t>
      </w:r>
      <w:r>
        <w:rPr>
          <w:rFonts w:hint="eastAsia" w:asciiTheme="minorEastAsia" w:hAnsiTheme="minorEastAsia" w:eastAsiaTheme="minorEastAsia"/>
          <w:color w:val="000000"/>
          <w:szCs w:val="21"/>
        </w:rPr>
        <w:t>min</w:t>
      </w:r>
      <w:r>
        <w:rPr>
          <w:rFonts w:hint="eastAsia" w:asciiTheme="minorEastAsia" w:hAnsiTheme="minorEastAsia" w:eastAsiaTheme="minorEastAsia"/>
          <w:szCs w:val="21"/>
        </w:rPr>
        <w:t>。</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检查数量：第1款按每检验批的灯具数量抽查5%，且不得少于1套；第2款全数检查。</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检查方法：施工或强度试验时观察检查，查阅灯具固定装置及悬吊装置的载荷强度试验记录。</w:t>
      </w:r>
    </w:p>
    <w:p>
      <w:pPr>
        <w:pStyle w:val="41"/>
        <w:numPr>
          <w:ilvl w:val="0"/>
          <w:numId w:val="140"/>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悬吊式灯具安装应符合下列规定：</w:t>
      </w:r>
    </w:p>
    <w:p>
      <w:pPr>
        <w:pStyle w:val="41"/>
        <w:numPr>
          <w:ilvl w:val="1"/>
          <w:numId w:val="14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带升降器的软线吊灯在吊线展开后，灯具下沿应高于工作台面</w:t>
      </w:r>
      <w:r>
        <w:rPr>
          <w:rFonts w:hint="eastAsia" w:asciiTheme="minorEastAsia" w:hAnsiTheme="minorEastAsia" w:eastAsiaTheme="minorEastAsia"/>
          <w:color w:val="000000"/>
          <w:szCs w:val="21"/>
        </w:rPr>
        <w:t>0.3</w:t>
      </w:r>
      <w:r>
        <w:rPr>
          <w:rFonts w:hint="eastAsia" w:cs="仿宋" w:asciiTheme="minorEastAsia" w:hAnsiTheme="minorEastAsia" w:eastAsiaTheme="minorEastAsia"/>
          <w:color w:val="000000"/>
          <w:spacing w:val="0"/>
          <w:w w:val="15"/>
          <w:kern w:val="0"/>
          <w:szCs w:val="21"/>
          <w:fitText w:val="42" w:id="154805328"/>
        </w:rPr>
        <w:t xml:space="preserve">　 </w:t>
      </w:r>
      <w:r>
        <w:rPr>
          <w:rFonts w:hint="eastAsia" w:cs="仿宋" w:asciiTheme="minorEastAsia" w:hAnsiTheme="minorEastAsia" w:eastAsiaTheme="minorEastAsia"/>
          <w:color w:val="000000"/>
          <w:spacing w:val="-17"/>
          <w:w w:val="15"/>
          <w:kern w:val="0"/>
          <w:szCs w:val="21"/>
          <w:fitText w:val="42" w:id="154805328"/>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w:t>
      </w:r>
    </w:p>
    <w:p>
      <w:pPr>
        <w:pStyle w:val="41"/>
        <w:numPr>
          <w:ilvl w:val="1"/>
          <w:numId w:val="14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质量大于</w:t>
      </w:r>
      <w:r>
        <w:rPr>
          <w:rFonts w:hint="eastAsia" w:asciiTheme="minorEastAsia" w:hAnsiTheme="minorEastAsia" w:eastAsiaTheme="minorEastAsia"/>
          <w:color w:val="000000"/>
          <w:szCs w:val="21"/>
        </w:rPr>
        <w:t>0.5</w:t>
      </w:r>
      <w:r>
        <w:rPr>
          <w:rFonts w:hint="eastAsia" w:cs="仿宋" w:asciiTheme="minorEastAsia" w:hAnsiTheme="minorEastAsia" w:eastAsiaTheme="minorEastAsia"/>
          <w:color w:val="000000"/>
          <w:spacing w:val="0"/>
          <w:w w:val="15"/>
          <w:kern w:val="0"/>
          <w:szCs w:val="21"/>
          <w:fitText w:val="42" w:id="983500927"/>
        </w:rPr>
        <w:t xml:space="preserve">　 </w:t>
      </w:r>
      <w:r>
        <w:rPr>
          <w:rFonts w:hint="eastAsia" w:cs="仿宋" w:asciiTheme="minorEastAsia" w:hAnsiTheme="minorEastAsia" w:eastAsiaTheme="minorEastAsia"/>
          <w:color w:val="000000"/>
          <w:spacing w:val="-17"/>
          <w:w w:val="15"/>
          <w:kern w:val="0"/>
          <w:szCs w:val="21"/>
          <w:fitText w:val="42" w:id="983500927"/>
        </w:rPr>
        <w:t>　</w:t>
      </w:r>
      <w:r>
        <w:rPr>
          <w:rFonts w:hint="eastAsia" w:asciiTheme="minorEastAsia" w:hAnsiTheme="minorEastAsia" w:eastAsiaTheme="minorEastAsia"/>
          <w:color w:val="000000"/>
          <w:szCs w:val="21"/>
        </w:rPr>
        <w:t>kg</w:t>
      </w:r>
      <w:r>
        <w:rPr>
          <w:rFonts w:hint="eastAsia" w:asciiTheme="minorEastAsia" w:hAnsiTheme="minorEastAsia" w:eastAsiaTheme="minorEastAsia"/>
          <w:szCs w:val="21"/>
        </w:rPr>
        <w:t>的软线吊灯，灯具的电源线不应受力；</w:t>
      </w:r>
    </w:p>
    <w:p>
      <w:pPr>
        <w:pStyle w:val="41"/>
        <w:numPr>
          <w:ilvl w:val="1"/>
          <w:numId w:val="14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 xml:space="preserve">质量大于 </w:t>
      </w:r>
      <w:r>
        <w:rPr>
          <w:rFonts w:hint="eastAsia" w:asciiTheme="minorEastAsia" w:hAnsiTheme="minorEastAsia" w:eastAsiaTheme="minorEastAsia"/>
          <w:color w:val="000000"/>
          <w:szCs w:val="21"/>
        </w:rPr>
        <w:t>3</w:t>
      </w:r>
      <w:r>
        <w:rPr>
          <w:rFonts w:hint="eastAsia" w:cs="仿宋" w:asciiTheme="minorEastAsia" w:hAnsiTheme="minorEastAsia" w:eastAsiaTheme="minorEastAsia"/>
          <w:color w:val="000000"/>
          <w:spacing w:val="0"/>
          <w:w w:val="15"/>
          <w:kern w:val="0"/>
          <w:szCs w:val="21"/>
          <w:fitText w:val="42" w:id="673197911"/>
        </w:rPr>
        <w:t xml:space="preserve">　 </w:t>
      </w:r>
      <w:r>
        <w:rPr>
          <w:rFonts w:hint="eastAsia" w:cs="仿宋" w:asciiTheme="minorEastAsia" w:hAnsiTheme="minorEastAsia" w:eastAsiaTheme="minorEastAsia"/>
          <w:color w:val="000000"/>
          <w:spacing w:val="-17"/>
          <w:w w:val="15"/>
          <w:kern w:val="0"/>
          <w:szCs w:val="21"/>
          <w:fitText w:val="42" w:id="673197911"/>
        </w:rPr>
        <w:t>　</w:t>
      </w:r>
      <w:r>
        <w:rPr>
          <w:rFonts w:hint="eastAsia" w:asciiTheme="minorEastAsia" w:hAnsiTheme="minorEastAsia" w:eastAsiaTheme="minorEastAsia"/>
          <w:color w:val="000000"/>
          <w:szCs w:val="21"/>
        </w:rPr>
        <w:t>kg</w:t>
      </w:r>
      <w:r>
        <w:rPr>
          <w:rFonts w:hint="eastAsia" w:asciiTheme="minorEastAsia" w:hAnsiTheme="minorEastAsia" w:eastAsiaTheme="minorEastAsia"/>
          <w:szCs w:val="21"/>
        </w:rPr>
        <w:t>的悬吊灯具，固定在螺栓或预埋吊钩上，螺栓或预埋吊钩的直径不应小于灯具挂销直径，且不应小于</w:t>
      </w:r>
      <w:r>
        <w:rPr>
          <w:rFonts w:hint="eastAsia" w:asciiTheme="minorEastAsia" w:hAnsiTheme="minorEastAsia" w:eastAsiaTheme="minorEastAsia"/>
          <w:color w:val="000000"/>
          <w:szCs w:val="21"/>
        </w:rPr>
        <w:t>6</w:t>
      </w:r>
      <w:r>
        <w:rPr>
          <w:rFonts w:hint="eastAsia" w:cs="仿宋" w:asciiTheme="minorEastAsia" w:hAnsiTheme="minorEastAsia" w:eastAsiaTheme="minorEastAsia"/>
          <w:color w:val="000000"/>
          <w:spacing w:val="0"/>
          <w:w w:val="15"/>
          <w:kern w:val="0"/>
          <w:szCs w:val="21"/>
          <w:fitText w:val="42" w:id="558317744"/>
        </w:rPr>
        <w:t xml:space="preserve">　 </w:t>
      </w:r>
      <w:r>
        <w:rPr>
          <w:rFonts w:hint="eastAsia" w:cs="仿宋" w:asciiTheme="minorEastAsia" w:hAnsiTheme="minorEastAsia" w:eastAsiaTheme="minorEastAsia"/>
          <w:color w:val="000000"/>
          <w:spacing w:val="-17"/>
          <w:w w:val="15"/>
          <w:kern w:val="0"/>
          <w:szCs w:val="21"/>
          <w:fitText w:val="42" w:id="558317744"/>
        </w:rPr>
        <w:t>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w:t>
      </w:r>
    </w:p>
    <w:p>
      <w:pPr>
        <w:pStyle w:val="41"/>
        <w:numPr>
          <w:ilvl w:val="1"/>
          <w:numId w:val="14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当采用钢管作灯具吊杆时，钢管应有防腐措施，其内径不应小于</w:t>
      </w:r>
      <w:r>
        <w:rPr>
          <w:rFonts w:hint="eastAsia" w:asciiTheme="minorEastAsia" w:hAnsiTheme="minorEastAsia" w:eastAsiaTheme="minorEastAsia"/>
          <w:color w:val="000000"/>
          <w:szCs w:val="21"/>
        </w:rPr>
        <w:t>10</w:t>
      </w:r>
      <w:r>
        <w:rPr>
          <w:rFonts w:hint="eastAsia" w:cs="仿宋" w:asciiTheme="minorEastAsia" w:hAnsiTheme="minorEastAsia" w:eastAsiaTheme="minorEastAsia"/>
          <w:color w:val="000000"/>
          <w:spacing w:val="0"/>
          <w:w w:val="15"/>
          <w:kern w:val="0"/>
          <w:szCs w:val="21"/>
          <w:fitText w:val="42" w:id="441651735"/>
        </w:rPr>
        <w:t xml:space="preserve">　 </w:t>
      </w:r>
      <w:r>
        <w:rPr>
          <w:rFonts w:hint="eastAsia" w:cs="仿宋" w:asciiTheme="minorEastAsia" w:hAnsiTheme="minorEastAsia" w:eastAsiaTheme="minorEastAsia"/>
          <w:color w:val="000000"/>
          <w:spacing w:val="-17"/>
          <w:w w:val="15"/>
          <w:kern w:val="0"/>
          <w:szCs w:val="21"/>
          <w:fitText w:val="42" w:id="441651735"/>
        </w:rPr>
        <w:t>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，壁厚不应小于</w:t>
      </w:r>
      <w:r>
        <w:rPr>
          <w:rFonts w:hint="eastAsia" w:asciiTheme="minorEastAsia" w:hAnsiTheme="minorEastAsia" w:eastAsiaTheme="minorEastAsia"/>
          <w:color w:val="000000"/>
          <w:szCs w:val="21"/>
        </w:rPr>
        <w:t>1.5</w:t>
      </w:r>
      <w:r>
        <w:rPr>
          <w:rFonts w:hint="eastAsia" w:cs="仿宋" w:asciiTheme="minorEastAsia" w:hAnsiTheme="minorEastAsia" w:eastAsiaTheme="minorEastAsia"/>
          <w:color w:val="000000"/>
          <w:spacing w:val="0"/>
          <w:w w:val="15"/>
          <w:kern w:val="0"/>
          <w:szCs w:val="21"/>
          <w:fitText w:val="42" w:id="889864125"/>
        </w:rPr>
        <w:t xml:space="preserve">　 </w:t>
      </w:r>
      <w:r>
        <w:rPr>
          <w:rFonts w:hint="eastAsia" w:cs="仿宋" w:asciiTheme="minorEastAsia" w:hAnsiTheme="minorEastAsia" w:eastAsiaTheme="minorEastAsia"/>
          <w:color w:val="000000"/>
          <w:spacing w:val="-17"/>
          <w:w w:val="15"/>
          <w:kern w:val="0"/>
          <w:szCs w:val="21"/>
          <w:fitText w:val="42" w:id="889864125"/>
        </w:rPr>
        <w:t>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w:t>
      </w:r>
    </w:p>
    <w:p>
      <w:pPr>
        <w:pStyle w:val="41"/>
        <w:numPr>
          <w:ilvl w:val="1"/>
          <w:numId w:val="14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当采用吊链作灯具吊杆时，吊链不应使用片式金属链，灯具的电源线不应受力并应有保护措施。</w:t>
      </w:r>
    </w:p>
    <w:p>
      <w:pPr>
        <w:pStyle w:val="41"/>
        <w:numPr>
          <w:ilvl w:val="1"/>
          <w:numId w:val="14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灯具与固定装置及灯具连接件之间采用螺纹连接的，螺纹啮合扣数不应少于5扣。</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检查数量：按每检验批的不同灯具型号各抽查5%，且各不得少于1套。</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检查方法：观察检查并用尺量检查。</w:t>
      </w:r>
    </w:p>
    <w:p>
      <w:pPr>
        <w:pStyle w:val="41"/>
        <w:numPr>
          <w:ilvl w:val="0"/>
          <w:numId w:val="140"/>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color w:val="000000"/>
          <w:szCs w:val="21"/>
        </w:rPr>
        <w:t>吸顶</w:t>
      </w:r>
      <w:r>
        <w:rPr>
          <w:rFonts w:hint="eastAsia" w:asciiTheme="minorEastAsia" w:hAnsiTheme="minorEastAsia" w:eastAsiaTheme="minorEastAsia"/>
          <w:szCs w:val="21"/>
        </w:rPr>
        <w:t>或墙面上安装的灯具，其固定用的螺栓或螺钉不应少于2个，灯具应紧贴饰面。</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检查数量：按每检验批的不同安装形式各抽查5%，且各不得少于1套。</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pPr>
        <w:pStyle w:val="41"/>
        <w:numPr>
          <w:ilvl w:val="0"/>
          <w:numId w:val="140"/>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由接线盒引至嵌入式灯具或槽灯的绝缘导线应符合下列规定：</w:t>
      </w:r>
    </w:p>
    <w:p>
      <w:pPr>
        <w:pStyle w:val="41"/>
        <w:numPr>
          <w:ilvl w:val="1"/>
          <w:numId w:val="14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绝缘导线应采用柔性导管保护，不得裸露，且不应在灯槽内明敷。</w:t>
      </w:r>
    </w:p>
    <w:p>
      <w:pPr>
        <w:pStyle w:val="41"/>
        <w:numPr>
          <w:ilvl w:val="1"/>
          <w:numId w:val="14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柔性导管与灯具壳体应采用专用接头连接，且连接牢靠不得明露导线。</w:t>
      </w:r>
    </w:p>
    <w:p>
      <w:pPr>
        <w:pStyle w:val="41"/>
        <w:numPr>
          <w:ilvl w:val="1"/>
          <w:numId w:val="14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灯具电源线采用多股线芯时，应将导线搪锡后再与灯具内接线柱或接线螺栓可靠连接。</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检查数量：按每检验批的灯具数量抽查5%，且不得少于1 套。</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pPr>
        <w:pStyle w:val="41"/>
        <w:numPr>
          <w:ilvl w:val="0"/>
          <w:numId w:val="140"/>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普通灯具的I类灯具外露可导电部分必须采用铜芯软导线与保护导体可靠连接，连接处应设置接地标识，铜芯软导线的截面积应与进入灯具的电源线截面积相同。</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检查数量：按每检验批的灯具数量抽查5%，且不得少于1 套。</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检查方法：尺量检查、工具拧紧和测量检查。</w:t>
      </w:r>
    </w:p>
    <w:p>
      <w:pPr>
        <w:pStyle w:val="41"/>
        <w:numPr>
          <w:ilvl w:val="0"/>
          <w:numId w:val="140"/>
        </w:numPr>
        <w:spacing w:line="360" w:lineRule="auto"/>
        <w:ind w:left="0" w:firstLine="0" w:firstLineChars="0"/>
        <w:rPr>
          <w:rFonts w:cs="Calibri" w:asciiTheme="minorEastAsia" w:hAnsiTheme="minorEastAsia" w:eastAsiaTheme="minorEastAsia"/>
          <w:szCs w:val="21"/>
        </w:rPr>
      </w:pPr>
      <w:r>
        <w:rPr>
          <w:rFonts w:hint="eastAsia" w:asciiTheme="minorEastAsia" w:hAnsiTheme="minorEastAsia" w:eastAsiaTheme="minorEastAsia"/>
          <w:szCs w:val="21"/>
        </w:rPr>
        <w:t>除采用安全电压以外，当设计无要求时，敞开式灯具的灯头</w:t>
      </w:r>
      <w:r>
        <w:rPr>
          <w:rFonts w:hint="eastAsia"/>
        </w:rPr>
        <w:t>与</w:t>
      </w:r>
      <w:r>
        <w:rPr>
          <w:rFonts w:hint="eastAsia" w:asciiTheme="minorEastAsia" w:hAnsiTheme="minorEastAsia" w:eastAsiaTheme="minorEastAsia"/>
          <w:szCs w:val="21"/>
        </w:rPr>
        <w:t>地面距离应大于</w:t>
      </w:r>
      <w:r>
        <w:rPr>
          <w:rFonts w:hint="eastAsia" w:asciiTheme="minorEastAsia" w:hAnsiTheme="minorEastAsia" w:eastAsiaTheme="minorEastAsia"/>
          <w:color w:val="000000"/>
          <w:szCs w:val="21"/>
        </w:rPr>
        <w:t>2.5</w:t>
      </w:r>
      <w:r>
        <w:rPr>
          <w:rFonts w:hint="eastAsia" w:cs="仿宋" w:asciiTheme="minorEastAsia" w:hAnsiTheme="minorEastAsia" w:eastAsiaTheme="minorEastAsia"/>
          <w:color w:val="000000"/>
          <w:spacing w:val="0"/>
          <w:w w:val="15"/>
          <w:kern w:val="0"/>
          <w:szCs w:val="21"/>
          <w:fitText w:val="42" w:id="23009272"/>
        </w:rPr>
        <w:t xml:space="preserve">　 </w:t>
      </w:r>
      <w:r>
        <w:rPr>
          <w:rFonts w:hint="eastAsia" w:cs="仿宋" w:asciiTheme="minorEastAsia" w:hAnsiTheme="minorEastAsia" w:eastAsiaTheme="minorEastAsia"/>
          <w:color w:val="000000"/>
          <w:spacing w:val="-17"/>
          <w:w w:val="15"/>
          <w:kern w:val="0"/>
          <w:szCs w:val="21"/>
          <w:fitText w:val="42" w:id="23009272"/>
        </w:rPr>
        <w:t>　</w:t>
      </w:r>
      <w:r>
        <w:rPr>
          <w:rFonts w:hint="eastAsia" w:asciiTheme="minorEastAsia" w:hAnsiTheme="minorEastAsia" w:eastAsiaTheme="minorEastAsia"/>
          <w:color w:val="000000"/>
          <w:szCs w:val="21"/>
        </w:rPr>
        <w:t>m。</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检查数量：按每检验批的灯具数量抽查10%，且各不得少于1套。</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检查方法：观察检查并用尺量检查。</w:t>
      </w:r>
    </w:p>
    <w:p>
      <w:pPr>
        <w:pStyle w:val="41"/>
        <w:numPr>
          <w:ilvl w:val="0"/>
          <w:numId w:val="140"/>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埋地灯安装应符合下列规定：</w:t>
      </w:r>
    </w:p>
    <w:p>
      <w:pPr>
        <w:pStyle w:val="41"/>
        <w:numPr>
          <w:ilvl w:val="1"/>
          <w:numId w:val="144"/>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埋地灯的防护等级应符合设计要求；</w:t>
      </w:r>
    </w:p>
    <w:p>
      <w:pPr>
        <w:pStyle w:val="41"/>
        <w:numPr>
          <w:ilvl w:val="1"/>
          <w:numId w:val="144"/>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地线盒应采用防护等级为IPX7的防水接线盒，盒内绝缘导线接头应做防水绝缘处理。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检查数量：按灯具总数抽查5%，且不得少于1套。</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检查方法：观察检查，查阅产品进场验收记录及产品质量合格证明文件。</w:t>
      </w:r>
    </w:p>
    <w:p>
      <w:pPr>
        <w:pStyle w:val="41"/>
        <w:numPr>
          <w:ilvl w:val="0"/>
          <w:numId w:val="140"/>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庭院灯、建筑物附属路灯安装应符合下列规定：</w:t>
      </w:r>
    </w:p>
    <w:p>
      <w:pPr>
        <w:pStyle w:val="41"/>
        <w:numPr>
          <w:ilvl w:val="1"/>
          <w:numId w:val="145"/>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灯具与基础固定应可靠，地脚螺栓备帽应齐全；灯具接线盒应采用防护等级不小于IPX5的防水接线盒，盒盖防水密封垫应齐全、完整。</w:t>
      </w:r>
    </w:p>
    <w:p>
      <w:pPr>
        <w:pStyle w:val="41"/>
        <w:numPr>
          <w:ilvl w:val="1"/>
          <w:numId w:val="145"/>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灯具的电器保护装置应齐全，规格应与灯具适配。</w:t>
      </w:r>
    </w:p>
    <w:p>
      <w:pPr>
        <w:pStyle w:val="41"/>
        <w:numPr>
          <w:ilvl w:val="1"/>
          <w:numId w:val="145"/>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灯杆的检修门应采取防水措施，且闭锁防盗装置完好。</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检查数量：按灯具型号各抽查5%，且各不得少于1套。</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检查方法：观察检查、工具拧紧及用手感检查，查阅产品进场验收记录及产品质量合格证明文件。</w:t>
      </w:r>
    </w:p>
    <w:p>
      <w:pPr>
        <w:pStyle w:val="41"/>
        <w:numPr>
          <w:ilvl w:val="0"/>
          <w:numId w:val="140"/>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安装在公共场所的大型灯具的玻璃罩，应采取防止玻璃罩向下溅落的措施。</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pPr>
        <w:pStyle w:val="41"/>
        <w:numPr>
          <w:ilvl w:val="0"/>
          <w:numId w:val="140"/>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LED灯具安装应符合下列规定：</w:t>
      </w:r>
      <w:r>
        <w:rPr>
          <w:rFonts w:asciiTheme="minorEastAsia" w:hAnsiTheme="minorEastAsia" w:eastAsiaTheme="minorEastAsia"/>
          <w:szCs w:val="21"/>
        </w:rPr>
        <w:t xml:space="preserve"> </w:t>
      </w:r>
    </w:p>
    <w:p>
      <w:pPr>
        <w:pStyle w:val="41"/>
        <w:numPr>
          <w:ilvl w:val="1"/>
          <w:numId w:val="14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灯具安装应牢固可靠，饰面不应使用胶类粘贴。</w:t>
      </w:r>
    </w:p>
    <w:p>
      <w:pPr>
        <w:pStyle w:val="41"/>
        <w:numPr>
          <w:ilvl w:val="1"/>
          <w:numId w:val="14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灯具安装位置应有较好的散热条件。</w:t>
      </w:r>
    </w:p>
    <w:p>
      <w:pPr>
        <w:pStyle w:val="41"/>
        <w:numPr>
          <w:ilvl w:val="1"/>
          <w:numId w:val="14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安装在潮湿场所灯具用的金属防水接头密封圈应齐全、完好。</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检查数量：按灯具型号各抽查5%，且各不得少于1套。</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检查方法：观察检查，查阅产品进场验收记录及产品质量合格证明文件。</w:t>
      </w:r>
    </w:p>
    <w:p>
      <w:pPr>
        <w:pStyle w:val="41"/>
        <w:numPr>
          <w:ilvl w:val="0"/>
          <w:numId w:val="140"/>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L</w:t>
      </w:r>
      <w:r>
        <w:rPr>
          <w:rFonts w:asciiTheme="minorEastAsia" w:hAnsiTheme="minorEastAsia" w:eastAsiaTheme="minorEastAsia"/>
          <w:szCs w:val="21"/>
        </w:rPr>
        <w:t>ED</w:t>
      </w:r>
      <w:r>
        <w:rPr>
          <w:rFonts w:hint="eastAsia" w:asciiTheme="minorEastAsia" w:hAnsiTheme="minorEastAsia" w:eastAsiaTheme="minorEastAsia"/>
          <w:szCs w:val="21"/>
        </w:rPr>
        <w:t>灯具的驱动电源、电子控制装置外置时，应设防护装置，且IP防护等级和散热应符合设计要求，驱动电源的极性标记应清晰、完整。</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检查数量：按灯具型号各抽查5%，且各不得少于1套。</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检查方法：观察检查，查阅产品进场验收记录及产品质量合格证明文件。</w:t>
      </w:r>
    </w:p>
    <w:p>
      <w:pPr>
        <w:pStyle w:val="41"/>
        <w:numPr>
          <w:ilvl w:val="0"/>
          <w:numId w:val="140"/>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L</w:t>
      </w:r>
      <w:r>
        <w:rPr>
          <w:rFonts w:asciiTheme="minorEastAsia" w:hAnsiTheme="minorEastAsia" w:eastAsiaTheme="minorEastAsia"/>
          <w:szCs w:val="21"/>
        </w:rPr>
        <w:t>ED</w:t>
      </w:r>
      <w:r>
        <w:rPr>
          <w:rFonts w:hint="eastAsia" w:asciiTheme="minorEastAsia" w:hAnsiTheme="minorEastAsia" w:eastAsiaTheme="minorEastAsia"/>
          <w:szCs w:val="21"/>
        </w:rPr>
        <w:t>室外灯具配线管路敷设，且应具备防水、防腐措施， IP防护等级应符合设计要求。</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检查数量：按灯具型号各抽查5%，且各不得少于1套。</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检查方法：观察检查，查阅产品进场验收记录及产品质量合格证明文件。</w:t>
      </w:r>
    </w:p>
    <w:p>
      <w:pPr>
        <w:pStyle w:val="41"/>
        <w:numPr>
          <w:ilvl w:val="0"/>
          <w:numId w:val="140"/>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专用灯具的I类灯具外露可导电部分必须用铜芯软导线与保护导体可靠连接，连接处应设置接地标识，铜芯软导线的截面积应与进入灯具的电源线截面积相同。</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检查数量：按每检验批的灯具数量抽查5%，且不得少于1套。</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检查方法：尺量检查、工具拧紧和测量检查。</w:t>
      </w:r>
    </w:p>
    <w:p>
      <w:pPr>
        <w:pStyle w:val="41"/>
        <w:numPr>
          <w:ilvl w:val="0"/>
          <w:numId w:val="140"/>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手术台无影灯安装应符合下列规定：</w:t>
      </w:r>
    </w:p>
    <w:p>
      <w:pPr>
        <w:pStyle w:val="41"/>
        <w:numPr>
          <w:ilvl w:val="1"/>
          <w:numId w:val="147"/>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固定灯的螺栓数量不应少于灯具法兰底座上的固定孔数，且螺栓直径应与底座孔径相适配；螺栓应采用双螺母锁固。</w:t>
      </w:r>
    </w:p>
    <w:p>
      <w:pPr>
        <w:pStyle w:val="41"/>
        <w:numPr>
          <w:ilvl w:val="1"/>
          <w:numId w:val="147"/>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无影灯的固定装置除应按本规范第7.1.</w:t>
      </w:r>
      <w:r>
        <w:rPr>
          <w:rFonts w:asciiTheme="minorEastAsia" w:hAnsiTheme="minorEastAsia" w:eastAsiaTheme="minorEastAsia"/>
          <w:szCs w:val="21"/>
        </w:rPr>
        <w:t>1</w:t>
      </w:r>
      <w:r>
        <w:rPr>
          <w:rFonts w:hint="eastAsia" w:asciiTheme="minorEastAsia" w:hAnsiTheme="minorEastAsia" w:eastAsiaTheme="minorEastAsia"/>
          <w:szCs w:val="21"/>
        </w:rPr>
        <w:t>条第2款进行均</w:t>
      </w:r>
      <w:r>
        <w:rPr>
          <w:rFonts w:hint="eastAsia" w:asciiTheme="minorEastAsia" w:hAnsiTheme="minorEastAsia" w:eastAsiaTheme="minorEastAsia"/>
          <w:color w:val="000000"/>
          <w:szCs w:val="21"/>
        </w:rPr>
        <w:t>布</w:t>
      </w:r>
      <w:r>
        <w:rPr>
          <w:rFonts w:hint="eastAsia" w:asciiTheme="minorEastAsia" w:hAnsiTheme="minorEastAsia" w:eastAsiaTheme="minorEastAsia"/>
          <w:szCs w:val="21"/>
        </w:rPr>
        <w:t>载荷试验外，尚应符合产品技术文件的要求。</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检查方法：施工或强度试验时观察检查，查阅灯具固定装置的载荷强度试验记录。</w:t>
      </w:r>
    </w:p>
    <w:p>
      <w:pPr>
        <w:pStyle w:val="41"/>
        <w:numPr>
          <w:ilvl w:val="0"/>
          <w:numId w:val="140"/>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应急灯具安装应符合下列规定：</w:t>
      </w:r>
    </w:p>
    <w:p>
      <w:pPr>
        <w:pStyle w:val="41"/>
        <w:numPr>
          <w:ilvl w:val="1"/>
          <w:numId w:val="14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消防应急照明回路的设置除应符合设计要求外，尚应符合防火分区设置的要求，穿越不同防火分区时应采取防火隔堵措施；</w:t>
      </w:r>
    </w:p>
    <w:p>
      <w:pPr>
        <w:pStyle w:val="41"/>
        <w:numPr>
          <w:ilvl w:val="1"/>
          <w:numId w:val="14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对于应急灯具、运行中温度大于</w:t>
      </w:r>
      <w:r>
        <w:rPr>
          <w:rFonts w:hint="eastAsia" w:asciiTheme="minorEastAsia" w:hAnsiTheme="minorEastAsia" w:eastAsiaTheme="minorEastAsia"/>
          <w:color w:val="000000"/>
          <w:szCs w:val="21"/>
        </w:rPr>
        <w:t>60</w:t>
      </w:r>
      <w:r>
        <w:rPr>
          <w:rFonts w:hint="eastAsia" w:cs="仿宋" w:asciiTheme="minorEastAsia" w:hAnsiTheme="minorEastAsia" w:eastAsiaTheme="minorEastAsia"/>
          <w:color w:val="000000"/>
          <w:spacing w:val="0"/>
          <w:w w:val="15"/>
          <w:kern w:val="0"/>
          <w:szCs w:val="21"/>
          <w:fitText w:val="42" w:id="752512599"/>
        </w:rPr>
        <w:t xml:space="preserve">　 </w:t>
      </w:r>
      <w:r>
        <w:rPr>
          <w:rFonts w:hint="eastAsia" w:cs="仿宋" w:asciiTheme="minorEastAsia" w:hAnsiTheme="minorEastAsia" w:eastAsiaTheme="minorEastAsia"/>
          <w:color w:val="000000"/>
          <w:spacing w:val="-17"/>
          <w:w w:val="15"/>
          <w:kern w:val="0"/>
          <w:szCs w:val="21"/>
          <w:fitText w:val="42" w:id="752512599"/>
        </w:rPr>
        <w:t>　</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的灯具，当靠近可燃物时，应采取隔热、散热等防火措施；</w:t>
      </w:r>
    </w:p>
    <w:p>
      <w:pPr>
        <w:pStyle w:val="41"/>
        <w:numPr>
          <w:ilvl w:val="1"/>
          <w:numId w:val="14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EPS供电的应急灯具安装完毕后，应检验EPS供电运行</w:t>
      </w:r>
      <w:r>
        <w:rPr>
          <w:rFonts w:hint="eastAsia" w:asciiTheme="minorEastAsia" w:hAnsiTheme="minorEastAsia" w:eastAsiaTheme="minorEastAsia"/>
          <w:color w:val="000000"/>
          <w:szCs w:val="21"/>
        </w:rPr>
        <w:t>的</w:t>
      </w:r>
      <w:r>
        <w:rPr>
          <w:rFonts w:hint="eastAsia" w:asciiTheme="minorEastAsia" w:hAnsiTheme="minorEastAsia" w:eastAsiaTheme="minorEastAsia"/>
          <w:szCs w:val="21"/>
        </w:rPr>
        <w:t>最少持续供电时间，并应符合设计要求；</w:t>
      </w:r>
    </w:p>
    <w:p>
      <w:pPr>
        <w:pStyle w:val="41"/>
        <w:numPr>
          <w:ilvl w:val="1"/>
          <w:numId w:val="14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安全出口指示标志灯设置应符合设计要求；</w:t>
      </w:r>
    </w:p>
    <w:p>
      <w:pPr>
        <w:pStyle w:val="41"/>
        <w:numPr>
          <w:ilvl w:val="1"/>
          <w:numId w:val="14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疏散指示标志灯安装高度及设置部位应符合设计要求；</w:t>
      </w:r>
    </w:p>
    <w:p>
      <w:pPr>
        <w:pStyle w:val="41"/>
        <w:numPr>
          <w:ilvl w:val="1"/>
          <w:numId w:val="14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疏散指示标志灯的设置不应影响正常通行，且不应在其周围设置容易混同疏散标志灯的其他标志牌等；</w:t>
      </w:r>
    </w:p>
    <w:p>
      <w:pPr>
        <w:pStyle w:val="41"/>
        <w:numPr>
          <w:ilvl w:val="1"/>
          <w:numId w:val="14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疏散指示标志灯工作应正常，并应符合设计要求；</w:t>
      </w:r>
    </w:p>
    <w:p>
      <w:pPr>
        <w:pStyle w:val="41"/>
        <w:numPr>
          <w:ilvl w:val="1"/>
          <w:numId w:val="14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疏散走道转角区域</w:t>
      </w:r>
      <w:r>
        <w:rPr>
          <w:rFonts w:hint="eastAsia" w:asciiTheme="minorEastAsia" w:hAnsiTheme="minorEastAsia" w:eastAsiaTheme="minorEastAsia"/>
          <w:color w:val="000000"/>
          <w:szCs w:val="21"/>
        </w:rPr>
        <w:t>1</w:t>
      </w:r>
      <w:r>
        <w:rPr>
          <w:rFonts w:hint="eastAsia" w:cs="仿宋" w:asciiTheme="minorEastAsia" w:hAnsiTheme="minorEastAsia" w:eastAsiaTheme="minorEastAsia"/>
          <w:color w:val="000000"/>
          <w:spacing w:val="0"/>
          <w:w w:val="15"/>
          <w:kern w:val="0"/>
          <w:szCs w:val="21"/>
          <w:fitText w:val="42" w:id="107370955"/>
        </w:rPr>
        <w:t xml:space="preserve">　 </w:t>
      </w:r>
      <w:r>
        <w:rPr>
          <w:rFonts w:hint="eastAsia" w:cs="仿宋" w:asciiTheme="minorEastAsia" w:hAnsiTheme="minorEastAsia" w:eastAsiaTheme="minorEastAsia"/>
          <w:color w:val="000000"/>
          <w:spacing w:val="-17"/>
          <w:w w:val="15"/>
          <w:kern w:val="0"/>
          <w:szCs w:val="21"/>
          <w:fitText w:val="42" w:id="107370955"/>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范围内应设置消防安全疏散标志。</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检查数量：第2款全数检查；第1款、第3款～第7款按每检验批的灯具型号各抽查10%，且均不得少于1套；第8款按检验批数量抽查10%，且不得少于1个检验批。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检查方法：第1款、第2款、第4款～第7款观察检查，第3款试验检验并核对设计文件，第8款尺量检查、查阅隐蔽工程检查记录。</w:t>
      </w:r>
    </w:p>
    <w:p>
      <w:pPr>
        <w:pStyle w:val="41"/>
        <w:numPr>
          <w:ilvl w:val="0"/>
          <w:numId w:val="140"/>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霓虹灯安装应符合下列规定：</w:t>
      </w:r>
    </w:p>
    <w:p>
      <w:pPr>
        <w:pStyle w:val="41"/>
        <w:numPr>
          <w:ilvl w:val="1"/>
          <w:numId w:val="14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霓虹灯管应完好、无破裂；</w:t>
      </w:r>
    </w:p>
    <w:p>
      <w:pPr>
        <w:pStyle w:val="41"/>
        <w:numPr>
          <w:ilvl w:val="1"/>
          <w:numId w:val="14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应采用专用的绝缘支架固定，且牢固可靠；灯管固定后，与建（构）筑物表面的距离不宜小于</w:t>
      </w:r>
      <w:r>
        <w:rPr>
          <w:rFonts w:hint="eastAsia" w:asciiTheme="minorEastAsia" w:hAnsiTheme="minorEastAsia" w:eastAsiaTheme="minorEastAsia"/>
          <w:color w:val="000000"/>
          <w:szCs w:val="21"/>
        </w:rPr>
        <w:t>20</w:t>
      </w:r>
      <w:r>
        <w:rPr>
          <w:rFonts w:hint="eastAsia" w:cs="仿宋" w:asciiTheme="minorEastAsia" w:hAnsiTheme="minorEastAsia" w:eastAsiaTheme="minorEastAsia"/>
          <w:color w:val="000000"/>
          <w:spacing w:val="0"/>
          <w:w w:val="15"/>
          <w:kern w:val="0"/>
          <w:szCs w:val="21"/>
          <w:fitText w:val="42" w:id="1365736729"/>
        </w:rPr>
        <w:t xml:space="preserve">　 </w:t>
      </w:r>
      <w:r>
        <w:rPr>
          <w:rFonts w:hint="eastAsia" w:cs="仿宋" w:asciiTheme="minorEastAsia" w:hAnsiTheme="minorEastAsia" w:eastAsiaTheme="minorEastAsia"/>
          <w:color w:val="000000"/>
          <w:spacing w:val="-17"/>
          <w:w w:val="15"/>
          <w:kern w:val="0"/>
          <w:szCs w:val="21"/>
          <w:fitText w:val="42" w:id="1365736729"/>
        </w:rPr>
        <w:t>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w:t>
      </w:r>
    </w:p>
    <w:p>
      <w:pPr>
        <w:pStyle w:val="41"/>
        <w:numPr>
          <w:ilvl w:val="1"/>
          <w:numId w:val="14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霓虹灯专用变压器应为双绕组式，所供灯管长度不应大于允许负载长度，露天安装的应采取防雨措施；</w:t>
      </w:r>
    </w:p>
    <w:p>
      <w:pPr>
        <w:pStyle w:val="41"/>
        <w:numPr>
          <w:ilvl w:val="1"/>
          <w:numId w:val="14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霓虹灯专用变压器的二次侧和灯管间的连接线应采用额定电压大于</w:t>
      </w:r>
      <w:r>
        <w:rPr>
          <w:rFonts w:hint="eastAsia" w:asciiTheme="minorEastAsia" w:hAnsiTheme="minorEastAsia" w:eastAsiaTheme="minorEastAsia"/>
          <w:color w:val="000000"/>
          <w:szCs w:val="21"/>
        </w:rPr>
        <w:t>15</w:t>
      </w:r>
      <w:r>
        <w:rPr>
          <w:rFonts w:hint="eastAsia" w:cs="仿宋" w:asciiTheme="minorEastAsia" w:hAnsiTheme="minorEastAsia" w:eastAsiaTheme="minorEastAsia"/>
          <w:color w:val="000000"/>
          <w:spacing w:val="0"/>
          <w:w w:val="15"/>
          <w:kern w:val="0"/>
          <w:szCs w:val="21"/>
          <w:fitText w:val="42" w:id="1702388209"/>
        </w:rPr>
        <w:t xml:space="preserve">　 </w:t>
      </w:r>
      <w:r>
        <w:rPr>
          <w:rFonts w:hint="eastAsia" w:cs="仿宋" w:asciiTheme="minorEastAsia" w:hAnsiTheme="minorEastAsia" w:eastAsiaTheme="minorEastAsia"/>
          <w:color w:val="000000"/>
          <w:spacing w:val="-17"/>
          <w:w w:val="15"/>
          <w:kern w:val="0"/>
          <w:szCs w:val="21"/>
          <w:fitText w:val="42" w:id="1702388209"/>
        </w:rPr>
        <w:t>　</w:t>
      </w:r>
      <w:r>
        <w:rPr>
          <w:rFonts w:hint="eastAsia" w:asciiTheme="minorEastAsia" w:hAnsiTheme="minorEastAsia" w:eastAsiaTheme="minorEastAsia"/>
          <w:color w:val="000000"/>
          <w:szCs w:val="21"/>
        </w:rPr>
        <w:t>kV</w:t>
      </w:r>
      <w:r>
        <w:rPr>
          <w:rFonts w:hint="eastAsia" w:asciiTheme="minorEastAsia" w:hAnsiTheme="minorEastAsia" w:eastAsiaTheme="minorEastAsia"/>
          <w:szCs w:val="21"/>
        </w:rPr>
        <w:t>的高压绝缘导线，导线连接应牢固，防护措施应完好；高压绝缘导线与附着物表面的距离不应小于</w:t>
      </w:r>
      <w:r>
        <w:rPr>
          <w:rFonts w:hint="eastAsia" w:asciiTheme="minorEastAsia" w:hAnsiTheme="minorEastAsia" w:eastAsiaTheme="minorEastAsia"/>
          <w:color w:val="000000"/>
          <w:szCs w:val="21"/>
        </w:rPr>
        <w:t>20</w:t>
      </w:r>
      <w:r>
        <w:rPr>
          <w:rFonts w:hint="eastAsia" w:cs="仿宋" w:asciiTheme="minorEastAsia" w:hAnsiTheme="minorEastAsia" w:eastAsiaTheme="minorEastAsia"/>
          <w:color w:val="000000"/>
          <w:spacing w:val="0"/>
          <w:w w:val="15"/>
          <w:kern w:val="0"/>
          <w:szCs w:val="21"/>
          <w:fitText w:val="42" w:id="1122249144"/>
        </w:rPr>
        <w:t xml:space="preserve">　 </w:t>
      </w:r>
      <w:r>
        <w:rPr>
          <w:rFonts w:hint="eastAsia" w:cs="仿宋" w:asciiTheme="minorEastAsia" w:hAnsiTheme="minorEastAsia" w:eastAsiaTheme="minorEastAsia"/>
          <w:color w:val="000000"/>
          <w:spacing w:val="-17"/>
          <w:w w:val="15"/>
          <w:kern w:val="0"/>
          <w:szCs w:val="21"/>
          <w:fitText w:val="42" w:id="1122249144"/>
        </w:rPr>
        <w:t>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检查方法：观察检查并用尺量和手感检查。</w:t>
      </w:r>
    </w:p>
    <w:p>
      <w:pPr>
        <w:pStyle w:val="41"/>
        <w:numPr>
          <w:ilvl w:val="0"/>
          <w:numId w:val="140"/>
        </w:numPr>
        <w:spacing w:line="360" w:lineRule="auto"/>
        <w:ind w:left="0" w:firstLine="0" w:firstLineChars="0"/>
        <w:rPr>
          <w:rFonts w:cs="Calibri" w:asciiTheme="minorEastAsia" w:hAnsiTheme="minorEastAsia" w:eastAsiaTheme="minorEastAsia"/>
          <w:szCs w:val="21"/>
        </w:rPr>
      </w:pPr>
      <w:r>
        <w:rPr>
          <w:rFonts w:hint="eastAsia" w:asciiTheme="minorEastAsia" w:hAnsiTheme="minorEastAsia" w:eastAsiaTheme="minorEastAsia"/>
          <w:szCs w:val="21"/>
        </w:rPr>
        <w:t>高压钠灯、金属卤化物灯安装应符合下列规定：</w:t>
      </w:r>
    </w:p>
    <w:p>
      <w:pPr>
        <w:pStyle w:val="41"/>
        <w:numPr>
          <w:ilvl w:val="1"/>
          <w:numId w:val="15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光源及附件应与镇流器、触发器和限流器配套使用，触发器与灯具本体的距离应符合产品技术文件的要求；</w:t>
      </w:r>
    </w:p>
    <w:p>
      <w:pPr>
        <w:pStyle w:val="41"/>
        <w:numPr>
          <w:ilvl w:val="1"/>
          <w:numId w:val="15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电源线应经接线柱连接，不应使电源线靠近灯具表面。</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检查数量：按灯具型号各抽查10%，且均不得少于1套。</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检查方法：观察检查并用尺量检查，核对产品技术文件。</w:t>
      </w:r>
    </w:p>
    <w:p>
      <w:pPr>
        <w:pStyle w:val="41"/>
        <w:numPr>
          <w:ilvl w:val="0"/>
          <w:numId w:val="140"/>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景观照明灯具安装应符合下列规定：</w:t>
      </w:r>
    </w:p>
    <w:p>
      <w:pPr>
        <w:pStyle w:val="41"/>
        <w:numPr>
          <w:ilvl w:val="1"/>
          <w:numId w:val="15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在行道等人员来往密集场所安装的落地式灯具，当无围栏防护时，灯具距地面高度应大于</w:t>
      </w:r>
      <w:r>
        <w:rPr>
          <w:rFonts w:hint="eastAsia" w:asciiTheme="minorEastAsia" w:hAnsiTheme="minorEastAsia" w:eastAsiaTheme="minorEastAsia"/>
          <w:color w:val="000000"/>
          <w:szCs w:val="21"/>
        </w:rPr>
        <w:t>2.5</w:t>
      </w:r>
      <w:r>
        <w:rPr>
          <w:rFonts w:hint="eastAsia" w:cs="仿宋" w:asciiTheme="minorEastAsia" w:hAnsiTheme="minorEastAsia" w:eastAsiaTheme="minorEastAsia"/>
          <w:color w:val="000000"/>
          <w:spacing w:val="0"/>
          <w:w w:val="15"/>
          <w:kern w:val="0"/>
          <w:szCs w:val="21"/>
          <w:fitText w:val="42" w:id="510941836"/>
        </w:rPr>
        <w:t xml:space="preserve">　 </w:t>
      </w:r>
      <w:r>
        <w:rPr>
          <w:rFonts w:hint="eastAsia" w:cs="仿宋" w:asciiTheme="minorEastAsia" w:hAnsiTheme="minorEastAsia" w:eastAsiaTheme="minorEastAsia"/>
          <w:color w:val="000000"/>
          <w:spacing w:val="-17"/>
          <w:w w:val="15"/>
          <w:kern w:val="0"/>
          <w:szCs w:val="21"/>
          <w:fitText w:val="42" w:id="510941836"/>
        </w:rPr>
        <w:t>　</w:t>
      </w:r>
      <w:r>
        <w:rPr>
          <w:rFonts w:hint="eastAsia" w:asciiTheme="minorEastAsia" w:hAnsiTheme="minorEastAsia" w:eastAsiaTheme="minorEastAsia"/>
          <w:color w:val="000000"/>
          <w:szCs w:val="21"/>
        </w:rPr>
        <w:t>m；</w:t>
      </w:r>
    </w:p>
    <w:p>
      <w:pPr>
        <w:pStyle w:val="41"/>
        <w:numPr>
          <w:ilvl w:val="1"/>
          <w:numId w:val="15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金属构架及金属保护管应分别与保护导体采用焊接或螺栓连接，连接处应设置接地标识。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检查方法：观察检查并用尺量检查，查阅隐蔽工程检查记录。</w:t>
      </w:r>
    </w:p>
    <w:p>
      <w:pPr>
        <w:pStyle w:val="41"/>
        <w:numPr>
          <w:ilvl w:val="0"/>
          <w:numId w:val="140"/>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草坪灯具安装应符合以下规定：</w:t>
      </w:r>
    </w:p>
    <w:p>
      <w:pPr>
        <w:pStyle w:val="41"/>
        <w:numPr>
          <w:ilvl w:val="1"/>
          <w:numId w:val="15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灯具与基础固定应牢固可靠，灯位正确，地脚螺栓防护帽应齐全。</w:t>
      </w:r>
    </w:p>
    <w:p>
      <w:pPr>
        <w:pStyle w:val="41"/>
        <w:numPr>
          <w:ilvl w:val="1"/>
          <w:numId w:val="15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灯具防护等级应符合设计要求。</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检查方法：观察检查，查阅隐蔽工程检查记录及产品进场验收记录及产品质量合格证明文件。</w:t>
      </w:r>
    </w:p>
    <w:p>
      <w:pPr>
        <w:pStyle w:val="41"/>
        <w:numPr>
          <w:ilvl w:val="0"/>
          <w:numId w:val="140"/>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航空障碍标志灯安装应符合下列规定：</w:t>
      </w:r>
    </w:p>
    <w:p>
      <w:pPr>
        <w:pStyle w:val="41"/>
        <w:numPr>
          <w:ilvl w:val="1"/>
          <w:numId w:val="15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灯具安装应牢固可靠，且应有维修和更换光源的措施；</w:t>
      </w:r>
    </w:p>
    <w:p>
      <w:pPr>
        <w:pStyle w:val="41"/>
        <w:numPr>
          <w:ilvl w:val="1"/>
          <w:numId w:val="15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当灯具在烟囱顶上装设时，应安装在低于烟囱口</w:t>
      </w:r>
      <w:r>
        <w:rPr>
          <w:rFonts w:hint="eastAsia" w:asciiTheme="minorEastAsia" w:hAnsiTheme="minorEastAsia" w:eastAsiaTheme="minorEastAsia"/>
          <w:color w:val="000000"/>
          <w:szCs w:val="21"/>
        </w:rPr>
        <w:t>1.5</w:t>
      </w:r>
      <w:r>
        <w:rPr>
          <w:rFonts w:hint="eastAsia" w:cs="仿宋" w:asciiTheme="minorEastAsia" w:hAnsiTheme="minorEastAsia" w:eastAsiaTheme="minorEastAsia"/>
          <w:color w:val="000000"/>
          <w:spacing w:val="0"/>
          <w:w w:val="15"/>
          <w:kern w:val="0"/>
          <w:szCs w:val="21"/>
          <w:fitText w:val="42" w:id="861497817"/>
        </w:rPr>
        <w:t xml:space="preserve">　 </w:t>
      </w:r>
      <w:r>
        <w:rPr>
          <w:rFonts w:hint="eastAsia" w:cs="仿宋" w:asciiTheme="minorEastAsia" w:hAnsiTheme="minorEastAsia" w:eastAsiaTheme="minorEastAsia"/>
          <w:color w:val="000000"/>
          <w:spacing w:val="-17"/>
          <w:w w:val="15"/>
          <w:kern w:val="0"/>
          <w:szCs w:val="21"/>
          <w:fitText w:val="42" w:id="861497817"/>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3</w:t>
      </w:r>
      <w:r>
        <w:rPr>
          <w:rFonts w:hint="eastAsia" w:cs="仿宋" w:asciiTheme="minorEastAsia" w:hAnsiTheme="minorEastAsia" w:eastAsiaTheme="minorEastAsia"/>
          <w:color w:val="000000"/>
          <w:spacing w:val="0"/>
          <w:w w:val="15"/>
          <w:kern w:val="0"/>
          <w:szCs w:val="21"/>
          <w:fitText w:val="42" w:id="1215707776"/>
        </w:rPr>
        <w:t xml:space="preserve">　 </w:t>
      </w:r>
      <w:r>
        <w:rPr>
          <w:rFonts w:hint="eastAsia" w:cs="仿宋" w:asciiTheme="minorEastAsia" w:hAnsiTheme="minorEastAsia" w:eastAsiaTheme="minorEastAsia"/>
          <w:color w:val="000000"/>
          <w:spacing w:val="-17"/>
          <w:w w:val="15"/>
          <w:kern w:val="0"/>
          <w:szCs w:val="21"/>
          <w:fitText w:val="42" w:id="1215707776"/>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的部位且应呈正三角形水平排列；</w:t>
      </w:r>
    </w:p>
    <w:p>
      <w:pPr>
        <w:pStyle w:val="41"/>
        <w:numPr>
          <w:ilvl w:val="1"/>
          <w:numId w:val="15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对于安装在屋面接闪器保护范围以外的灯具，当需设置接闪器时，其接闪器应与屋面接闪器可靠连接。</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检查方法：观察检查，查阅隐蔽工程检查记录。</w:t>
      </w:r>
    </w:p>
    <w:p>
      <w:pPr>
        <w:pStyle w:val="41"/>
        <w:numPr>
          <w:ilvl w:val="0"/>
          <w:numId w:val="140"/>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太阳能灯具安装应符合下列规定</w:t>
      </w:r>
    </w:p>
    <w:p>
      <w:pPr>
        <w:pStyle w:val="41"/>
        <w:numPr>
          <w:ilvl w:val="1"/>
          <w:numId w:val="154"/>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太阳能灯具与基础固定应可靠，地脚螺栓有防松措施，灯具接线盒盖的防水密封垫应齐全、完整；</w:t>
      </w:r>
    </w:p>
    <w:p>
      <w:pPr>
        <w:pStyle w:val="41"/>
        <w:numPr>
          <w:ilvl w:val="1"/>
          <w:numId w:val="154"/>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灯具表面应平整光洁、色泽均匀，不应有明显的裂纹、划痕、缺损、锈蚀及变形等缺陷。</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检查数量：按灯具数量抽查10%，且不得少于1套。</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检查方法：观察检查和手感检查</w:t>
      </w:r>
    </w:p>
    <w:p>
      <w:pPr>
        <w:pStyle w:val="41"/>
        <w:numPr>
          <w:ilvl w:val="0"/>
          <w:numId w:val="140"/>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洁净场所灯具嵌入安装时，灯具与顶棚之间的间隙应用密封胶条和衬垫密封，密封胶条和衬垫应平整，不得扭曲、折叠。灯具安装完毕后，应清除灯具表面的灰尘。</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检查数量：按灯具数量抽查10%，且不得少于1套。</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pPr>
        <w:pStyle w:val="41"/>
        <w:numPr>
          <w:ilvl w:val="0"/>
          <w:numId w:val="140"/>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游泳池和类似场所灯具（水下灯及防水灯具）安装应符合下列规定：</w:t>
      </w:r>
    </w:p>
    <w:p>
      <w:pPr>
        <w:pStyle w:val="41"/>
        <w:numPr>
          <w:ilvl w:val="1"/>
          <w:numId w:val="155"/>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当</w:t>
      </w:r>
      <w:r>
        <w:rPr>
          <w:rFonts w:hint="eastAsia" w:asciiTheme="minorEastAsia" w:hAnsiTheme="minorEastAsia" w:eastAsiaTheme="minorEastAsia"/>
          <w:color w:val="000000"/>
          <w:szCs w:val="21"/>
        </w:rPr>
        <w:t>引入</w:t>
      </w:r>
      <w:r>
        <w:rPr>
          <w:rFonts w:hint="eastAsia" w:asciiTheme="minorEastAsia" w:hAnsiTheme="minorEastAsia" w:eastAsiaTheme="minorEastAsia"/>
          <w:szCs w:val="21"/>
        </w:rPr>
        <w:t>灯具的电源采用导管保护时，应采用塑料导管；</w:t>
      </w:r>
    </w:p>
    <w:p>
      <w:pPr>
        <w:pStyle w:val="41"/>
        <w:numPr>
          <w:ilvl w:val="1"/>
          <w:numId w:val="155"/>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固定在水池构筑物上的所有金属部件应与保护联结导体可靠连接，并应设置标识。</w:t>
      </w:r>
    </w:p>
    <w:p>
      <w:pPr>
        <w:pStyle w:val="41"/>
        <w:numPr>
          <w:ilvl w:val="1"/>
          <w:numId w:val="155"/>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安装在水池内、旱喷泉内的水下灯具必须采用防触电等级为Ⅲ类、防护等级为IPX8的加压水密型灯具，电压不得超过</w:t>
      </w:r>
      <w:r>
        <w:rPr>
          <w:rFonts w:hint="eastAsia" w:asciiTheme="minorEastAsia" w:hAnsiTheme="minorEastAsia" w:eastAsiaTheme="minorEastAsia"/>
          <w:color w:val="000000"/>
          <w:szCs w:val="21"/>
        </w:rPr>
        <w:t>12</w:t>
      </w:r>
      <w:r>
        <w:rPr>
          <w:rFonts w:hint="eastAsia" w:cs="仿宋" w:asciiTheme="minorEastAsia" w:hAnsiTheme="minorEastAsia" w:eastAsiaTheme="minorEastAsia"/>
          <w:color w:val="000000"/>
          <w:spacing w:val="0"/>
          <w:w w:val="15"/>
          <w:kern w:val="0"/>
          <w:szCs w:val="21"/>
          <w:fitText w:val="42" w:id="587082089"/>
        </w:rPr>
        <w:t xml:space="preserve">　 </w:t>
      </w:r>
      <w:r>
        <w:rPr>
          <w:rFonts w:hint="eastAsia" w:cs="仿宋" w:asciiTheme="minorEastAsia" w:hAnsiTheme="minorEastAsia" w:eastAsiaTheme="minorEastAsia"/>
          <w:color w:val="000000"/>
          <w:spacing w:val="-17"/>
          <w:w w:val="15"/>
          <w:kern w:val="0"/>
          <w:szCs w:val="21"/>
          <w:fitText w:val="42" w:id="587082089"/>
        </w:rPr>
        <w:t>　</w:t>
      </w:r>
      <w:r>
        <w:rPr>
          <w:rFonts w:hint="eastAsia" w:asciiTheme="minorEastAsia" w:hAnsiTheme="minorEastAsia" w:eastAsiaTheme="minorEastAsia"/>
          <w:color w:val="000000"/>
          <w:szCs w:val="21"/>
        </w:rPr>
        <w:t>V</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检查方法：观察检查和手感检查，查阅隐蔽工程检查记录和等电位联结导通性能测试记录。</w:t>
      </w:r>
    </w:p>
    <w:p>
      <w:pPr>
        <w:pStyle w:val="4"/>
        <w:spacing w:before="120" w:beforeLines="50" w:after="120" w:afterLines="50"/>
        <w:rPr>
          <w:rFonts w:asciiTheme="minorEastAsia" w:hAnsiTheme="minorEastAsia" w:eastAsiaTheme="minorEastAsia"/>
          <w:sz w:val="21"/>
          <w:szCs w:val="21"/>
        </w:rPr>
      </w:pPr>
      <w:bookmarkStart w:id="174" w:name="_Toc124168184"/>
      <w:r>
        <w:t>Ⅱ</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一般项目</w:t>
      </w:r>
      <w:bookmarkEnd w:id="174"/>
    </w:p>
    <w:p>
      <w:pPr>
        <w:pStyle w:val="41"/>
        <w:numPr>
          <w:ilvl w:val="0"/>
          <w:numId w:val="140"/>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引向单个灯具的绝缘导线截面积应与灯具功率相匹配，绝缘铜芯导线的线芯截面积不应小于</w:t>
      </w:r>
      <w:r>
        <w:rPr>
          <w:rFonts w:hint="eastAsia" w:asciiTheme="minorEastAsia" w:hAnsiTheme="minorEastAsia" w:eastAsiaTheme="minorEastAsia"/>
          <w:color w:val="000000"/>
          <w:szCs w:val="21"/>
        </w:rPr>
        <w:t>1</w:t>
      </w:r>
      <w:r>
        <w:rPr>
          <w:rFonts w:hint="eastAsia" w:cs="仿宋" w:asciiTheme="minorEastAsia" w:hAnsiTheme="minorEastAsia" w:eastAsiaTheme="minorEastAsia"/>
          <w:color w:val="000000"/>
          <w:spacing w:val="0"/>
          <w:w w:val="15"/>
          <w:kern w:val="0"/>
          <w:szCs w:val="21"/>
          <w:fitText w:val="42" w:id="271853675"/>
        </w:rPr>
        <w:t xml:space="preserve">　 </w:t>
      </w:r>
      <w:r>
        <w:rPr>
          <w:rFonts w:hint="eastAsia" w:cs="仿宋" w:asciiTheme="minorEastAsia" w:hAnsiTheme="minorEastAsia" w:eastAsiaTheme="minorEastAsia"/>
          <w:color w:val="000000"/>
          <w:spacing w:val="-17"/>
          <w:w w:val="15"/>
          <w:kern w:val="0"/>
          <w:szCs w:val="21"/>
          <w:fitText w:val="42" w:id="271853675"/>
        </w:rPr>
        <w:t>　</w:t>
      </w:r>
      <w:r>
        <w:rPr>
          <w:rFonts w:hint="eastAsia" w:asciiTheme="minorEastAsia" w:hAnsiTheme="minorEastAsia" w:eastAsiaTheme="minorEastAsia"/>
          <w:color w:val="000000"/>
          <w:szCs w:val="21"/>
        </w:rPr>
        <w:t>mm²</w:t>
      </w:r>
      <w:r>
        <w:rPr>
          <w:rFonts w:hint="eastAsia" w:asciiTheme="minorEastAsia" w:hAnsiTheme="minorEastAsia" w:eastAsiaTheme="minorEastAsia"/>
          <w:szCs w:val="21"/>
        </w:rPr>
        <w:t>，且灯具内部配线型号、规格应符合设计要求。</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检查数量：按每检验批的灯具数量抽查5%，且不得少于1 套。</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pPr>
        <w:pStyle w:val="41"/>
        <w:numPr>
          <w:ilvl w:val="0"/>
          <w:numId w:val="140"/>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灯具的外形、灯头及其接线应符合下列规定：</w:t>
      </w:r>
    </w:p>
    <w:p>
      <w:pPr>
        <w:pStyle w:val="41"/>
        <w:numPr>
          <w:ilvl w:val="1"/>
          <w:numId w:val="15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不有机械损伤、变形、涂层剥落和灯罩破裂等缺陷；</w:t>
      </w:r>
    </w:p>
    <w:p>
      <w:pPr>
        <w:pStyle w:val="41"/>
        <w:numPr>
          <w:ilvl w:val="1"/>
          <w:numId w:val="15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软线吊灯的软线两端应做保护扣，两端线芯应搪锡；当装升降器时，应采用安全灯头；</w:t>
      </w:r>
    </w:p>
    <w:p>
      <w:pPr>
        <w:pStyle w:val="41"/>
        <w:numPr>
          <w:ilvl w:val="1"/>
          <w:numId w:val="15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除敞开式灯具外，其他各类容量在</w:t>
      </w:r>
      <w:r>
        <w:rPr>
          <w:rFonts w:hint="eastAsia" w:asciiTheme="minorEastAsia" w:hAnsiTheme="minorEastAsia" w:eastAsiaTheme="minorEastAsia"/>
          <w:color w:val="000000"/>
          <w:szCs w:val="21"/>
        </w:rPr>
        <w:t>100 W</w:t>
      </w:r>
      <w:r>
        <w:rPr>
          <w:rFonts w:hint="eastAsia" w:asciiTheme="minorEastAsia" w:hAnsiTheme="minorEastAsia" w:eastAsiaTheme="minorEastAsia"/>
          <w:szCs w:val="21"/>
        </w:rPr>
        <w:t>及以上的灯具，引入线应采用瓷管、矿棉等不燃材料作隔热保护；</w:t>
      </w:r>
    </w:p>
    <w:p>
      <w:pPr>
        <w:pStyle w:val="41"/>
        <w:numPr>
          <w:ilvl w:val="1"/>
          <w:numId w:val="15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连接灯具的软线应盘扣、搪锡压线，当采用螺口灯头时，相线应接于螺口灯头中间的端子上；</w:t>
      </w:r>
    </w:p>
    <w:p>
      <w:pPr>
        <w:pStyle w:val="41"/>
        <w:numPr>
          <w:ilvl w:val="1"/>
          <w:numId w:val="15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灯座的绝缘外壳不应破损和漏电；带有开关的灯座，开关手柄应无裸露的金属部分。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检查数量：按每检验批的灯具型号各抽查5%，且各不得少于1套。</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pPr>
        <w:pStyle w:val="41"/>
        <w:numPr>
          <w:ilvl w:val="0"/>
          <w:numId w:val="140"/>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灯具表面及其附件的高温部位靠近可燃物时，应采取隔热、散热等防火保护措施。</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检查数量：按每检验批的灯具总数量抽查20%，且各不得少于1套。</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pPr>
        <w:pStyle w:val="41"/>
        <w:numPr>
          <w:ilvl w:val="0"/>
          <w:numId w:val="140"/>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高低压配电设备、</w:t>
      </w:r>
      <w:r>
        <w:rPr>
          <w:rFonts w:hint="eastAsia" w:asciiTheme="minorEastAsia" w:hAnsiTheme="minorEastAsia" w:eastAsiaTheme="minorEastAsia"/>
          <w:color w:val="000000"/>
          <w:szCs w:val="21"/>
        </w:rPr>
        <w:t>裸</w:t>
      </w:r>
      <w:r>
        <w:rPr>
          <w:rFonts w:hint="eastAsia" w:asciiTheme="minorEastAsia" w:hAnsiTheme="minorEastAsia" w:eastAsiaTheme="minorEastAsia"/>
          <w:szCs w:val="21"/>
        </w:rPr>
        <w:t>母线及电梯曳引机的正上方不应安装灯具。</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pPr>
        <w:pStyle w:val="41"/>
        <w:numPr>
          <w:ilvl w:val="0"/>
          <w:numId w:val="140"/>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投光灯的底座及支架应牢固，枢轴应沿需要的光轴方向拧紧固定，光源的安装朝向应符合产品技术文件和设计文件的要求。</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检查数量：按灯具总数抽查10%，且不得少于1套。</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检查方法：观察检查和手感检查。</w:t>
      </w:r>
    </w:p>
    <w:p>
      <w:pPr>
        <w:pStyle w:val="41"/>
        <w:numPr>
          <w:ilvl w:val="0"/>
          <w:numId w:val="140"/>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聚光灯和类似灯具出光口面与被照物体的最短距离应符合产品技术文件要求。</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检查数量：按灯具型号各抽查10%，且各不得少于1套。</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w:t>
      </w:r>
      <w:r>
        <w:rPr>
          <w:rFonts w:hint="eastAsia" w:asciiTheme="minorEastAsia" w:hAnsiTheme="minorEastAsia" w:eastAsiaTheme="minorEastAsia"/>
          <w:color w:val="000000"/>
          <w:szCs w:val="21"/>
        </w:rPr>
        <w:t>尺量</w:t>
      </w:r>
      <w:r>
        <w:rPr>
          <w:rFonts w:hint="eastAsia" w:asciiTheme="minorEastAsia" w:hAnsiTheme="minorEastAsia" w:eastAsiaTheme="minorEastAsia"/>
          <w:szCs w:val="21"/>
        </w:rPr>
        <w:t>检查，并核对产品技术文件。</w:t>
      </w:r>
    </w:p>
    <w:p>
      <w:pPr>
        <w:pStyle w:val="41"/>
        <w:numPr>
          <w:ilvl w:val="0"/>
          <w:numId w:val="140"/>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导轨灯的灯具功率和载荷应与导轨额定载流量和最大允许载荷相适配。</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检查数量：按灯具总数抽查10%，且不得少于1套。</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检查方法：观察检查并核对产品技术文件。</w:t>
      </w:r>
    </w:p>
    <w:p>
      <w:pPr>
        <w:pStyle w:val="41"/>
        <w:numPr>
          <w:ilvl w:val="0"/>
          <w:numId w:val="140"/>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露天安装的灯具应有泄水孔，且泄水孔应设置在灯具腔体的底部。灯具及其附件、紧固件、底座和与其相连的导管、接线盒等应有防腐蚀和防水措施。</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检查数量：按灯具数量抽查10%，且不得少于1套。</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pPr>
        <w:pStyle w:val="41"/>
        <w:numPr>
          <w:ilvl w:val="0"/>
          <w:numId w:val="140"/>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安装于槽盒底部的荧光灯具应紧贴槽盒底部，并应固定牢固。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检查数量：按每检验批的灯具数量抽查10%，且不得少于1套。</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检查方法：观察检查和手感检查</w:t>
      </w:r>
    </w:p>
    <w:p>
      <w:pPr>
        <w:pStyle w:val="41"/>
        <w:numPr>
          <w:ilvl w:val="0"/>
          <w:numId w:val="140"/>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庭院灯、建筑物附属路灯安装应符合下列规定：</w:t>
      </w:r>
    </w:p>
    <w:p>
      <w:pPr>
        <w:pStyle w:val="41"/>
        <w:numPr>
          <w:ilvl w:val="1"/>
          <w:numId w:val="157"/>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灯具的自动通、断电控制装置应动作准确；</w:t>
      </w:r>
    </w:p>
    <w:p>
      <w:pPr>
        <w:pStyle w:val="41"/>
        <w:numPr>
          <w:ilvl w:val="1"/>
          <w:numId w:val="157"/>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灯具应固定可靠、灯位正确，紧固件应齐全、拧紧，地脚螺栓采取保护防锈措施；</w:t>
      </w:r>
    </w:p>
    <w:p>
      <w:pPr>
        <w:pStyle w:val="41"/>
        <w:numPr>
          <w:ilvl w:val="1"/>
          <w:numId w:val="157"/>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室外灯杆的接地电阻符合设计要求；</w:t>
      </w:r>
      <w:r>
        <w:rPr>
          <w:rFonts w:asciiTheme="minorEastAsia" w:hAnsiTheme="minorEastAsia" w:eastAsiaTheme="minorEastAsia"/>
          <w:szCs w:val="21"/>
        </w:rPr>
        <w:t xml:space="preserve">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检查数量；按灯具型号各抽查10%，且各不得少于1套。</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检查方法：模拟试验、观察检查和手感检查。 </w:t>
      </w:r>
    </w:p>
    <w:p>
      <w:pPr>
        <w:pStyle w:val="41"/>
        <w:numPr>
          <w:ilvl w:val="0"/>
          <w:numId w:val="140"/>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手术台无影灯安装应符合下列规定：</w:t>
      </w:r>
    </w:p>
    <w:p>
      <w:pPr>
        <w:pStyle w:val="41"/>
        <w:numPr>
          <w:ilvl w:val="1"/>
          <w:numId w:val="15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底座应紧贴顶板、四周封堵严密、无缝隙；</w:t>
      </w:r>
    </w:p>
    <w:p>
      <w:pPr>
        <w:pStyle w:val="41"/>
        <w:numPr>
          <w:ilvl w:val="1"/>
          <w:numId w:val="15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表面应保持整洁、无污染，灯具镀、涂层应完整无划伤。</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pPr>
        <w:pStyle w:val="41"/>
        <w:numPr>
          <w:ilvl w:val="0"/>
          <w:numId w:val="140"/>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当镇流器与灯具分离安装时，应固定可靠，镇流器与灯具本体之间的连接绝缘导线应用金属柔性导管保护，导线不得外露。</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检查数量：按每检验批的灯具数量抽查10%，且不得少于1套。</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pPr>
        <w:pStyle w:val="41"/>
        <w:numPr>
          <w:ilvl w:val="0"/>
          <w:numId w:val="140"/>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霓虹灯安装应符合下列规定：</w:t>
      </w:r>
    </w:p>
    <w:p>
      <w:pPr>
        <w:pStyle w:val="41"/>
        <w:numPr>
          <w:ilvl w:val="1"/>
          <w:numId w:val="15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明装的霓虹灯变压器安装高度低于</w:t>
      </w:r>
      <w:r>
        <w:rPr>
          <w:rFonts w:hint="eastAsia" w:asciiTheme="minorEastAsia" w:hAnsiTheme="minorEastAsia" w:eastAsiaTheme="minorEastAsia"/>
          <w:color w:val="000000"/>
          <w:szCs w:val="21"/>
        </w:rPr>
        <w:t>3.5</w:t>
      </w:r>
      <w:r>
        <w:rPr>
          <w:rFonts w:hint="eastAsia" w:cs="仿宋" w:asciiTheme="minorEastAsia" w:hAnsiTheme="minorEastAsia" w:eastAsiaTheme="minorEastAsia"/>
          <w:color w:val="000000"/>
          <w:spacing w:val="0"/>
          <w:w w:val="15"/>
          <w:kern w:val="0"/>
          <w:szCs w:val="21"/>
          <w:fitText w:val="42" w:id="1429030799"/>
        </w:rPr>
        <w:t xml:space="preserve">　 </w:t>
      </w:r>
      <w:r>
        <w:rPr>
          <w:rFonts w:hint="eastAsia" w:cs="仿宋" w:asciiTheme="minorEastAsia" w:hAnsiTheme="minorEastAsia" w:eastAsiaTheme="minorEastAsia"/>
          <w:color w:val="000000"/>
          <w:spacing w:val="-17"/>
          <w:w w:val="15"/>
          <w:kern w:val="0"/>
          <w:szCs w:val="21"/>
          <w:fitText w:val="42" w:id="1429030799"/>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时应采取防护措施；室外安装距离晒台、窗口、架空线等不应小于</w:t>
      </w:r>
      <w:r>
        <w:rPr>
          <w:rFonts w:hint="eastAsia" w:asciiTheme="minorEastAsia" w:hAnsiTheme="minorEastAsia" w:eastAsiaTheme="minorEastAsia"/>
          <w:color w:val="000000"/>
          <w:szCs w:val="21"/>
        </w:rPr>
        <w:t>1</w:t>
      </w:r>
      <w:r>
        <w:rPr>
          <w:rFonts w:hint="eastAsia" w:cs="仿宋" w:asciiTheme="minorEastAsia" w:hAnsiTheme="minorEastAsia" w:eastAsiaTheme="minorEastAsia"/>
          <w:color w:val="000000"/>
          <w:spacing w:val="0"/>
          <w:w w:val="15"/>
          <w:kern w:val="0"/>
          <w:szCs w:val="21"/>
          <w:fitText w:val="42" w:id="1045322967"/>
        </w:rPr>
        <w:t xml:space="preserve">　 </w:t>
      </w:r>
      <w:r>
        <w:rPr>
          <w:rFonts w:hint="eastAsia" w:cs="仿宋" w:asciiTheme="minorEastAsia" w:hAnsiTheme="minorEastAsia" w:eastAsiaTheme="minorEastAsia"/>
          <w:color w:val="000000"/>
          <w:spacing w:val="-17"/>
          <w:w w:val="15"/>
          <w:kern w:val="0"/>
          <w:szCs w:val="21"/>
          <w:fitText w:val="42" w:id="1045322967"/>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，并应有防雨措施。</w:t>
      </w:r>
    </w:p>
    <w:p>
      <w:pPr>
        <w:pStyle w:val="41"/>
        <w:numPr>
          <w:ilvl w:val="1"/>
          <w:numId w:val="15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霓虹灯变压器应固定可靠，安装位置宜方便检修，且应隐蔽在不易被非检修人触及的场所。</w:t>
      </w:r>
    </w:p>
    <w:p>
      <w:pPr>
        <w:pStyle w:val="41"/>
        <w:numPr>
          <w:ilvl w:val="1"/>
          <w:numId w:val="15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当橱窗内装有霓虹灯时，橱窗门与霓虹灯变压器一次侧开关应有联锁装置，开门时不得接通霓虹灯变压器的电源。</w:t>
      </w:r>
    </w:p>
    <w:p>
      <w:pPr>
        <w:pStyle w:val="41"/>
        <w:numPr>
          <w:ilvl w:val="1"/>
          <w:numId w:val="159"/>
        </w:numPr>
        <w:spacing w:line="360" w:lineRule="auto"/>
        <w:ind w:firstLine="424" w:firstLineChars="202"/>
        <w:rPr>
          <w:rFonts w:asciiTheme="minorEastAsia" w:hAnsiTheme="minorEastAsia" w:eastAsiaTheme="minorEastAsia"/>
          <w:szCs w:val="21"/>
        </w:rPr>
      </w:pPr>
      <w:r>
        <w:rPr>
          <w:rFonts w:hint="eastAsia" w:cs="宋体" w:asciiTheme="minorEastAsia" w:hAnsiTheme="minorEastAsia" w:eastAsiaTheme="minorEastAsia"/>
          <w:szCs w:val="21"/>
        </w:rPr>
        <w:t>霓虹灯变压器二次侧的绝缘导线应采用高绝缘材料的支持物固定，对于支持点的距离，</w:t>
      </w:r>
      <w:r>
        <w:rPr>
          <w:rFonts w:hint="eastAsia" w:asciiTheme="minorEastAsia" w:hAnsiTheme="minorEastAsia" w:eastAsiaTheme="minorEastAsia"/>
          <w:szCs w:val="21"/>
        </w:rPr>
        <w:t>水平线段不应大于</w:t>
      </w:r>
      <w:r>
        <w:rPr>
          <w:rFonts w:hint="eastAsia" w:asciiTheme="minorEastAsia" w:hAnsiTheme="minorEastAsia" w:eastAsiaTheme="minorEastAsia"/>
          <w:color w:val="000000"/>
          <w:szCs w:val="21"/>
        </w:rPr>
        <w:t>0.5</w:t>
      </w:r>
      <w:r>
        <w:rPr>
          <w:rFonts w:hint="eastAsia" w:cs="仿宋" w:asciiTheme="minorEastAsia" w:hAnsiTheme="minorEastAsia" w:eastAsiaTheme="minorEastAsia"/>
          <w:color w:val="000000"/>
          <w:spacing w:val="0"/>
          <w:w w:val="15"/>
          <w:kern w:val="0"/>
          <w:szCs w:val="21"/>
          <w:fitText w:val="42" w:id="2082369018"/>
        </w:rPr>
        <w:t xml:space="preserve">　 </w:t>
      </w:r>
      <w:r>
        <w:rPr>
          <w:rFonts w:hint="eastAsia" w:cs="仿宋" w:asciiTheme="minorEastAsia" w:hAnsiTheme="minorEastAsia" w:eastAsiaTheme="minorEastAsia"/>
          <w:color w:val="000000"/>
          <w:spacing w:val="-17"/>
          <w:w w:val="15"/>
          <w:kern w:val="0"/>
          <w:szCs w:val="21"/>
          <w:fitText w:val="42" w:id="2082369018"/>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，垂直线段不应大于</w:t>
      </w:r>
      <w:r>
        <w:rPr>
          <w:rFonts w:hint="eastAsia" w:asciiTheme="minorEastAsia" w:hAnsiTheme="minorEastAsia" w:eastAsiaTheme="minorEastAsia"/>
          <w:color w:val="000000"/>
          <w:szCs w:val="21"/>
        </w:rPr>
        <w:t>0.75</w:t>
      </w:r>
      <w:r>
        <w:rPr>
          <w:rFonts w:hint="eastAsia" w:cs="仿宋" w:asciiTheme="minorEastAsia" w:hAnsiTheme="minorEastAsia" w:eastAsiaTheme="minorEastAsia"/>
          <w:color w:val="000000"/>
          <w:spacing w:val="0"/>
          <w:w w:val="15"/>
          <w:kern w:val="0"/>
          <w:szCs w:val="21"/>
          <w:fitText w:val="42" w:id="399593111"/>
        </w:rPr>
        <w:t xml:space="preserve">　 </w:t>
      </w:r>
      <w:r>
        <w:rPr>
          <w:rFonts w:hint="eastAsia" w:cs="仿宋" w:asciiTheme="minorEastAsia" w:hAnsiTheme="minorEastAsia" w:eastAsiaTheme="minorEastAsia"/>
          <w:color w:val="000000"/>
          <w:spacing w:val="-17"/>
          <w:w w:val="15"/>
          <w:kern w:val="0"/>
          <w:szCs w:val="21"/>
          <w:fitText w:val="42" w:id="399593111"/>
        </w:rPr>
        <w:t>　</w:t>
      </w:r>
      <w:r>
        <w:rPr>
          <w:rFonts w:hint="eastAsia" w:asciiTheme="minorEastAsia" w:hAnsiTheme="minorEastAsia" w:eastAsiaTheme="minorEastAsia"/>
          <w:color w:val="000000"/>
          <w:szCs w:val="21"/>
        </w:rPr>
        <w:t>m。</w:t>
      </w:r>
    </w:p>
    <w:p>
      <w:pPr>
        <w:pStyle w:val="41"/>
        <w:numPr>
          <w:ilvl w:val="1"/>
          <w:numId w:val="15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霓虹灯管附着基面及其托架应采用金属或不燃材料制作，并应固定可靠，室外安装应耐风压。</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检查数量：按灯具安装部位各抽查10%，且各不得少于1套。</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检查方法：观察检查并用尺量和手感检查。</w:t>
      </w:r>
    </w:p>
    <w:p>
      <w:pPr>
        <w:pStyle w:val="41"/>
        <w:numPr>
          <w:ilvl w:val="0"/>
          <w:numId w:val="140"/>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高压钠灯、金属卤化物灯安装应符合下列规定：</w:t>
      </w:r>
    </w:p>
    <w:p>
      <w:pPr>
        <w:pStyle w:val="41"/>
        <w:numPr>
          <w:ilvl w:val="1"/>
          <w:numId w:val="16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灯具的额定电压、支架形式和安装方式应符合设计要求；</w:t>
      </w:r>
    </w:p>
    <w:p>
      <w:pPr>
        <w:pStyle w:val="41"/>
        <w:numPr>
          <w:ilvl w:val="1"/>
          <w:numId w:val="16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光源的安装朝向应符合产品技术文件和设计文件的要求。</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检查数量：按灯具型号各抽查10%，且各不得少于1套。</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检查方法：观察检查并查验产品技术文件、核对设计文件。</w:t>
      </w:r>
    </w:p>
    <w:p>
      <w:pPr>
        <w:pStyle w:val="41"/>
        <w:numPr>
          <w:ilvl w:val="0"/>
          <w:numId w:val="140"/>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建筑物景观照明灯具构架应固定可靠、地脚螺栓拧紧、备帽齐全；灯具的螺栓应紧固、无遗漏。灯具外露的绝缘导线或电缆</w:t>
      </w:r>
      <w:bookmarkStart w:id="175" w:name="_Hlk132537611"/>
      <w:r>
        <w:rPr>
          <w:rFonts w:hint="eastAsia" w:asciiTheme="minorEastAsia" w:hAnsiTheme="minorEastAsia" w:eastAsiaTheme="minorEastAsia"/>
          <w:szCs w:val="21"/>
        </w:rPr>
        <w:t>不应裸露，应有金属柔性导管保护</w:t>
      </w:r>
      <w:bookmarkEnd w:id="175"/>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检查数量：按灯具数量抽查10%，且不得少于1套。</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检查方法：观察检查和手感检查。</w:t>
      </w:r>
    </w:p>
    <w:p>
      <w:pPr>
        <w:pStyle w:val="41"/>
        <w:numPr>
          <w:ilvl w:val="0"/>
          <w:numId w:val="140"/>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航空障碍标志灯安装位置应符合设计要求，灯具的自动通、断电源控制装置应动作准确，满足动作时限要求。</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检查方法：模拟试验和观察检查。</w:t>
      </w:r>
    </w:p>
    <w:p>
      <w:pPr>
        <w:pStyle w:val="41"/>
        <w:numPr>
          <w:ilvl w:val="0"/>
          <w:numId w:val="140"/>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太阳能灯具的电池板朝向和仰角调整应符合地区纬度，迎光面上应无遮挡物，电池板上方应无直射光源。电池组件与支架连接应牢固可靠，组件的输出线</w:t>
      </w:r>
      <w:bookmarkStart w:id="176" w:name="_Hlk132537633"/>
      <w:r>
        <w:rPr>
          <w:rFonts w:hint="eastAsia" w:asciiTheme="minorEastAsia" w:hAnsiTheme="minorEastAsia" w:eastAsiaTheme="minorEastAsia"/>
          <w:szCs w:val="21"/>
        </w:rPr>
        <w:t>不应裸露，</w:t>
      </w:r>
      <w:bookmarkEnd w:id="176"/>
      <w:r>
        <w:rPr>
          <w:rFonts w:hint="eastAsia" w:asciiTheme="minorEastAsia" w:hAnsiTheme="minorEastAsia" w:eastAsiaTheme="minorEastAsia"/>
          <w:szCs w:val="21"/>
        </w:rPr>
        <w:t>应有金属柔性导管保护，并应用扎带绑扎固定。灯具与基础固定可靠</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地脚螺栓应有防松措施</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灯具接线盒盖的防水密封垫应完整。</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检查数量：按灯具总数抽查10%，且不得少于1套。</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pPr>
        <w:pStyle w:val="41"/>
        <w:numPr>
          <w:ilvl w:val="0"/>
          <w:numId w:val="140"/>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防爆灯具安装应符合下列规定：</w:t>
      </w:r>
    </w:p>
    <w:p>
      <w:pPr>
        <w:pStyle w:val="41"/>
        <w:numPr>
          <w:ilvl w:val="1"/>
          <w:numId w:val="16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检查灯具的防爆标志、外壳防护等级和温度组别应与爆炸危险环境相适配；</w:t>
      </w:r>
    </w:p>
    <w:p>
      <w:pPr>
        <w:pStyle w:val="41"/>
        <w:numPr>
          <w:ilvl w:val="1"/>
          <w:numId w:val="16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灯具的外壳应完整，无损伤、凹陷变形，灯罩无裂纹，金属护网无扭曲变形，防爆标志清晰；</w:t>
      </w:r>
    </w:p>
    <w:p>
      <w:pPr>
        <w:pStyle w:val="41"/>
        <w:numPr>
          <w:ilvl w:val="1"/>
          <w:numId w:val="16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灯具的紧固螺栓应无松动、锈蚀现象，密封垫圈完好；</w:t>
      </w:r>
    </w:p>
    <w:p>
      <w:pPr>
        <w:pStyle w:val="41"/>
        <w:numPr>
          <w:ilvl w:val="1"/>
          <w:numId w:val="16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灯具附件应齐全，严禁使用非防爆零件代替防爆灯具配件；</w:t>
      </w:r>
    </w:p>
    <w:p>
      <w:pPr>
        <w:pStyle w:val="41"/>
        <w:numPr>
          <w:ilvl w:val="1"/>
          <w:numId w:val="16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灯具的安装位置应离开释放源，且不得在各种管道的泄压口及排放口上方或下方；</w:t>
      </w:r>
    </w:p>
    <w:p>
      <w:pPr>
        <w:pStyle w:val="41"/>
        <w:numPr>
          <w:ilvl w:val="1"/>
          <w:numId w:val="16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导管与防爆灯具接线盒之间连接应紧密，密封完好；螺纹啮合扣数应不少于5扣，并应在螺纹上涂以电力复合酯或导电性防锈酯；</w:t>
      </w:r>
    </w:p>
    <w:p>
      <w:pPr>
        <w:pStyle w:val="41"/>
        <w:numPr>
          <w:ilvl w:val="1"/>
          <w:numId w:val="16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防爆弯管工矿灯应在弯管处用镀锌链条或型钢拉杆加固。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pPr>
        <w:pStyle w:val="41"/>
        <w:numPr>
          <w:ilvl w:val="0"/>
          <w:numId w:val="140"/>
        </w:numPr>
        <w:spacing w:line="360" w:lineRule="auto"/>
        <w:ind w:left="0" w:firstLine="0" w:firstLineChars="0"/>
        <w:rPr>
          <w:rFonts w:cs="Calibri" w:asciiTheme="minorEastAsia" w:hAnsiTheme="minorEastAsia" w:eastAsiaTheme="minorEastAsia"/>
          <w:szCs w:val="21"/>
        </w:rPr>
      </w:pPr>
      <w:r>
        <w:rPr>
          <w:rFonts w:hint="eastAsia" w:cs="Calibri" w:asciiTheme="minorEastAsia" w:hAnsiTheme="minorEastAsia" w:eastAsiaTheme="minorEastAsia"/>
          <w:szCs w:val="21"/>
        </w:rPr>
        <w:t>应急照明回路灯具、控制开关应有明显标识。</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检查方法：试验检查。</w:t>
      </w:r>
    </w:p>
    <w:p>
      <w:pPr>
        <w:pStyle w:val="41"/>
        <w:numPr>
          <w:ilvl w:val="0"/>
          <w:numId w:val="140"/>
        </w:numPr>
        <w:spacing w:line="360" w:lineRule="auto"/>
        <w:ind w:left="0" w:firstLine="0" w:firstLineChars="0"/>
        <w:rPr>
          <w:rFonts w:cs="Calibri" w:asciiTheme="minorEastAsia" w:hAnsiTheme="minorEastAsia" w:eastAsiaTheme="minorEastAsia"/>
          <w:szCs w:val="21"/>
        </w:rPr>
      </w:pPr>
      <w:r>
        <w:rPr>
          <w:rFonts w:hint="eastAsia" w:cs="Calibri" w:asciiTheme="minorEastAsia" w:hAnsiTheme="minorEastAsia" w:eastAsiaTheme="minorEastAsia"/>
          <w:szCs w:val="21"/>
        </w:rPr>
        <w:t>槽盒灯具应符合设计和下列规定</w:t>
      </w:r>
    </w:p>
    <w:p>
      <w:pPr>
        <w:pStyle w:val="41"/>
        <w:numPr>
          <w:ilvl w:val="1"/>
          <w:numId w:val="162"/>
        </w:numPr>
        <w:spacing w:line="360" w:lineRule="auto"/>
        <w:ind w:firstLine="424" w:firstLineChars="202"/>
        <w:rPr>
          <w:rFonts w:cs="Calibri" w:asciiTheme="minorEastAsia" w:hAnsiTheme="minorEastAsia" w:eastAsiaTheme="minorEastAsia"/>
          <w:szCs w:val="21"/>
        </w:rPr>
      </w:pPr>
      <w:r>
        <w:rPr>
          <w:rFonts w:hint="eastAsia" w:cs="Calibri" w:asciiTheme="minorEastAsia" w:hAnsiTheme="minorEastAsia" w:eastAsiaTheme="minorEastAsia"/>
          <w:szCs w:val="21"/>
        </w:rPr>
        <w:t>槽盒应平整，无扭曲变形，内壁光滑无毛刺；</w:t>
      </w:r>
    </w:p>
    <w:p>
      <w:pPr>
        <w:pStyle w:val="41"/>
        <w:numPr>
          <w:ilvl w:val="1"/>
          <w:numId w:val="162"/>
        </w:numPr>
        <w:spacing w:line="360" w:lineRule="auto"/>
        <w:ind w:firstLine="424" w:firstLineChars="202"/>
        <w:rPr>
          <w:rFonts w:cs="Calibri" w:asciiTheme="minorEastAsia" w:hAnsiTheme="minorEastAsia" w:eastAsiaTheme="minorEastAsia"/>
          <w:szCs w:val="21"/>
        </w:rPr>
      </w:pPr>
      <w:r>
        <w:rPr>
          <w:rFonts w:hint="eastAsia" w:cs="Calibri" w:asciiTheme="minorEastAsia" w:hAnsiTheme="minorEastAsia" w:eastAsiaTheme="minorEastAsia"/>
          <w:szCs w:val="21"/>
        </w:rPr>
        <w:t>槽盒接口应平整，接缝处应紧密平直；槽盒盖板安装平整无翘角，出线口位置应准确；</w:t>
      </w:r>
    </w:p>
    <w:p>
      <w:pPr>
        <w:pStyle w:val="41"/>
        <w:numPr>
          <w:ilvl w:val="1"/>
          <w:numId w:val="162"/>
        </w:numPr>
        <w:spacing w:line="360" w:lineRule="auto"/>
        <w:ind w:firstLine="424" w:firstLineChars="202"/>
        <w:rPr>
          <w:rFonts w:cs="Calibri" w:asciiTheme="minorEastAsia" w:hAnsiTheme="minorEastAsia" w:eastAsiaTheme="minorEastAsia"/>
          <w:szCs w:val="21"/>
        </w:rPr>
      </w:pPr>
      <w:r>
        <w:rPr>
          <w:rFonts w:hint="eastAsia" w:cs="Calibri" w:asciiTheme="minorEastAsia" w:hAnsiTheme="minorEastAsia" w:eastAsiaTheme="minorEastAsia"/>
          <w:szCs w:val="21"/>
        </w:rPr>
        <w:t>在吊顶内敷设，应留有检修口；</w:t>
      </w:r>
    </w:p>
    <w:p>
      <w:pPr>
        <w:pStyle w:val="41"/>
        <w:numPr>
          <w:ilvl w:val="1"/>
          <w:numId w:val="162"/>
        </w:numPr>
        <w:spacing w:line="360" w:lineRule="auto"/>
        <w:ind w:firstLine="424" w:firstLineChars="202"/>
        <w:rPr>
          <w:rFonts w:cs="Calibri" w:asciiTheme="minorEastAsia" w:hAnsiTheme="minorEastAsia" w:eastAsiaTheme="minorEastAsia"/>
          <w:szCs w:val="21"/>
        </w:rPr>
      </w:pPr>
      <w:r>
        <w:rPr>
          <w:rFonts w:hint="eastAsia" w:cs="Calibri" w:asciiTheme="minorEastAsia" w:hAnsiTheme="minorEastAsia" w:eastAsiaTheme="minorEastAsia"/>
          <w:szCs w:val="21"/>
        </w:rPr>
        <w:t>金属槽盒的可导电部位，全长不应少于两处与保护导体连接；</w:t>
      </w:r>
    </w:p>
    <w:p>
      <w:pPr>
        <w:pStyle w:val="41"/>
        <w:numPr>
          <w:ilvl w:val="1"/>
          <w:numId w:val="162"/>
        </w:numPr>
        <w:spacing w:line="360" w:lineRule="auto"/>
        <w:ind w:firstLine="424" w:firstLineChars="202"/>
        <w:rPr>
          <w:rFonts w:cs="Calibri" w:asciiTheme="minorEastAsia" w:hAnsiTheme="minorEastAsia" w:eastAsiaTheme="minorEastAsia"/>
          <w:szCs w:val="21"/>
        </w:rPr>
      </w:pPr>
      <w:r>
        <w:rPr>
          <w:rFonts w:hint="eastAsia" w:cs="Calibri" w:asciiTheme="minorEastAsia" w:hAnsiTheme="minorEastAsia" w:eastAsiaTheme="minorEastAsia"/>
          <w:szCs w:val="21"/>
        </w:rPr>
        <w:t>槽盒穿施工缝、变形缝应做好补偿处理，保护地线和槽盒内导线应里留有裕度；</w:t>
      </w:r>
    </w:p>
    <w:p>
      <w:pPr>
        <w:pStyle w:val="41"/>
        <w:numPr>
          <w:ilvl w:val="1"/>
          <w:numId w:val="162"/>
        </w:numPr>
        <w:spacing w:line="360" w:lineRule="auto"/>
        <w:ind w:firstLine="424" w:firstLineChars="202"/>
        <w:rPr>
          <w:rFonts w:cs="Calibri" w:asciiTheme="minorEastAsia" w:hAnsiTheme="minorEastAsia" w:eastAsiaTheme="minorEastAsia"/>
          <w:szCs w:val="21"/>
        </w:rPr>
      </w:pPr>
      <w:r>
        <w:rPr>
          <w:rFonts w:hint="eastAsia" w:cs="Calibri" w:asciiTheme="minorEastAsia" w:hAnsiTheme="minorEastAsia" w:eastAsiaTheme="minorEastAsia"/>
          <w:szCs w:val="21"/>
        </w:rPr>
        <w:t>槽盒灯具应横平竖直，整体美观，固定牢靠且中心线偏差不大于</w:t>
      </w:r>
      <w:r>
        <w:rPr>
          <w:rFonts w:hint="eastAsia" w:cs="Calibri" w:asciiTheme="minorEastAsia" w:hAnsiTheme="minorEastAsia" w:eastAsiaTheme="minorEastAsia"/>
          <w:color w:val="000000"/>
          <w:szCs w:val="21"/>
        </w:rPr>
        <w:t>5</w:t>
      </w:r>
      <w:r>
        <w:rPr>
          <w:rFonts w:hint="eastAsia" w:cs="仿宋" w:asciiTheme="minorEastAsia" w:hAnsiTheme="minorEastAsia" w:eastAsiaTheme="minorEastAsia"/>
          <w:color w:val="000000"/>
          <w:spacing w:val="0"/>
          <w:w w:val="15"/>
          <w:kern w:val="0"/>
          <w:szCs w:val="21"/>
          <w:fitText w:val="42" w:id="1795829631"/>
        </w:rPr>
        <w:t xml:space="preserve">　 </w:t>
      </w:r>
      <w:r>
        <w:rPr>
          <w:rFonts w:hint="eastAsia" w:cs="仿宋" w:asciiTheme="minorEastAsia" w:hAnsiTheme="minorEastAsia" w:eastAsiaTheme="minorEastAsia"/>
          <w:color w:val="000000"/>
          <w:spacing w:val="-17"/>
          <w:w w:val="15"/>
          <w:kern w:val="0"/>
          <w:szCs w:val="21"/>
          <w:fitText w:val="42" w:id="1795829631"/>
        </w:rPr>
        <w:t>　</w:t>
      </w:r>
      <w:r>
        <w:rPr>
          <w:rFonts w:hint="eastAsia" w:cs="Calibri" w:asciiTheme="minorEastAsia" w:hAnsiTheme="minorEastAsia" w:eastAsiaTheme="minorEastAsia"/>
          <w:color w:val="000000"/>
          <w:szCs w:val="21"/>
        </w:rPr>
        <w:t>mm</w:t>
      </w:r>
      <w:r>
        <w:rPr>
          <w:rFonts w:hint="eastAsia" w:cs="Calibri" w:asciiTheme="minorEastAsia" w:hAnsiTheme="minorEastAsia" w:eastAsiaTheme="minorEastAsia"/>
          <w:szCs w:val="21"/>
        </w:rPr>
        <w:t>；</w:t>
      </w:r>
    </w:p>
    <w:p>
      <w:pPr>
        <w:pStyle w:val="41"/>
        <w:numPr>
          <w:ilvl w:val="1"/>
          <w:numId w:val="162"/>
        </w:numPr>
        <w:spacing w:line="360" w:lineRule="auto"/>
        <w:ind w:firstLine="424" w:firstLineChars="202"/>
        <w:rPr>
          <w:rFonts w:cs="Calibri" w:asciiTheme="minorEastAsia" w:hAnsiTheme="minorEastAsia" w:eastAsiaTheme="minorEastAsia"/>
          <w:szCs w:val="21"/>
        </w:rPr>
      </w:pPr>
      <w:r>
        <w:rPr>
          <w:rFonts w:hint="eastAsia" w:cs="Calibri" w:asciiTheme="minorEastAsia" w:hAnsiTheme="minorEastAsia" w:eastAsiaTheme="minorEastAsia"/>
          <w:szCs w:val="21"/>
        </w:rPr>
        <w:t>设计无要求时，槽盒支架间距以1.5-2.5米为宜，采用吊架安装时，全长不大于20米应设置一处防晃固定支架，大于20米在适当位置增加一处固定；</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pPr>
        <w:pStyle w:val="41"/>
        <w:numPr>
          <w:ilvl w:val="0"/>
          <w:numId w:val="140"/>
        </w:numPr>
        <w:spacing w:line="360" w:lineRule="auto"/>
        <w:ind w:left="0" w:firstLine="0" w:firstLineChars="0"/>
        <w:rPr>
          <w:rFonts w:asciiTheme="minorEastAsia" w:hAnsiTheme="minorEastAsia" w:eastAsiaTheme="minorEastAsia"/>
          <w:szCs w:val="21"/>
        </w:rPr>
      </w:pPr>
      <w:r>
        <w:rPr>
          <w:rFonts w:hint="eastAsia" w:cs="Calibri" w:asciiTheme="minorEastAsia" w:hAnsiTheme="minorEastAsia" w:eastAsiaTheme="minorEastAsia"/>
          <w:szCs w:val="21"/>
        </w:rPr>
        <w:t>嵌入式灯具安装</w:t>
      </w:r>
      <w:r>
        <w:rPr>
          <w:rFonts w:hint="eastAsia" w:asciiTheme="minorEastAsia" w:hAnsiTheme="minorEastAsia" w:eastAsiaTheme="minorEastAsia"/>
          <w:szCs w:val="21"/>
        </w:rPr>
        <w:t>应符合下列规定：</w:t>
      </w:r>
    </w:p>
    <w:p>
      <w:pPr>
        <w:pStyle w:val="41"/>
        <w:numPr>
          <w:ilvl w:val="1"/>
          <w:numId w:val="163"/>
        </w:numPr>
        <w:spacing w:line="360" w:lineRule="auto"/>
        <w:ind w:firstLine="424" w:firstLineChars="202"/>
        <w:rPr>
          <w:rFonts w:cs="Calibri" w:asciiTheme="minorEastAsia" w:hAnsiTheme="minorEastAsia" w:eastAsiaTheme="minorEastAsia"/>
          <w:szCs w:val="21"/>
        </w:rPr>
      </w:pPr>
      <w:r>
        <w:rPr>
          <w:rFonts w:hint="eastAsia" w:cs="Calibri" w:asciiTheme="minorEastAsia" w:hAnsiTheme="minorEastAsia" w:eastAsiaTheme="minorEastAsia"/>
          <w:szCs w:val="21"/>
        </w:rPr>
        <w:t>接线盒引向灯具的电线应采用导管保护，电线不得裸露</w:t>
      </w:r>
      <w:r>
        <w:rPr>
          <w:rFonts w:hint="eastAsia" w:cs="Calibri" w:asciiTheme="minorEastAsia" w:hAnsiTheme="minorEastAsia" w:eastAsiaTheme="minorEastAsia"/>
          <w:color w:val="000000"/>
          <w:szCs w:val="21"/>
        </w:rPr>
        <w:t>；</w:t>
      </w:r>
      <w:r>
        <w:rPr>
          <w:rFonts w:hint="eastAsia" w:cs="Calibri" w:asciiTheme="minorEastAsia" w:hAnsiTheme="minorEastAsia" w:eastAsiaTheme="minorEastAsia"/>
          <w:szCs w:val="21"/>
        </w:rPr>
        <w:t>导管与灯具壳体应采用专用接头连接。当采用金属软管时，其长度不宜大于</w:t>
      </w:r>
      <w:r>
        <w:rPr>
          <w:rFonts w:hint="eastAsia" w:cs="Calibri" w:asciiTheme="minorEastAsia" w:hAnsiTheme="minorEastAsia" w:eastAsiaTheme="minorEastAsia"/>
          <w:color w:val="000000"/>
          <w:szCs w:val="21"/>
        </w:rPr>
        <w:t>1.2</w:t>
      </w:r>
      <w:r>
        <w:rPr>
          <w:rFonts w:hint="eastAsia" w:cs="仿宋" w:asciiTheme="minorEastAsia" w:hAnsiTheme="minorEastAsia" w:eastAsiaTheme="minorEastAsia"/>
          <w:color w:val="000000"/>
          <w:spacing w:val="0"/>
          <w:w w:val="15"/>
          <w:kern w:val="0"/>
          <w:szCs w:val="21"/>
          <w:fitText w:val="42" w:id="493753407"/>
        </w:rPr>
        <w:t xml:space="preserve">　 </w:t>
      </w:r>
      <w:r>
        <w:rPr>
          <w:rFonts w:hint="eastAsia" w:cs="仿宋" w:asciiTheme="minorEastAsia" w:hAnsiTheme="minorEastAsia" w:eastAsiaTheme="minorEastAsia"/>
          <w:color w:val="000000"/>
          <w:spacing w:val="-17"/>
          <w:w w:val="15"/>
          <w:kern w:val="0"/>
          <w:szCs w:val="21"/>
          <w:fitText w:val="42" w:id="493753407"/>
        </w:rPr>
        <w:t>　</w:t>
      </w:r>
      <w:r>
        <w:rPr>
          <w:rFonts w:hint="eastAsia" w:cs="Calibri" w:asciiTheme="minorEastAsia" w:hAnsiTheme="minorEastAsia" w:eastAsiaTheme="minorEastAsia"/>
          <w:color w:val="000000"/>
          <w:szCs w:val="21"/>
        </w:rPr>
        <w:t>m。</w:t>
      </w:r>
      <w:r>
        <w:rPr>
          <w:rFonts w:hint="eastAsia" w:cs="Calibri" w:asciiTheme="minorEastAsia" w:hAnsiTheme="minorEastAsia" w:eastAsiaTheme="minorEastAsia"/>
          <w:szCs w:val="21"/>
        </w:rPr>
        <w:t>且不应在灯内明敷</w:t>
      </w:r>
      <w:r>
        <w:rPr>
          <w:rFonts w:hint="eastAsia" w:cs="Calibri" w:asciiTheme="minorEastAsia" w:hAnsiTheme="minorEastAsia" w:eastAsiaTheme="minorEastAsia"/>
          <w:color w:val="000000"/>
          <w:szCs w:val="21"/>
        </w:rPr>
        <w:t>；</w:t>
      </w:r>
    </w:p>
    <w:p>
      <w:pPr>
        <w:pStyle w:val="41"/>
        <w:numPr>
          <w:ilvl w:val="1"/>
          <w:numId w:val="163"/>
        </w:numPr>
        <w:spacing w:line="360" w:lineRule="auto"/>
        <w:ind w:firstLine="424" w:firstLineChars="202"/>
        <w:rPr>
          <w:rFonts w:cs="Calibri" w:asciiTheme="minorEastAsia" w:hAnsiTheme="minorEastAsia" w:eastAsiaTheme="minorEastAsia"/>
          <w:szCs w:val="21"/>
        </w:rPr>
      </w:pPr>
      <w:r>
        <w:rPr>
          <w:rFonts w:hint="eastAsia" w:cs="Calibri" w:asciiTheme="minorEastAsia" w:hAnsiTheme="minorEastAsia" w:eastAsiaTheme="minorEastAsia"/>
          <w:szCs w:val="21"/>
        </w:rPr>
        <w:t>灯具的边框应紧贴安装面，不应有较大缝隙</w:t>
      </w:r>
      <w:r>
        <w:rPr>
          <w:rFonts w:hint="eastAsia" w:cs="Calibri" w:asciiTheme="minorEastAsia" w:hAnsiTheme="minorEastAsia" w:eastAsiaTheme="minorEastAsia"/>
          <w:color w:val="000000"/>
          <w:szCs w:val="21"/>
        </w:rPr>
        <w:t>；</w:t>
      </w:r>
    </w:p>
    <w:p>
      <w:pPr>
        <w:pStyle w:val="41"/>
        <w:numPr>
          <w:ilvl w:val="1"/>
          <w:numId w:val="163"/>
        </w:numPr>
        <w:spacing w:line="360" w:lineRule="auto"/>
        <w:ind w:firstLine="424" w:firstLineChars="202"/>
        <w:rPr>
          <w:rFonts w:cs="Calibri" w:asciiTheme="minorEastAsia" w:hAnsiTheme="minorEastAsia" w:eastAsiaTheme="minorEastAsia"/>
          <w:szCs w:val="21"/>
        </w:rPr>
      </w:pPr>
      <w:r>
        <w:rPr>
          <w:rFonts w:hint="eastAsia" w:cs="Calibri" w:asciiTheme="minorEastAsia" w:hAnsiTheme="minorEastAsia" w:eastAsiaTheme="minorEastAsia"/>
          <w:szCs w:val="21"/>
        </w:rPr>
        <w:t>多边形灯具应固定在专设的框架或专用吊链（杆）上，固定用的螺钉不应少于4个</w:t>
      </w:r>
      <w:r>
        <w:rPr>
          <w:rFonts w:hint="eastAsia" w:cs="Calibri" w:asciiTheme="minorEastAsia" w:hAnsiTheme="minorEastAsia" w:eastAsiaTheme="minorEastAsia"/>
          <w:color w:val="000000"/>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检查数量：按灯具总数抽查10%，且不得少于1套。</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pPr>
        <w:pStyle w:val="41"/>
        <w:numPr>
          <w:ilvl w:val="0"/>
          <w:numId w:val="140"/>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透光材料采用玻璃罩或其他物质</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破损后会造成人员伤害</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的吊装灯具，如安装在人员密集场所，应采取防止物质坠落或破碎后向下溅落的措施。</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177" w:name="_Toc136868058"/>
      <w:bookmarkStart w:id="178" w:name="_Toc137216252"/>
      <w:bookmarkStart w:id="179" w:name="_Toc136869093"/>
      <w:bookmarkStart w:id="180" w:name="_Toc124168185"/>
      <w:r>
        <w:rPr>
          <w:rFonts w:asciiTheme="minorEastAsia" w:hAnsiTheme="minorEastAsia" w:eastAsiaTheme="minorEastAsia"/>
          <w:sz w:val="24"/>
          <w:szCs w:val="24"/>
        </w:rPr>
        <w:t xml:space="preserve">7.2 </w:t>
      </w:r>
      <w:r>
        <w:rPr>
          <w:rFonts w:hint="eastAsia" w:asciiTheme="minorEastAsia" w:hAnsiTheme="minorEastAsia" w:eastAsiaTheme="minorEastAsia"/>
          <w:sz w:val="24"/>
          <w:szCs w:val="24"/>
        </w:rPr>
        <w:t>开关、插座、风扇安装</w:t>
      </w:r>
      <w:bookmarkEnd w:id="177"/>
      <w:bookmarkEnd w:id="178"/>
      <w:bookmarkEnd w:id="179"/>
      <w:bookmarkEnd w:id="180"/>
    </w:p>
    <w:p>
      <w:pPr>
        <w:pStyle w:val="4"/>
        <w:spacing w:before="120" w:beforeLines="50" w:after="120" w:afterLines="50"/>
        <w:rPr>
          <w:rFonts w:asciiTheme="minorEastAsia" w:hAnsiTheme="minorEastAsia" w:eastAsiaTheme="minorEastAsia"/>
          <w:sz w:val="21"/>
          <w:szCs w:val="21"/>
        </w:rPr>
      </w:pPr>
      <w:bookmarkStart w:id="181" w:name="_Toc124168186"/>
      <w:r>
        <w:t>I</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主控项目</w:t>
      </w:r>
      <w:bookmarkEnd w:id="181"/>
    </w:p>
    <w:p>
      <w:pPr>
        <w:pStyle w:val="41"/>
        <w:numPr>
          <w:ilvl w:val="0"/>
          <w:numId w:val="164"/>
        </w:numPr>
        <w:spacing w:line="360" w:lineRule="auto"/>
        <w:ind w:left="0" w:firstLine="0" w:firstLineChars="0"/>
        <w:rPr>
          <w:rFonts w:cs="Calibri" w:asciiTheme="minorEastAsia" w:hAnsiTheme="minorEastAsia" w:eastAsiaTheme="minorEastAsia"/>
          <w:szCs w:val="21"/>
        </w:rPr>
      </w:pPr>
      <w:r>
        <w:rPr>
          <w:rFonts w:hint="eastAsia" w:cs="Calibri" w:asciiTheme="minorEastAsia" w:hAnsiTheme="minorEastAsia" w:eastAsiaTheme="minorEastAsia"/>
          <w:szCs w:val="21"/>
        </w:rPr>
        <w:t>交流、直流或不同电压等级的插座安装在同一场所时应有明显的区别，插座不得互换；配套的插头应按交流、直流或不同电压等级区别使用。</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检查数量：按每检验批的插座数量抽查20%，且不得少于1个。</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检查方法：观察检查并用插头进行试插检查。</w:t>
      </w:r>
    </w:p>
    <w:p>
      <w:pPr>
        <w:pStyle w:val="41"/>
        <w:numPr>
          <w:ilvl w:val="0"/>
          <w:numId w:val="164"/>
        </w:numPr>
        <w:spacing w:line="360" w:lineRule="auto"/>
        <w:ind w:left="0" w:firstLine="0" w:firstLineChars="0"/>
        <w:rPr>
          <w:rFonts w:cs="Calibri" w:asciiTheme="minorEastAsia" w:hAnsiTheme="minorEastAsia" w:eastAsiaTheme="minorEastAsia"/>
          <w:szCs w:val="21"/>
        </w:rPr>
      </w:pPr>
      <w:r>
        <w:rPr>
          <w:rFonts w:hint="eastAsia" w:cs="Calibri" w:asciiTheme="minorEastAsia" w:hAnsiTheme="minorEastAsia" w:eastAsiaTheme="minorEastAsia"/>
          <w:szCs w:val="21"/>
        </w:rPr>
        <w:t>不间断电源插座及应急电源插座应设置标识。</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检查数量：按插座总数抽查10%，且不得少于1套。</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pPr>
        <w:pStyle w:val="41"/>
        <w:numPr>
          <w:ilvl w:val="0"/>
          <w:numId w:val="164"/>
        </w:numPr>
        <w:spacing w:line="360" w:lineRule="auto"/>
        <w:ind w:left="0" w:firstLine="0" w:firstLineChars="0"/>
        <w:rPr>
          <w:rFonts w:cs="Calibri" w:asciiTheme="minorEastAsia" w:hAnsiTheme="minorEastAsia" w:eastAsiaTheme="minorEastAsia"/>
          <w:szCs w:val="21"/>
        </w:rPr>
      </w:pPr>
      <w:r>
        <w:rPr>
          <w:rFonts w:hint="eastAsia" w:cs="Calibri" w:asciiTheme="minorEastAsia" w:hAnsiTheme="minorEastAsia" w:eastAsiaTheme="minorEastAsia"/>
          <w:szCs w:val="21"/>
        </w:rPr>
        <w:t>插座接线应符合下列规定：</w:t>
      </w:r>
    </w:p>
    <w:p>
      <w:pPr>
        <w:pStyle w:val="41"/>
        <w:numPr>
          <w:ilvl w:val="1"/>
          <w:numId w:val="165"/>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对于单相两孔插座，面对插座的右孔或上孔应与相线连接，左孔或下孔应与中性导体（N）连接；对于单相三孔插座，面对插座的右孔应与相线连接，左孔应与中性导体（N）连接。</w:t>
      </w:r>
    </w:p>
    <w:p>
      <w:pPr>
        <w:pStyle w:val="41"/>
        <w:numPr>
          <w:ilvl w:val="1"/>
          <w:numId w:val="165"/>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单相三孔、三相四孔及三相五孔插座的保护接地导体（PE）应接在上孔；插座的保护接地导体端子不得与中性导体端子连接；同一场所的三相插座，其接线的相序应一致。</w:t>
      </w:r>
    </w:p>
    <w:p>
      <w:pPr>
        <w:pStyle w:val="41"/>
        <w:numPr>
          <w:ilvl w:val="1"/>
          <w:numId w:val="165"/>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保护接地导体（PE）在插座之间不得串联连接。</w:t>
      </w:r>
    </w:p>
    <w:p>
      <w:pPr>
        <w:pStyle w:val="41"/>
        <w:numPr>
          <w:ilvl w:val="1"/>
          <w:numId w:val="165"/>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相线与中性导体（N）不应利用插座本体的接线端子转接供电。</w:t>
      </w:r>
    </w:p>
    <w:p>
      <w:pPr>
        <w:spacing w:line="360" w:lineRule="auto"/>
        <w:ind w:left="-284" w:firstLine="594" w:firstLineChars="283"/>
        <w:rPr>
          <w:rFonts w:asciiTheme="minorEastAsia" w:hAnsiTheme="minorEastAsia" w:eastAsiaTheme="minorEastAsia"/>
          <w:szCs w:val="21"/>
        </w:rPr>
      </w:pPr>
      <w:r>
        <w:rPr>
          <w:rFonts w:hint="eastAsia" w:asciiTheme="minorEastAsia" w:hAnsiTheme="minorEastAsia" w:eastAsiaTheme="minorEastAsia"/>
          <w:szCs w:val="21"/>
        </w:rPr>
        <w:t>检查数量：按每检验批的插座型号各抽查5%，且均不得少于1套。</w:t>
      </w:r>
    </w:p>
    <w:p>
      <w:pPr>
        <w:spacing w:line="360" w:lineRule="auto"/>
        <w:ind w:left="-284" w:firstLine="594" w:firstLineChars="283"/>
        <w:rPr>
          <w:rFonts w:asciiTheme="minorEastAsia" w:hAnsiTheme="minorEastAsia" w:eastAsiaTheme="minorEastAsia"/>
          <w:szCs w:val="21"/>
        </w:rPr>
      </w:pPr>
      <w:r>
        <w:rPr>
          <w:rFonts w:hint="eastAsia" w:asciiTheme="minorEastAsia" w:hAnsiTheme="minorEastAsia" w:eastAsiaTheme="minorEastAsia"/>
          <w:szCs w:val="21"/>
        </w:rPr>
        <w:t>检查方法；观察检查并用专用测试工具检查。</w:t>
      </w:r>
    </w:p>
    <w:p>
      <w:pPr>
        <w:pStyle w:val="41"/>
        <w:numPr>
          <w:ilvl w:val="0"/>
          <w:numId w:val="164"/>
        </w:numPr>
        <w:spacing w:line="360" w:lineRule="auto"/>
        <w:ind w:left="0" w:firstLine="0" w:firstLineChars="0"/>
        <w:rPr>
          <w:rFonts w:cs="Calibri" w:asciiTheme="minorEastAsia" w:hAnsiTheme="minorEastAsia" w:eastAsiaTheme="minorEastAsia"/>
          <w:szCs w:val="21"/>
        </w:rPr>
      </w:pPr>
      <w:r>
        <w:rPr>
          <w:rFonts w:hint="eastAsia" w:cs="Calibri" w:asciiTheme="minorEastAsia" w:hAnsiTheme="minorEastAsia" w:eastAsiaTheme="minorEastAsia"/>
          <w:szCs w:val="21"/>
        </w:rPr>
        <w:t>照明开关安装应符合下列规定：</w:t>
      </w:r>
    </w:p>
    <w:p>
      <w:pPr>
        <w:pStyle w:val="41"/>
        <w:numPr>
          <w:ilvl w:val="1"/>
          <w:numId w:val="16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同一建（构）筑物开关宜采用同一系列的产品，单控开关的通断位置应一致，且应操作灵活、接触可靠；</w:t>
      </w:r>
    </w:p>
    <w:p>
      <w:pPr>
        <w:pStyle w:val="41"/>
        <w:numPr>
          <w:ilvl w:val="1"/>
          <w:numId w:val="16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相线应经开关控制；</w:t>
      </w:r>
    </w:p>
    <w:p>
      <w:pPr>
        <w:pStyle w:val="41"/>
        <w:numPr>
          <w:ilvl w:val="1"/>
          <w:numId w:val="16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紫外线杀菌灯的开关应有明显标识，并应与普通照明开关的位置分开。</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检查数量：第3款全数检查，第1款和第2款按每检验批的开关数量抽查5%，且按规格型号各不得少于1套。</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检查方法：观察检查、用电笔测试检查和手动开启开关检查。</w:t>
      </w:r>
    </w:p>
    <w:p>
      <w:pPr>
        <w:pStyle w:val="41"/>
        <w:numPr>
          <w:ilvl w:val="0"/>
          <w:numId w:val="164"/>
        </w:numPr>
        <w:spacing w:line="360" w:lineRule="auto"/>
        <w:ind w:left="0" w:firstLine="0" w:firstLineChars="0"/>
        <w:rPr>
          <w:rFonts w:cs="Calibri" w:asciiTheme="minorEastAsia" w:hAnsiTheme="minorEastAsia" w:eastAsiaTheme="minorEastAsia"/>
          <w:szCs w:val="21"/>
        </w:rPr>
      </w:pPr>
      <w:r>
        <w:rPr>
          <w:rFonts w:hint="eastAsia" w:cs="Calibri" w:asciiTheme="minorEastAsia" w:hAnsiTheme="minorEastAsia" w:eastAsiaTheme="minorEastAsia"/>
          <w:szCs w:val="21"/>
        </w:rPr>
        <w:t>温控器接线应正确，显示屏指示应正常，安装标高应符合设计要求。</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检查数量：按每检验批的数量抽查10%，且不得少于1套。</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pPr>
        <w:pStyle w:val="41"/>
        <w:numPr>
          <w:ilvl w:val="0"/>
          <w:numId w:val="164"/>
        </w:numPr>
        <w:spacing w:line="360" w:lineRule="auto"/>
        <w:ind w:left="0" w:firstLine="0" w:firstLineChars="0"/>
        <w:rPr>
          <w:rFonts w:cs="Calibri" w:asciiTheme="minorEastAsia" w:hAnsiTheme="minorEastAsia" w:eastAsiaTheme="minorEastAsia"/>
          <w:szCs w:val="21"/>
        </w:rPr>
      </w:pPr>
      <w:r>
        <w:rPr>
          <w:rFonts w:hint="eastAsia" w:cs="Calibri" w:asciiTheme="minorEastAsia" w:hAnsiTheme="minorEastAsia" w:eastAsiaTheme="minorEastAsia"/>
          <w:szCs w:val="21"/>
        </w:rPr>
        <w:t>吊扇安装应符合下列规定：</w:t>
      </w:r>
    </w:p>
    <w:p>
      <w:pPr>
        <w:pStyle w:val="41"/>
        <w:numPr>
          <w:ilvl w:val="1"/>
          <w:numId w:val="167"/>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吊扇挂钩安装应牢固，吊扇挂钩的直径不应小于吊扇挂销直径，且不应小于</w:t>
      </w:r>
      <w:r>
        <w:rPr>
          <w:rFonts w:hint="eastAsia" w:asciiTheme="minorEastAsia" w:hAnsiTheme="minorEastAsia" w:eastAsiaTheme="minorEastAsia"/>
          <w:color w:val="000000"/>
          <w:szCs w:val="21"/>
        </w:rPr>
        <w:t>8</w:t>
      </w:r>
      <w:r>
        <w:rPr>
          <w:rFonts w:hint="eastAsia" w:cs="仿宋" w:asciiTheme="minorEastAsia" w:hAnsiTheme="minorEastAsia" w:eastAsiaTheme="minorEastAsia"/>
          <w:color w:val="000000"/>
          <w:spacing w:val="0"/>
          <w:w w:val="15"/>
          <w:kern w:val="0"/>
          <w:szCs w:val="21"/>
          <w:fitText w:val="42" w:id="1215112239"/>
        </w:rPr>
        <w:t xml:space="preserve">　 </w:t>
      </w:r>
      <w:r>
        <w:rPr>
          <w:rFonts w:hint="eastAsia" w:cs="仿宋" w:asciiTheme="minorEastAsia" w:hAnsiTheme="minorEastAsia" w:eastAsiaTheme="minorEastAsia"/>
          <w:color w:val="000000"/>
          <w:spacing w:val="-17"/>
          <w:w w:val="15"/>
          <w:kern w:val="0"/>
          <w:szCs w:val="21"/>
          <w:fitText w:val="42" w:id="1215112239"/>
        </w:rPr>
        <w:t>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；挂钩销钉应有</w:t>
      </w:r>
      <w:r>
        <w:rPr>
          <w:rFonts w:hint="eastAsia" w:asciiTheme="minorEastAsia" w:hAnsiTheme="minorEastAsia" w:eastAsiaTheme="minorEastAsia"/>
          <w:color w:val="000000"/>
          <w:szCs w:val="21"/>
        </w:rPr>
        <w:t>防振</w:t>
      </w:r>
      <w:r>
        <w:rPr>
          <w:rFonts w:hint="eastAsia" w:asciiTheme="minorEastAsia" w:hAnsiTheme="minorEastAsia" w:eastAsiaTheme="minorEastAsia"/>
          <w:szCs w:val="21"/>
        </w:rPr>
        <w:t>橡胶垫；挂销的防松零件应齐全、可靠。</w:t>
      </w:r>
    </w:p>
    <w:p>
      <w:pPr>
        <w:pStyle w:val="41"/>
        <w:numPr>
          <w:ilvl w:val="1"/>
          <w:numId w:val="167"/>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吊扇扇叶距地高度不应小于</w:t>
      </w:r>
      <w:r>
        <w:rPr>
          <w:rFonts w:hint="eastAsia" w:asciiTheme="minorEastAsia" w:hAnsiTheme="minorEastAsia" w:eastAsiaTheme="minorEastAsia"/>
          <w:color w:val="000000"/>
          <w:szCs w:val="21"/>
        </w:rPr>
        <w:t>2.5</w:t>
      </w:r>
      <w:r>
        <w:rPr>
          <w:rFonts w:hint="eastAsia" w:cs="仿宋" w:asciiTheme="minorEastAsia" w:hAnsiTheme="minorEastAsia" w:eastAsiaTheme="minorEastAsia"/>
          <w:color w:val="000000"/>
          <w:spacing w:val="0"/>
          <w:w w:val="15"/>
          <w:kern w:val="0"/>
          <w:szCs w:val="21"/>
          <w:fitText w:val="42" w:id="532640370"/>
        </w:rPr>
        <w:t xml:space="preserve">　 </w:t>
      </w:r>
      <w:r>
        <w:rPr>
          <w:rFonts w:hint="eastAsia" w:cs="仿宋" w:asciiTheme="minorEastAsia" w:hAnsiTheme="minorEastAsia" w:eastAsiaTheme="minorEastAsia"/>
          <w:color w:val="000000"/>
          <w:spacing w:val="-17"/>
          <w:w w:val="15"/>
          <w:kern w:val="0"/>
          <w:szCs w:val="21"/>
          <w:fitText w:val="42" w:id="532640370"/>
        </w:rPr>
        <w:t>　</w:t>
      </w:r>
      <w:r>
        <w:rPr>
          <w:rFonts w:hint="eastAsia" w:asciiTheme="minorEastAsia" w:hAnsiTheme="minorEastAsia" w:eastAsiaTheme="minorEastAsia"/>
          <w:color w:val="000000"/>
          <w:szCs w:val="21"/>
        </w:rPr>
        <w:t>m。</w:t>
      </w:r>
    </w:p>
    <w:p>
      <w:pPr>
        <w:pStyle w:val="41"/>
        <w:numPr>
          <w:ilvl w:val="1"/>
          <w:numId w:val="167"/>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吊扇组装不应改变扇叶角度，扇叶的固定螺栓防松零件应齐全。</w:t>
      </w:r>
    </w:p>
    <w:p>
      <w:pPr>
        <w:pStyle w:val="41"/>
        <w:numPr>
          <w:ilvl w:val="1"/>
          <w:numId w:val="167"/>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吊杆间、吊杆与电机间螺纹连接，其啮合长度不应小于</w:t>
      </w:r>
      <w:r>
        <w:rPr>
          <w:rFonts w:hint="eastAsia" w:asciiTheme="minorEastAsia" w:hAnsiTheme="minorEastAsia" w:eastAsiaTheme="minorEastAsia"/>
          <w:color w:val="000000"/>
          <w:szCs w:val="21"/>
        </w:rPr>
        <w:t>20</w:t>
      </w:r>
      <w:r>
        <w:rPr>
          <w:rFonts w:hint="eastAsia" w:cs="仿宋" w:asciiTheme="minorEastAsia" w:hAnsiTheme="minorEastAsia" w:eastAsiaTheme="minorEastAsia"/>
          <w:color w:val="000000"/>
          <w:spacing w:val="0"/>
          <w:w w:val="15"/>
          <w:kern w:val="0"/>
          <w:szCs w:val="21"/>
          <w:fitText w:val="42" w:id="500262788"/>
        </w:rPr>
        <w:t xml:space="preserve">　 </w:t>
      </w:r>
      <w:r>
        <w:rPr>
          <w:rFonts w:hint="eastAsia" w:cs="仿宋" w:asciiTheme="minorEastAsia" w:hAnsiTheme="minorEastAsia" w:eastAsiaTheme="minorEastAsia"/>
          <w:color w:val="000000"/>
          <w:spacing w:val="-17"/>
          <w:w w:val="15"/>
          <w:kern w:val="0"/>
          <w:szCs w:val="21"/>
          <w:fitText w:val="42" w:id="500262788"/>
        </w:rPr>
        <w:t>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，且防松零件应齐全紧固。</w:t>
      </w:r>
    </w:p>
    <w:p>
      <w:pPr>
        <w:pStyle w:val="41"/>
        <w:numPr>
          <w:ilvl w:val="1"/>
          <w:numId w:val="167"/>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吊扇应接线正确，运转时扇叶应无明显颤动和异常声响。</w:t>
      </w:r>
    </w:p>
    <w:p>
      <w:pPr>
        <w:pStyle w:val="41"/>
        <w:numPr>
          <w:ilvl w:val="1"/>
          <w:numId w:val="167"/>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吊扇开关安装标高应符合设计要求。</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检查数量：按吊扇数量抽查5%，且不得少于1套。</w:t>
      </w:r>
    </w:p>
    <w:p>
      <w:pPr>
        <w:pStyle w:val="41"/>
        <w:spacing w:line="360" w:lineRule="auto"/>
        <w:rPr>
          <w:rFonts w:asciiTheme="minorEastAsia" w:hAnsiTheme="minorEastAsia" w:eastAsiaTheme="minorEastAsia"/>
          <w:szCs w:val="21"/>
        </w:rPr>
      </w:pPr>
      <w:r>
        <w:rPr>
          <w:rFonts w:hint="eastAsia" w:ascii="宋体" w:hAnsi="宋体" w:cs="宋体"/>
          <w:szCs w:val="21"/>
        </w:rPr>
        <w:t>检查</w:t>
      </w:r>
      <w:r>
        <w:rPr>
          <w:rFonts w:hint="eastAsia" w:asciiTheme="minorEastAsia" w:hAnsiTheme="minorEastAsia" w:eastAsiaTheme="minorEastAsia"/>
          <w:szCs w:val="21"/>
        </w:rPr>
        <w:t>方法：听觉检查、观察检查、尺量检查和卡尺检查。</w:t>
      </w:r>
    </w:p>
    <w:p>
      <w:pPr>
        <w:pStyle w:val="41"/>
        <w:numPr>
          <w:ilvl w:val="0"/>
          <w:numId w:val="164"/>
        </w:numPr>
        <w:spacing w:line="360" w:lineRule="auto"/>
        <w:ind w:left="0" w:firstLine="0" w:firstLineChars="0"/>
        <w:rPr>
          <w:rFonts w:cs="Calibri" w:asciiTheme="minorEastAsia" w:hAnsiTheme="minorEastAsia" w:eastAsiaTheme="minorEastAsia"/>
          <w:szCs w:val="21"/>
        </w:rPr>
      </w:pPr>
      <w:r>
        <w:rPr>
          <w:rFonts w:hint="eastAsia" w:cs="Calibri" w:asciiTheme="minorEastAsia" w:hAnsiTheme="minorEastAsia" w:eastAsiaTheme="minorEastAsia"/>
          <w:szCs w:val="21"/>
        </w:rPr>
        <w:t>壁扇安装应符合下列规定：</w:t>
      </w:r>
    </w:p>
    <w:p>
      <w:pPr>
        <w:pStyle w:val="41"/>
        <w:numPr>
          <w:ilvl w:val="1"/>
          <w:numId w:val="16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壁扇底座应采用膨胀螺栓或焊接固定，固定应牢固可靠；膨胀螺栓的数量不应少于3个，且直径不应小于</w:t>
      </w:r>
      <w:r>
        <w:rPr>
          <w:rFonts w:hint="eastAsia" w:asciiTheme="minorEastAsia" w:hAnsiTheme="minorEastAsia" w:eastAsiaTheme="minorEastAsia"/>
          <w:color w:val="000000"/>
          <w:szCs w:val="21"/>
        </w:rPr>
        <w:t>8</w:t>
      </w:r>
      <w:r>
        <w:rPr>
          <w:rFonts w:hint="eastAsia" w:cs="仿宋" w:asciiTheme="minorEastAsia" w:hAnsiTheme="minorEastAsia" w:eastAsiaTheme="minorEastAsia"/>
          <w:color w:val="000000"/>
          <w:spacing w:val="0"/>
          <w:w w:val="15"/>
          <w:kern w:val="0"/>
          <w:szCs w:val="21"/>
          <w:fitText w:val="42" w:id="556430605"/>
        </w:rPr>
        <w:t xml:space="preserve">　 </w:t>
      </w:r>
      <w:r>
        <w:rPr>
          <w:rFonts w:hint="eastAsia" w:cs="仿宋" w:asciiTheme="minorEastAsia" w:hAnsiTheme="minorEastAsia" w:eastAsiaTheme="minorEastAsia"/>
          <w:color w:val="000000"/>
          <w:spacing w:val="-17"/>
          <w:w w:val="15"/>
          <w:kern w:val="0"/>
          <w:szCs w:val="21"/>
          <w:fitText w:val="42" w:id="556430605"/>
        </w:rPr>
        <w:t>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w:t>
      </w:r>
    </w:p>
    <w:p>
      <w:pPr>
        <w:pStyle w:val="41"/>
        <w:numPr>
          <w:ilvl w:val="1"/>
          <w:numId w:val="16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防护罩应扣紧、固定可靠，当运转时扇叶和防护罩应无明显颤动和异常声响。</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检查数量：按壁扇数量抽查5%，且不得少于1套。</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检查方法：听觉检查、观察检查和手感检查。</w:t>
      </w:r>
    </w:p>
    <w:p>
      <w:pPr>
        <w:pStyle w:val="4"/>
        <w:spacing w:before="120" w:beforeLines="50" w:after="120" w:afterLines="50"/>
        <w:rPr>
          <w:rFonts w:asciiTheme="minorEastAsia" w:hAnsiTheme="minorEastAsia" w:eastAsiaTheme="minorEastAsia"/>
          <w:sz w:val="21"/>
          <w:szCs w:val="21"/>
        </w:rPr>
      </w:pPr>
      <w:bookmarkStart w:id="182" w:name="_Toc124168187"/>
      <w:r>
        <w:t>Ⅱ</w:t>
      </w:r>
      <w:r>
        <w:rPr>
          <w:rFonts w:hint="eastAsia" w:asciiTheme="minorEastAsia" w:hAnsiTheme="minorEastAsia" w:eastAsiaTheme="minorEastAsia"/>
          <w:sz w:val="21"/>
          <w:szCs w:val="21"/>
        </w:rPr>
        <w:t xml:space="preserve"> 一般项目</w:t>
      </w:r>
      <w:bookmarkEnd w:id="182"/>
    </w:p>
    <w:p>
      <w:pPr>
        <w:pStyle w:val="41"/>
        <w:numPr>
          <w:ilvl w:val="0"/>
          <w:numId w:val="164"/>
        </w:numPr>
        <w:spacing w:line="360" w:lineRule="auto"/>
        <w:ind w:left="0" w:firstLine="0" w:firstLineChars="0"/>
        <w:rPr>
          <w:rFonts w:cs="Calibri" w:asciiTheme="minorEastAsia" w:hAnsiTheme="minorEastAsia" w:eastAsiaTheme="minorEastAsia"/>
          <w:szCs w:val="21"/>
        </w:rPr>
      </w:pPr>
      <w:r>
        <w:rPr>
          <w:rFonts w:hint="eastAsia" w:cs="Calibri" w:asciiTheme="minorEastAsia" w:hAnsiTheme="minorEastAsia" w:eastAsiaTheme="minorEastAsia"/>
          <w:szCs w:val="21"/>
        </w:rPr>
        <w:t>暗装的插座盒或开关盒应与饰面平齐，盒内干净整洁，无锈蚀，绝缘导线不得裸露在装饰层内；面板应紧贴饰面、四周无缝隙、安装牢固，表面光滑、无碎裂、划伤，装饰帽（板）齐全。</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检查数量：按每检验批的盒子数量抽查10%，且不得少于1个。</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检查方法：观察检查和手感检查。</w:t>
      </w:r>
    </w:p>
    <w:p>
      <w:pPr>
        <w:pStyle w:val="41"/>
        <w:numPr>
          <w:ilvl w:val="0"/>
          <w:numId w:val="164"/>
        </w:numPr>
        <w:spacing w:line="360" w:lineRule="auto"/>
        <w:ind w:left="0" w:firstLine="0" w:firstLineChars="0"/>
        <w:rPr>
          <w:rFonts w:cs="Calibri" w:asciiTheme="minorEastAsia" w:hAnsiTheme="minorEastAsia" w:eastAsiaTheme="minorEastAsia"/>
          <w:szCs w:val="21"/>
        </w:rPr>
      </w:pPr>
      <w:r>
        <w:rPr>
          <w:rFonts w:hint="eastAsia" w:cs="Calibri" w:asciiTheme="minorEastAsia" w:hAnsiTheme="minorEastAsia" w:eastAsiaTheme="minorEastAsia"/>
          <w:szCs w:val="21"/>
        </w:rPr>
        <w:t>插座安装应符合下列规定：</w:t>
      </w:r>
    </w:p>
    <w:p>
      <w:pPr>
        <w:pStyle w:val="41"/>
        <w:numPr>
          <w:ilvl w:val="1"/>
          <w:numId w:val="16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插高度应符合设计要求，同一室内相同规格并列安装的插座高度宜一致；</w:t>
      </w:r>
    </w:p>
    <w:p>
      <w:pPr>
        <w:pStyle w:val="41"/>
        <w:numPr>
          <w:ilvl w:val="1"/>
          <w:numId w:val="16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地面插座应紧贴饰面，盖板应固定牢固、密封良好。</w:t>
      </w:r>
    </w:p>
    <w:p>
      <w:pPr>
        <w:pStyle w:val="41"/>
        <w:numPr>
          <w:ilvl w:val="1"/>
          <w:numId w:val="16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室外插座应做防水盒，且防水盒固定牢靠。</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检查数量：按每个检验批的插座总数抽查10%，且按型号各不得少于1个。</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检查方法：观察检查并用尺量和手感检查。</w:t>
      </w:r>
    </w:p>
    <w:p>
      <w:pPr>
        <w:pStyle w:val="41"/>
        <w:numPr>
          <w:ilvl w:val="0"/>
          <w:numId w:val="164"/>
        </w:numPr>
        <w:spacing w:line="360" w:lineRule="auto"/>
        <w:ind w:left="0" w:firstLine="0" w:firstLineChars="0"/>
        <w:rPr>
          <w:rFonts w:cs="Calibri" w:asciiTheme="minorEastAsia" w:hAnsiTheme="minorEastAsia" w:eastAsiaTheme="minorEastAsia"/>
          <w:szCs w:val="21"/>
        </w:rPr>
      </w:pPr>
      <w:r>
        <w:rPr>
          <w:rFonts w:hint="eastAsia" w:cs="Calibri" w:asciiTheme="minorEastAsia" w:hAnsiTheme="minorEastAsia" w:eastAsiaTheme="minorEastAsia"/>
          <w:szCs w:val="21"/>
        </w:rPr>
        <w:t>照明开关安装应符合下列规定：</w:t>
      </w:r>
    </w:p>
    <w:p>
      <w:pPr>
        <w:pStyle w:val="41"/>
        <w:numPr>
          <w:ilvl w:val="1"/>
          <w:numId w:val="17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照明开关安装高度应符合设计要求；</w:t>
      </w:r>
    </w:p>
    <w:p>
      <w:pPr>
        <w:pStyle w:val="41"/>
        <w:numPr>
          <w:ilvl w:val="1"/>
          <w:numId w:val="17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开关安装位置应便于操作，开关边缘距门框边缘的距离宜为</w:t>
      </w:r>
      <w:r>
        <w:rPr>
          <w:rFonts w:hint="eastAsia" w:asciiTheme="minorEastAsia" w:hAnsiTheme="minorEastAsia" w:eastAsiaTheme="minorEastAsia"/>
          <w:color w:val="000000"/>
          <w:szCs w:val="21"/>
        </w:rPr>
        <w:t>0.15</w:t>
      </w:r>
      <w:r>
        <w:rPr>
          <w:rFonts w:hint="eastAsia" w:cs="仿宋" w:asciiTheme="minorEastAsia" w:hAnsiTheme="minorEastAsia" w:eastAsiaTheme="minorEastAsia"/>
          <w:color w:val="000000"/>
          <w:spacing w:val="0"/>
          <w:w w:val="15"/>
          <w:kern w:val="0"/>
          <w:szCs w:val="21"/>
          <w:fitText w:val="42" w:id="595023960"/>
        </w:rPr>
        <w:t xml:space="preserve">　 </w:t>
      </w:r>
      <w:r>
        <w:rPr>
          <w:rFonts w:hint="eastAsia" w:cs="仿宋" w:asciiTheme="minorEastAsia" w:hAnsiTheme="minorEastAsia" w:eastAsiaTheme="minorEastAsia"/>
          <w:color w:val="000000"/>
          <w:spacing w:val="-17"/>
          <w:w w:val="15"/>
          <w:kern w:val="0"/>
          <w:szCs w:val="21"/>
          <w:fitText w:val="42" w:id="595023960"/>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0.20</w:t>
      </w:r>
      <w:r>
        <w:rPr>
          <w:rFonts w:hint="eastAsia" w:cs="仿宋" w:asciiTheme="minorEastAsia" w:hAnsiTheme="minorEastAsia" w:eastAsiaTheme="minorEastAsia"/>
          <w:color w:val="000000"/>
          <w:spacing w:val="0"/>
          <w:w w:val="15"/>
          <w:kern w:val="0"/>
          <w:szCs w:val="21"/>
          <w:fitText w:val="42" w:id="33894820"/>
        </w:rPr>
        <w:t xml:space="preserve">　 </w:t>
      </w:r>
      <w:r>
        <w:rPr>
          <w:rFonts w:hint="eastAsia" w:cs="仿宋" w:asciiTheme="minorEastAsia" w:hAnsiTheme="minorEastAsia" w:eastAsiaTheme="minorEastAsia"/>
          <w:color w:val="000000"/>
          <w:spacing w:val="-17"/>
          <w:w w:val="15"/>
          <w:kern w:val="0"/>
          <w:szCs w:val="21"/>
          <w:fitText w:val="42" w:id="33894820"/>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w:t>
      </w:r>
    </w:p>
    <w:p>
      <w:pPr>
        <w:pStyle w:val="41"/>
        <w:numPr>
          <w:ilvl w:val="1"/>
          <w:numId w:val="17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相同型号并列安装高度宜一致，并列安装的开关的相邻间距不宜小于</w:t>
      </w:r>
      <w:r>
        <w:rPr>
          <w:rFonts w:hint="eastAsia" w:asciiTheme="minorEastAsia" w:hAnsiTheme="minorEastAsia" w:eastAsiaTheme="minorEastAsia"/>
          <w:color w:val="000000"/>
          <w:szCs w:val="21"/>
        </w:rPr>
        <w:t>20</w:t>
      </w:r>
      <w:r>
        <w:rPr>
          <w:rFonts w:hint="eastAsia" w:cs="仿宋" w:asciiTheme="minorEastAsia" w:hAnsiTheme="minorEastAsia" w:eastAsiaTheme="minorEastAsia"/>
          <w:color w:val="000000"/>
          <w:spacing w:val="0"/>
          <w:w w:val="15"/>
          <w:kern w:val="0"/>
          <w:szCs w:val="21"/>
          <w:fitText w:val="42" w:id="1220042311"/>
        </w:rPr>
        <w:t xml:space="preserve">　 </w:t>
      </w:r>
      <w:r>
        <w:rPr>
          <w:rFonts w:hint="eastAsia" w:cs="仿宋" w:asciiTheme="minorEastAsia" w:hAnsiTheme="minorEastAsia" w:eastAsiaTheme="minorEastAsia"/>
          <w:color w:val="000000"/>
          <w:spacing w:val="-17"/>
          <w:w w:val="15"/>
          <w:kern w:val="0"/>
          <w:szCs w:val="21"/>
          <w:fitText w:val="42" w:id="1220042311"/>
        </w:rPr>
        <w:t>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w:t>
      </w:r>
    </w:p>
    <w:p>
      <w:pPr>
        <w:pStyle w:val="41"/>
        <w:numPr>
          <w:ilvl w:val="1"/>
          <w:numId w:val="17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公共场所无障碍卫生间开关、插座、紧急呼叫按钮安装高度应符合设计要求，设计无要求时安装高度0.85~</w:t>
      </w:r>
      <w:r>
        <w:rPr>
          <w:rFonts w:hint="eastAsia" w:asciiTheme="minorEastAsia" w:hAnsiTheme="minorEastAsia" w:eastAsiaTheme="minorEastAsia"/>
          <w:color w:val="000000"/>
          <w:szCs w:val="21"/>
        </w:rPr>
        <w:t>1</w:t>
      </w:r>
      <w:r>
        <w:rPr>
          <w:rFonts w:hint="eastAsia" w:cs="仿宋" w:asciiTheme="minorEastAsia" w:hAnsiTheme="minorEastAsia" w:eastAsiaTheme="minorEastAsia"/>
          <w:color w:val="000000"/>
          <w:spacing w:val="0"/>
          <w:w w:val="15"/>
          <w:kern w:val="0"/>
          <w:szCs w:val="21"/>
          <w:fitText w:val="42" w:id="2035836679"/>
        </w:rPr>
        <w:t xml:space="preserve">　 </w:t>
      </w:r>
      <w:r>
        <w:rPr>
          <w:rFonts w:hint="eastAsia" w:cs="仿宋" w:asciiTheme="minorEastAsia" w:hAnsiTheme="minorEastAsia" w:eastAsiaTheme="minorEastAsia"/>
          <w:color w:val="000000"/>
          <w:spacing w:val="-17"/>
          <w:w w:val="15"/>
          <w:kern w:val="0"/>
          <w:szCs w:val="21"/>
          <w:fitText w:val="42" w:id="2035836679"/>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w:t>
      </w:r>
    </w:p>
    <w:p>
      <w:pPr>
        <w:pStyle w:val="41"/>
        <w:numPr>
          <w:ilvl w:val="1"/>
          <w:numId w:val="170"/>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开关安装于室外、卫生间、淋雨间以及潮湿环境时应设有防水措施。</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检查数量：按每检验批的开关数量抽查10%，且不得少于1个。</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检查方法：观察检查并用尺量检查。</w:t>
      </w:r>
    </w:p>
    <w:p>
      <w:pPr>
        <w:pStyle w:val="41"/>
        <w:numPr>
          <w:ilvl w:val="0"/>
          <w:numId w:val="164"/>
        </w:numPr>
        <w:spacing w:line="360" w:lineRule="auto"/>
        <w:ind w:left="0" w:firstLine="0" w:firstLineChars="0"/>
        <w:rPr>
          <w:rFonts w:cs="Calibri" w:asciiTheme="minorEastAsia" w:hAnsiTheme="minorEastAsia" w:eastAsiaTheme="minorEastAsia"/>
          <w:szCs w:val="21"/>
        </w:rPr>
      </w:pPr>
      <w:r>
        <w:rPr>
          <w:rFonts w:hint="eastAsia" w:cs="Calibri" w:asciiTheme="minorEastAsia" w:hAnsiTheme="minorEastAsia" w:eastAsiaTheme="minorEastAsia"/>
          <w:szCs w:val="21"/>
        </w:rPr>
        <w:t>温控器安装高度应符合设计要求；同一室内并列安装的温控器高度宜一致，且控制有序不错位。</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检查数量：按每检验批数量抽查10%，且不得少于1个。</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检查方法：观察检查并用尺量检查。</w:t>
      </w:r>
    </w:p>
    <w:p>
      <w:pPr>
        <w:pStyle w:val="41"/>
        <w:numPr>
          <w:ilvl w:val="0"/>
          <w:numId w:val="164"/>
        </w:numPr>
        <w:spacing w:line="360" w:lineRule="auto"/>
        <w:ind w:left="0" w:firstLine="0" w:firstLineChars="0"/>
        <w:rPr>
          <w:rFonts w:cs="Calibri" w:asciiTheme="minorEastAsia" w:hAnsiTheme="minorEastAsia" w:eastAsiaTheme="minorEastAsia"/>
          <w:szCs w:val="21"/>
        </w:rPr>
      </w:pPr>
      <w:r>
        <w:rPr>
          <w:rFonts w:hint="eastAsia" w:cs="Calibri" w:asciiTheme="minorEastAsia" w:hAnsiTheme="minorEastAsia" w:eastAsiaTheme="minorEastAsia"/>
          <w:szCs w:val="21"/>
        </w:rPr>
        <w:t>吊扇安装应符合下列规定：</w:t>
      </w:r>
    </w:p>
    <w:p>
      <w:pPr>
        <w:pStyle w:val="41"/>
        <w:numPr>
          <w:ilvl w:val="1"/>
          <w:numId w:val="17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吊扇涂层应完整、表面无划痕、无污染，吊杆上、下扣碗安装应牢固到位；</w:t>
      </w:r>
    </w:p>
    <w:p>
      <w:pPr>
        <w:pStyle w:val="41"/>
        <w:numPr>
          <w:ilvl w:val="1"/>
          <w:numId w:val="17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同一室内并列安装的吊扇开关高度宜一致，并应控制有序、不错位。</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检查数量：按吊扇数量抽查10%，且不得少于1台。</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检查方法：观察检查，用尺量和手感检查。</w:t>
      </w:r>
    </w:p>
    <w:p>
      <w:pPr>
        <w:pStyle w:val="41"/>
        <w:numPr>
          <w:ilvl w:val="0"/>
          <w:numId w:val="164"/>
        </w:numPr>
        <w:spacing w:line="360" w:lineRule="auto"/>
        <w:ind w:left="0" w:firstLine="0" w:firstLineChars="0"/>
        <w:rPr>
          <w:rFonts w:cs="Calibri" w:asciiTheme="minorEastAsia" w:hAnsiTheme="minorEastAsia" w:eastAsiaTheme="minorEastAsia"/>
          <w:szCs w:val="21"/>
        </w:rPr>
      </w:pPr>
      <w:r>
        <w:rPr>
          <w:rFonts w:hint="eastAsia" w:cs="Calibri" w:asciiTheme="minorEastAsia" w:hAnsiTheme="minorEastAsia" w:eastAsiaTheme="minorEastAsia"/>
          <w:szCs w:val="21"/>
        </w:rPr>
        <w:t>壁扇安装应符合下列规定：</w:t>
      </w:r>
    </w:p>
    <w:p>
      <w:pPr>
        <w:pStyle w:val="41"/>
        <w:numPr>
          <w:ilvl w:val="1"/>
          <w:numId w:val="17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壁扇安装高度应符合设计要求；</w:t>
      </w:r>
    </w:p>
    <w:p>
      <w:pPr>
        <w:pStyle w:val="41"/>
        <w:numPr>
          <w:ilvl w:val="1"/>
          <w:numId w:val="172"/>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涂层应完整、表面无划痕、无污染，防护罩应无变形。</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检查数量：按壁扇数量抽查10%，且不得少于1台。</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检查方法：观察检查并用尺量检查。</w:t>
      </w:r>
    </w:p>
    <w:p>
      <w:pPr>
        <w:pStyle w:val="41"/>
        <w:numPr>
          <w:ilvl w:val="0"/>
          <w:numId w:val="164"/>
        </w:numPr>
        <w:spacing w:line="360" w:lineRule="auto"/>
        <w:ind w:left="0" w:firstLine="0" w:firstLineChars="0"/>
        <w:rPr>
          <w:rFonts w:cs="Calibri" w:asciiTheme="minorEastAsia" w:hAnsiTheme="minorEastAsia" w:eastAsiaTheme="minorEastAsia"/>
          <w:szCs w:val="21"/>
        </w:rPr>
      </w:pPr>
      <w:r>
        <w:rPr>
          <w:rFonts w:hint="eastAsia" w:cs="Calibri" w:asciiTheme="minorEastAsia" w:hAnsiTheme="minorEastAsia" w:eastAsiaTheme="minorEastAsia"/>
          <w:szCs w:val="21"/>
        </w:rPr>
        <w:t>6换气扇安装应紧贴饰面、固定可靠。无专人管理场所的换气扇宜设置定时开关。</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检查数量：按换气扇数量抽查10%，且不得少于1台。</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检查方法：观察检查和手感检查。</w:t>
      </w:r>
    </w:p>
    <w:p>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183" w:name="_Toc137216253"/>
      <w:bookmarkStart w:id="184" w:name="_Toc136868059"/>
      <w:bookmarkStart w:id="185" w:name="_Toc124168188"/>
      <w:bookmarkStart w:id="186" w:name="_Toc136869094"/>
      <w:r>
        <w:rPr>
          <w:rFonts w:hint="eastAsia" w:asciiTheme="minorEastAsia" w:hAnsiTheme="minorEastAsia" w:eastAsiaTheme="minorEastAsia"/>
          <w:sz w:val="24"/>
          <w:szCs w:val="24"/>
        </w:rPr>
        <w:t>7</w:t>
      </w:r>
      <w:r>
        <w:rPr>
          <w:rFonts w:asciiTheme="minorEastAsia" w:hAnsiTheme="minorEastAsia" w:eastAsiaTheme="minorEastAsia"/>
          <w:sz w:val="24"/>
          <w:szCs w:val="24"/>
        </w:rPr>
        <w:t xml:space="preserve">.3 </w:t>
      </w:r>
      <w:r>
        <w:rPr>
          <w:rFonts w:hint="eastAsia" w:asciiTheme="minorEastAsia" w:hAnsiTheme="minorEastAsia" w:eastAsiaTheme="minorEastAsia"/>
          <w:sz w:val="24"/>
          <w:szCs w:val="24"/>
        </w:rPr>
        <w:t>建筑物通电试运行</w:t>
      </w:r>
      <w:bookmarkEnd w:id="183"/>
      <w:bookmarkEnd w:id="184"/>
      <w:bookmarkEnd w:id="185"/>
      <w:bookmarkEnd w:id="186"/>
    </w:p>
    <w:p>
      <w:pPr>
        <w:pStyle w:val="4"/>
        <w:spacing w:before="120" w:beforeLines="50" w:after="120" w:afterLines="50"/>
        <w:rPr>
          <w:rFonts w:asciiTheme="minorEastAsia" w:hAnsiTheme="minorEastAsia" w:eastAsiaTheme="minorEastAsia"/>
          <w:sz w:val="21"/>
          <w:szCs w:val="21"/>
        </w:rPr>
      </w:pPr>
      <w:bookmarkStart w:id="187" w:name="_Toc124168189"/>
      <w:r>
        <w:t>I</w:t>
      </w:r>
      <w:r>
        <w:rPr>
          <w:rFonts w:hint="eastAsia" w:asciiTheme="minorEastAsia" w:hAnsiTheme="minorEastAsia" w:eastAsiaTheme="minorEastAsia"/>
          <w:sz w:val="21"/>
          <w:szCs w:val="21"/>
        </w:rPr>
        <w:t xml:space="preserve"> 主控项目</w:t>
      </w:r>
      <w:bookmarkEnd w:id="187"/>
    </w:p>
    <w:p>
      <w:pPr>
        <w:pStyle w:val="41"/>
        <w:numPr>
          <w:ilvl w:val="0"/>
          <w:numId w:val="173"/>
        </w:numPr>
        <w:spacing w:line="360" w:lineRule="auto"/>
        <w:ind w:left="0" w:firstLine="0" w:firstLineChars="0"/>
        <w:rPr>
          <w:rFonts w:cs="Calibri" w:asciiTheme="minorEastAsia" w:hAnsiTheme="minorEastAsia" w:eastAsiaTheme="minorEastAsia"/>
          <w:szCs w:val="21"/>
        </w:rPr>
      </w:pPr>
      <w:r>
        <w:rPr>
          <w:rFonts w:hint="eastAsia" w:cs="Calibri" w:asciiTheme="minorEastAsia" w:hAnsiTheme="minorEastAsia" w:eastAsiaTheme="minorEastAsia"/>
          <w:szCs w:val="21"/>
        </w:rPr>
        <w:t>灯具回路控制应符合设计要求，且应与照明控制柜、箱（盘）及回路的标识一致；开关宜与灯具控制顺序相对应，风扇的转向及调速开关应正常；剩余电流动作保护装置应动作准确。</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检查数量：按每检验批的末级照明配电箱数量抽查20%，且不得少于1台配电箱及相应回路。</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检查方法：核对技术文件，观察检查并操作检查。</w:t>
      </w:r>
    </w:p>
    <w:p>
      <w:pPr>
        <w:pStyle w:val="41"/>
        <w:numPr>
          <w:ilvl w:val="0"/>
          <w:numId w:val="173"/>
        </w:numPr>
        <w:spacing w:line="360" w:lineRule="auto"/>
        <w:ind w:left="0" w:firstLine="0" w:firstLineChars="0"/>
        <w:rPr>
          <w:rFonts w:cs="Calibri" w:asciiTheme="minorEastAsia" w:hAnsiTheme="minorEastAsia" w:eastAsiaTheme="minorEastAsia"/>
          <w:szCs w:val="21"/>
        </w:rPr>
      </w:pPr>
      <w:r>
        <w:rPr>
          <w:rFonts w:hint="eastAsia" w:cs="Calibri" w:asciiTheme="minorEastAsia" w:hAnsiTheme="minorEastAsia" w:eastAsiaTheme="minorEastAsia"/>
          <w:szCs w:val="21"/>
        </w:rPr>
        <w:t>公共建筑照明系统通电连续试运行时间应为</w:t>
      </w:r>
      <w:r>
        <w:rPr>
          <w:rFonts w:hint="eastAsia" w:cs="Calibri" w:asciiTheme="minorEastAsia" w:hAnsiTheme="minorEastAsia" w:eastAsiaTheme="minorEastAsia"/>
          <w:color w:val="000000"/>
          <w:szCs w:val="21"/>
        </w:rPr>
        <w:t>24</w:t>
      </w:r>
      <w:r>
        <w:rPr>
          <w:rFonts w:hint="eastAsia" w:cs="仿宋" w:asciiTheme="minorEastAsia" w:hAnsiTheme="minorEastAsia" w:eastAsiaTheme="minorEastAsia"/>
          <w:color w:val="000000"/>
          <w:spacing w:val="0"/>
          <w:w w:val="15"/>
          <w:kern w:val="0"/>
          <w:szCs w:val="21"/>
          <w:fitText w:val="42" w:id="1464010937"/>
        </w:rPr>
        <w:t xml:space="preserve">　 </w:t>
      </w:r>
      <w:r>
        <w:rPr>
          <w:rFonts w:hint="eastAsia" w:cs="仿宋" w:asciiTheme="minorEastAsia" w:hAnsiTheme="minorEastAsia" w:eastAsiaTheme="minorEastAsia"/>
          <w:color w:val="000000"/>
          <w:spacing w:val="-17"/>
          <w:w w:val="15"/>
          <w:kern w:val="0"/>
          <w:szCs w:val="21"/>
          <w:fitText w:val="42" w:id="1464010937"/>
        </w:rPr>
        <w:t>　</w:t>
      </w:r>
      <w:r>
        <w:rPr>
          <w:rFonts w:hint="eastAsia" w:cs="Calibri" w:asciiTheme="minorEastAsia" w:hAnsiTheme="minorEastAsia" w:eastAsiaTheme="minorEastAsia"/>
          <w:color w:val="000000"/>
          <w:szCs w:val="21"/>
        </w:rPr>
        <w:t>h</w:t>
      </w:r>
      <w:r>
        <w:rPr>
          <w:rFonts w:hint="eastAsia" w:cs="Calibri" w:asciiTheme="minorEastAsia" w:hAnsiTheme="minorEastAsia" w:eastAsiaTheme="minorEastAsia"/>
          <w:szCs w:val="21"/>
        </w:rPr>
        <w:t>，住宅照明系统通电连续试运行时间应为</w:t>
      </w:r>
      <w:r>
        <w:rPr>
          <w:rFonts w:hint="eastAsia" w:cs="Calibri" w:asciiTheme="minorEastAsia" w:hAnsiTheme="minorEastAsia" w:eastAsiaTheme="minorEastAsia"/>
          <w:color w:val="000000"/>
          <w:szCs w:val="21"/>
        </w:rPr>
        <w:t>8</w:t>
      </w:r>
      <w:r>
        <w:rPr>
          <w:rFonts w:hint="eastAsia" w:cs="仿宋" w:asciiTheme="minorEastAsia" w:hAnsiTheme="minorEastAsia" w:eastAsiaTheme="minorEastAsia"/>
          <w:color w:val="000000"/>
          <w:spacing w:val="0"/>
          <w:w w:val="15"/>
          <w:kern w:val="0"/>
          <w:szCs w:val="21"/>
          <w:fitText w:val="42" w:id="708591049"/>
        </w:rPr>
        <w:t xml:space="preserve">　 </w:t>
      </w:r>
      <w:r>
        <w:rPr>
          <w:rFonts w:hint="eastAsia" w:cs="仿宋" w:asciiTheme="minorEastAsia" w:hAnsiTheme="minorEastAsia" w:eastAsiaTheme="minorEastAsia"/>
          <w:color w:val="000000"/>
          <w:spacing w:val="-17"/>
          <w:w w:val="15"/>
          <w:kern w:val="0"/>
          <w:szCs w:val="21"/>
          <w:fitText w:val="42" w:id="708591049"/>
        </w:rPr>
        <w:t>　</w:t>
      </w:r>
      <w:r>
        <w:rPr>
          <w:rFonts w:hint="eastAsia" w:cs="Calibri" w:asciiTheme="minorEastAsia" w:hAnsiTheme="minorEastAsia" w:eastAsiaTheme="minorEastAsia"/>
          <w:color w:val="000000"/>
          <w:szCs w:val="21"/>
        </w:rPr>
        <w:t>h</w:t>
      </w:r>
      <w:r>
        <w:rPr>
          <w:rFonts w:hint="eastAsia" w:cs="Calibri" w:asciiTheme="minorEastAsia" w:hAnsiTheme="minorEastAsia" w:eastAsiaTheme="minorEastAsia"/>
          <w:szCs w:val="21"/>
        </w:rPr>
        <w:t>。所有照明灯具均应同时开启，且应每</w:t>
      </w:r>
      <w:r>
        <w:rPr>
          <w:rFonts w:hint="eastAsia" w:cs="Calibri" w:asciiTheme="minorEastAsia" w:hAnsiTheme="minorEastAsia" w:eastAsiaTheme="minorEastAsia"/>
          <w:color w:val="000000"/>
          <w:szCs w:val="21"/>
        </w:rPr>
        <w:t>2</w:t>
      </w:r>
      <w:r>
        <w:rPr>
          <w:rFonts w:hint="eastAsia" w:cs="仿宋" w:asciiTheme="minorEastAsia" w:hAnsiTheme="minorEastAsia" w:eastAsiaTheme="minorEastAsia"/>
          <w:color w:val="000000"/>
          <w:spacing w:val="0"/>
          <w:w w:val="15"/>
          <w:kern w:val="0"/>
          <w:szCs w:val="21"/>
          <w:fitText w:val="42" w:id="553335587"/>
        </w:rPr>
        <w:t xml:space="preserve">　 </w:t>
      </w:r>
      <w:r>
        <w:rPr>
          <w:rFonts w:hint="eastAsia" w:cs="仿宋" w:asciiTheme="minorEastAsia" w:hAnsiTheme="minorEastAsia" w:eastAsiaTheme="minorEastAsia"/>
          <w:color w:val="000000"/>
          <w:spacing w:val="-17"/>
          <w:w w:val="15"/>
          <w:kern w:val="0"/>
          <w:szCs w:val="21"/>
          <w:fitText w:val="42" w:id="553335587"/>
        </w:rPr>
        <w:t>　</w:t>
      </w:r>
      <w:r>
        <w:rPr>
          <w:rFonts w:hint="eastAsia" w:cs="Calibri" w:asciiTheme="minorEastAsia" w:hAnsiTheme="minorEastAsia" w:eastAsiaTheme="minorEastAsia"/>
          <w:color w:val="000000"/>
          <w:szCs w:val="21"/>
        </w:rPr>
        <w:t>h</w:t>
      </w:r>
      <w:r>
        <w:rPr>
          <w:rFonts w:hint="eastAsia" w:cs="Calibri" w:asciiTheme="minorEastAsia" w:hAnsiTheme="minorEastAsia" w:eastAsiaTheme="minorEastAsia"/>
          <w:szCs w:val="21"/>
        </w:rPr>
        <w:t>按回路记录运行参数，连续试运行时间内应无故障。</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检查数量：按每检验批的末级照明配电箱总数抽查5%，且不得少于1台配电箱及相应回路。</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检查方法：试验运行时观察检查或查阅建筑照明通电试运行记录。</w:t>
      </w:r>
    </w:p>
    <w:p>
      <w:pPr>
        <w:pStyle w:val="41"/>
        <w:numPr>
          <w:ilvl w:val="0"/>
          <w:numId w:val="173"/>
        </w:numPr>
        <w:spacing w:line="360" w:lineRule="auto"/>
        <w:ind w:left="0" w:firstLine="0" w:firstLineChars="0"/>
        <w:rPr>
          <w:rFonts w:cs="Calibri" w:asciiTheme="minorEastAsia" w:hAnsiTheme="minorEastAsia" w:eastAsiaTheme="minorEastAsia"/>
          <w:szCs w:val="21"/>
        </w:rPr>
      </w:pPr>
      <w:r>
        <w:rPr>
          <w:rFonts w:hint="eastAsia" w:cs="Calibri" w:asciiTheme="minorEastAsia" w:hAnsiTheme="minorEastAsia" w:eastAsiaTheme="minorEastAsia"/>
          <w:szCs w:val="21"/>
        </w:rPr>
        <w:t>对设计有照度测试要求的场所，试运行时应检测照度，并应符合设计要求。</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检查方法：用照度测试仪测试，并查阅照度测试记录。</w:t>
      </w:r>
    </w:p>
    <w:p>
      <w:pPr>
        <w:pStyle w:val="4"/>
        <w:spacing w:before="120" w:beforeLines="50" w:after="120" w:afterLines="50"/>
        <w:rPr>
          <w:rFonts w:asciiTheme="minorEastAsia" w:hAnsiTheme="minorEastAsia" w:eastAsiaTheme="minorEastAsia"/>
          <w:sz w:val="21"/>
          <w:szCs w:val="21"/>
        </w:rPr>
      </w:pPr>
      <w:bookmarkStart w:id="188" w:name="_Toc124168190"/>
      <w:r>
        <w:t>Ⅱ</w:t>
      </w:r>
      <w:r>
        <w:rPr>
          <w:rFonts w:hint="eastAsia" w:asciiTheme="minorEastAsia" w:hAnsiTheme="minorEastAsia" w:eastAsiaTheme="minorEastAsia"/>
          <w:sz w:val="21"/>
          <w:szCs w:val="21"/>
        </w:rPr>
        <w:t xml:space="preserve"> 一般项目</w:t>
      </w:r>
      <w:bookmarkEnd w:id="188"/>
    </w:p>
    <w:p>
      <w:pPr>
        <w:pStyle w:val="41"/>
        <w:numPr>
          <w:ilvl w:val="0"/>
          <w:numId w:val="173"/>
        </w:numPr>
        <w:spacing w:line="360" w:lineRule="auto"/>
        <w:ind w:left="0" w:firstLine="0" w:firstLineChars="0"/>
        <w:rPr>
          <w:rFonts w:asciiTheme="minorEastAsia" w:hAnsiTheme="minorEastAsia" w:eastAsiaTheme="minorEastAsia"/>
          <w:szCs w:val="21"/>
        </w:rPr>
      </w:pPr>
      <w:r>
        <w:rPr>
          <w:rFonts w:hint="eastAsia" w:cs="Calibri" w:asciiTheme="minorEastAsia" w:hAnsiTheme="minorEastAsia" w:eastAsiaTheme="minorEastAsia"/>
          <w:szCs w:val="21"/>
        </w:rPr>
        <w:t>照明各回路绝缘摇测符合设计要求。</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检查数量：各回路抽查10%，且不得少于1处。</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检查方法：用绝缘电阻测量仪测试，并查阅施工资料。</w:t>
      </w:r>
    </w:p>
    <w:p>
      <w:pPr>
        <w:pStyle w:val="41"/>
        <w:numPr>
          <w:ilvl w:val="0"/>
          <w:numId w:val="173"/>
        </w:numPr>
        <w:spacing w:line="360" w:lineRule="auto"/>
        <w:ind w:left="0" w:firstLine="0" w:firstLineChars="0"/>
        <w:rPr>
          <w:rFonts w:cs="Calibri" w:asciiTheme="minorEastAsia" w:hAnsiTheme="minorEastAsia" w:eastAsiaTheme="minorEastAsia"/>
          <w:szCs w:val="21"/>
        </w:rPr>
      </w:pPr>
      <w:r>
        <w:rPr>
          <w:rFonts w:hint="eastAsia" w:cs="Calibri" w:asciiTheme="minorEastAsia" w:hAnsiTheme="minorEastAsia" w:eastAsiaTheme="minorEastAsia"/>
          <w:szCs w:val="21"/>
        </w:rPr>
        <w:t>通电检查时应注意用电安全，漏电保护装置应齐全可靠。</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pPr>
        <w:pStyle w:val="41"/>
        <w:spacing w:line="360" w:lineRule="auto"/>
        <w:rPr>
          <w:rFonts w:asciiTheme="minorEastAsia" w:hAnsiTheme="minorEastAsia" w:eastAsiaTheme="minorEastAsia"/>
          <w:szCs w:val="21"/>
        </w:rPr>
      </w:pPr>
      <w:r>
        <w:rPr>
          <w:rFonts w:asciiTheme="minorEastAsia" w:hAnsiTheme="minorEastAsia" w:eastAsiaTheme="minorEastAsia"/>
          <w:szCs w:val="21"/>
        </w:rPr>
        <w:t>检验方法：观察检查</w:t>
      </w:r>
      <w:r>
        <w:rPr>
          <w:rFonts w:hint="eastAsia" w:asciiTheme="minorEastAsia" w:hAnsiTheme="minorEastAsia" w:eastAsiaTheme="minorEastAsia"/>
          <w:szCs w:val="21"/>
        </w:rPr>
        <w:t>。</w:t>
      </w:r>
    </w:p>
    <w:p>
      <w:pPr>
        <w:pStyle w:val="41"/>
        <w:numPr>
          <w:ilvl w:val="0"/>
          <w:numId w:val="173"/>
        </w:numPr>
        <w:spacing w:line="360" w:lineRule="auto"/>
        <w:ind w:left="0" w:firstLine="0" w:firstLineChars="0"/>
        <w:rPr>
          <w:rFonts w:cs="Calibri" w:asciiTheme="minorEastAsia" w:hAnsiTheme="minorEastAsia" w:eastAsiaTheme="minorEastAsia"/>
          <w:szCs w:val="21"/>
        </w:rPr>
      </w:pPr>
      <w:r>
        <w:rPr>
          <w:rFonts w:hint="eastAsia" w:cs="Calibri" w:asciiTheme="minorEastAsia" w:hAnsiTheme="minorEastAsia" w:eastAsiaTheme="minorEastAsia"/>
          <w:szCs w:val="21"/>
        </w:rPr>
        <w:t>有自动控制要求的照明工程应先进行就地分组控制试验，后进行单位工程自动控制试验，试验结果应符合设计要求。</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检查方法：实验观察，并准确记录。</w:t>
      </w:r>
    </w:p>
    <w:p>
      <w:pPr>
        <w:pStyle w:val="41"/>
        <w:spacing w:line="360" w:lineRule="auto"/>
        <w:rPr>
          <w:rFonts w:asciiTheme="minorEastAsia" w:hAnsiTheme="minorEastAsia" w:eastAsiaTheme="minorEastAsia"/>
          <w:szCs w:val="21"/>
        </w:rPr>
      </w:pPr>
    </w:p>
    <w:p>
      <w:pPr>
        <w:pStyle w:val="41"/>
        <w:spacing w:line="360" w:lineRule="auto"/>
        <w:rPr>
          <w:rFonts w:asciiTheme="minorEastAsia" w:hAnsiTheme="minorEastAsia" w:eastAsiaTheme="minorEastAsia"/>
          <w:szCs w:val="21"/>
        </w:rPr>
      </w:pPr>
    </w:p>
    <w:p>
      <w:pPr>
        <w:pStyle w:val="41"/>
        <w:spacing w:line="360" w:lineRule="auto"/>
        <w:rPr>
          <w:rFonts w:asciiTheme="minorEastAsia" w:hAnsiTheme="minorEastAsia" w:eastAsiaTheme="minorEastAsia"/>
          <w:szCs w:val="21"/>
        </w:rPr>
      </w:pPr>
    </w:p>
    <w:p>
      <w:pPr>
        <w:widowControl/>
        <w:jc w:val="left"/>
        <w:rPr>
          <w:rFonts w:asciiTheme="minorEastAsia" w:hAnsiTheme="minorEastAsia" w:eastAsiaTheme="minorEastAsia"/>
          <w:b/>
          <w:bCs/>
          <w:kern w:val="44"/>
          <w:sz w:val="28"/>
          <w:szCs w:val="28"/>
        </w:rPr>
      </w:pPr>
      <w:bookmarkStart w:id="189" w:name="_Toc136869095"/>
      <w:bookmarkStart w:id="190" w:name="_Toc136868060"/>
      <w:r>
        <w:rPr>
          <w:rFonts w:asciiTheme="minorEastAsia" w:hAnsiTheme="minorEastAsia" w:eastAsiaTheme="minorEastAsia"/>
          <w:sz w:val="28"/>
          <w:szCs w:val="28"/>
        </w:rPr>
        <w:br w:type="page"/>
      </w:r>
    </w:p>
    <w:p>
      <w:pPr>
        <w:pStyle w:val="2"/>
        <w:numPr>
          <w:ilvl w:val="0"/>
          <w:numId w:val="4"/>
        </w:numPr>
        <w:spacing w:before="120" w:beforeLines="50" w:after="120" w:afterLines="50" w:line="360" w:lineRule="auto"/>
        <w:jc w:val="center"/>
        <w:rPr>
          <w:rFonts w:asciiTheme="minorEastAsia" w:hAnsiTheme="minorEastAsia" w:eastAsiaTheme="minorEastAsia"/>
          <w:sz w:val="28"/>
          <w:szCs w:val="28"/>
        </w:rPr>
      </w:pPr>
      <w:bookmarkStart w:id="191" w:name="_Toc137216254"/>
      <w:r>
        <w:rPr>
          <w:rFonts w:hint="eastAsia" w:asciiTheme="minorEastAsia" w:hAnsiTheme="minorEastAsia" w:eastAsiaTheme="minorEastAsia"/>
          <w:sz w:val="28"/>
          <w:szCs w:val="28"/>
        </w:rPr>
        <w:t>防雷、</w:t>
      </w:r>
      <w:r>
        <w:rPr>
          <w:rFonts w:hint="eastAsia" w:asciiTheme="minorEastAsia" w:hAnsiTheme="minorEastAsia" w:eastAsiaTheme="minorEastAsia"/>
          <w:color w:val="000000"/>
          <w:sz w:val="28"/>
          <w:szCs w:val="28"/>
        </w:rPr>
        <w:t>接地及</w:t>
      </w:r>
      <w:r>
        <w:rPr>
          <w:rFonts w:hint="eastAsia" w:asciiTheme="minorEastAsia" w:hAnsiTheme="minorEastAsia" w:eastAsiaTheme="minorEastAsia"/>
          <w:sz w:val="28"/>
          <w:szCs w:val="28"/>
        </w:rPr>
        <w:t>等电位</w:t>
      </w:r>
      <w:bookmarkEnd w:id="189"/>
      <w:bookmarkEnd w:id="190"/>
      <w:bookmarkEnd w:id="191"/>
    </w:p>
    <w:p>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192" w:name="_Toc137216255"/>
      <w:bookmarkStart w:id="193" w:name="_Toc136869096"/>
      <w:bookmarkStart w:id="194" w:name="_Toc136868061"/>
      <w:r>
        <w:rPr>
          <w:rFonts w:hint="eastAsia" w:asciiTheme="minorEastAsia" w:hAnsiTheme="minorEastAsia" w:eastAsiaTheme="minorEastAsia"/>
          <w:sz w:val="24"/>
          <w:szCs w:val="24"/>
        </w:rPr>
        <w:t>8</w:t>
      </w:r>
      <w:r>
        <w:rPr>
          <w:rFonts w:asciiTheme="minorEastAsia" w:hAnsiTheme="minorEastAsia" w:eastAsiaTheme="minorEastAsia"/>
          <w:sz w:val="24"/>
          <w:szCs w:val="24"/>
        </w:rPr>
        <w:t xml:space="preserve">.1 </w:t>
      </w:r>
      <w:r>
        <w:rPr>
          <w:rFonts w:hint="eastAsia" w:asciiTheme="minorEastAsia" w:hAnsiTheme="minorEastAsia" w:eastAsiaTheme="minorEastAsia"/>
          <w:sz w:val="24"/>
          <w:szCs w:val="24"/>
        </w:rPr>
        <w:t>电气照明接地装置安装</w:t>
      </w:r>
      <w:bookmarkEnd w:id="192"/>
      <w:bookmarkEnd w:id="193"/>
      <w:bookmarkEnd w:id="194"/>
    </w:p>
    <w:p>
      <w:pPr>
        <w:pStyle w:val="4"/>
        <w:spacing w:before="120" w:beforeLines="50" w:after="120" w:afterLines="50"/>
        <w:rPr>
          <w:rFonts w:asciiTheme="minorEastAsia" w:hAnsiTheme="minorEastAsia" w:eastAsiaTheme="minorEastAsia"/>
          <w:sz w:val="21"/>
          <w:szCs w:val="21"/>
        </w:rPr>
      </w:pPr>
      <w:r>
        <w:t>I</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主控项目</w:t>
      </w:r>
    </w:p>
    <w:p>
      <w:pPr>
        <w:pStyle w:val="41"/>
        <w:numPr>
          <w:ilvl w:val="0"/>
          <w:numId w:val="174"/>
        </w:numPr>
        <w:spacing w:line="360" w:lineRule="auto"/>
        <w:ind w:left="0" w:firstLine="0" w:firstLineChars="0"/>
        <w:rPr>
          <w:rFonts w:asciiTheme="minorEastAsia" w:hAnsiTheme="minorEastAsia" w:eastAsiaTheme="minorEastAsia"/>
          <w:szCs w:val="21"/>
        </w:rPr>
      </w:pPr>
      <w:r>
        <w:rPr>
          <w:rFonts w:asciiTheme="minorEastAsia" w:hAnsiTheme="minorEastAsia" w:eastAsiaTheme="minorEastAsia"/>
          <w:szCs w:val="21"/>
        </w:rPr>
        <w:t>接地装置在地面以上的部分</w:t>
      </w:r>
      <w:r>
        <w:rPr>
          <w:rFonts w:hint="eastAsia" w:asciiTheme="minorEastAsia" w:hAnsiTheme="minorEastAsia" w:eastAsiaTheme="minorEastAsia"/>
          <w:color w:val="000000"/>
          <w:szCs w:val="21"/>
        </w:rPr>
        <w:t>，</w:t>
      </w:r>
      <w:r>
        <w:rPr>
          <w:rFonts w:asciiTheme="minorEastAsia" w:hAnsiTheme="minorEastAsia" w:eastAsiaTheme="minorEastAsia"/>
          <w:szCs w:val="21"/>
        </w:rPr>
        <w:t>应按设计要求设置测试点，</w:t>
      </w:r>
      <w:r>
        <w:rPr>
          <w:rFonts w:hint="eastAsia" w:asciiTheme="minorEastAsia" w:hAnsiTheme="minorEastAsia" w:eastAsiaTheme="minorEastAsia"/>
          <w:szCs w:val="21"/>
        </w:rPr>
        <w:t>测试点不应被外墙饰面遮蔽</w:t>
      </w:r>
      <w:r>
        <w:rPr>
          <w:rFonts w:hint="eastAsia" w:asciiTheme="minorEastAsia" w:hAnsiTheme="minorEastAsia" w:eastAsiaTheme="minorEastAsia"/>
          <w:color w:val="000000"/>
          <w:szCs w:val="21"/>
        </w:rPr>
        <w:t>，</w:t>
      </w:r>
      <w:r>
        <w:rPr>
          <w:rFonts w:asciiTheme="minorEastAsia" w:hAnsiTheme="minorEastAsia" w:eastAsiaTheme="minorEastAsia"/>
          <w:szCs w:val="21"/>
        </w:rPr>
        <w:t>且应有明显标识。</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w:t>
      </w:r>
      <w:r>
        <w:rPr>
          <w:rFonts w:hint="eastAsia" w:asciiTheme="minorEastAsia" w:hAnsiTheme="minorEastAsia" w:eastAsiaTheme="minorEastAsia"/>
          <w:color w:val="000000"/>
          <w:szCs w:val="21"/>
        </w:rPr>
        <w:t>：</w:t>
      </w:r>
      <w:r>
        <w:rPr>
          <w:rFonts w:asciiTheme="minorEastAsia" w:hAnsiTheme="minorEastAsia" w:eastAsiaTheme="minorEastAsia"/>
          <w:szCs w:val="21"/>
        </w:rPr>
        <w:t>全数检查。</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w:t>
      </w:r>
      <w:r>
        <w:rPr>
          <w:rFonts w:hint="eastAsia" w:asciiTheme="minorEastAsia" w:hAnsiTheme="minorEastAsia" w:eastAsiaTheme="minorEastAsia"/>
          <w:color w:val="000000"/>
          <w:szCs w:val="21"/>
        </w:rPr>
        <w:t>：</w:t>
      </w:r>
      <w:r>
        <w:rPr>
          <w:rFonts w:asciiTheme="minorEastAsia" w:hAnsiTheme="minorEastAsia" w:eastAsiaTheme="minorEastAsia"/>
          <w:szCs w:val="21"/>
        </w:rPr>
        <w:t>观察检查。</w:t>
      </w:r>
    </w:p>
    <w:p>
      <w:pPr>
        <w:pStyle w:val="41"/>
        <w:numPr>
          <w:ilvl w:val="0"/>
          <w:numId w:val="174"/>
        </w:numPr>
        <w:spacing w:line="360" w:lineRule="auto"/>
        <w:ind w:left="0" w:firstLine="0" w:firstLineChars="0"/>
        <w:rPr>
          <w:rFonts w:asciiTheme="minorEastAsia" w:hAnsiTheme="minorEastAsia" w:eastAsiaTheme="minorEastAsia"/>
          <w:szCs w:val="21"/>
        </w:rPr>
      </w:pPr>
      <w:r>
        <w:rPr>
          <w:rFonts w:asciiTheme="minorEastAsia" w:hAnsiTheme="minorEastAsia" w:eastAsiaTheme="minorEastAsia"/>
          <w:szCs w:val="21"/>
        </w:rPr>
        <w:t>接地装置的接地电阻值应符合设计要求。</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w:t>
      </w:r>
      <w:r>
        <w:rPr>
          <w:rFonts w:hint="eastAsia" w:asciiTheme="minorEastAsia" w:hAnsiTheme="minorEastAsia" w:eastAsiaTheme="minorEastAsia"/>
          <w:color w:val="000000"/>
          <w:szCs w:val="21"/>
        </w:rPr>
        <w:t>：</w:t>
      </w:r>
      <w:r>
        <w:rPr>
          <w:rFonts w:asciiTheme="minorEastAsia" w:hAnsiTheme="minorEastAsia" w:eastAsiaTheme="minorEastAsia"/>
          <w:szCs w:val="21"/>
        </w:rPr>
        <w:t>全数检查。</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w:t>
      </w:r>
      <w:r>
        <w:rPr>
          <w:rFonts w:hint="eastAsia" w:asciiTheme="minorEastAsia" w:hAnsiTheme="minorEastAsia" w:eastAsiaTheme="minorEastAsia"/>
          <w:color w:val="000000"/>
          <w:szCs w:val="21"/>
        </w:rPr>
        <w:t>：</w:t>
      </w:r>
      <w:r>
        <w:rPr>
          <w:rFonts w:asciiTheme="minorEastAsia" w:hAnsiTheme="minorEastAsia" w:eastAsiaTheme="minorEastAsia"/>
          <w:szCs w:val="21"/>
        </w:rPr>
        <w:t>用接地电阻测试仪测试，并查阅接地电阻测试</w:t>
      </w:r>
      <w:r>
        <w:rPr>
          <w:rFonts w:hint="eastAsia" w:asciiTheme="minorEastAsia" w:hAnsiTheme="minorEastAsia" w:eastAsiaTheme="minorEastAsia"/>
          <w:szCs w:val="21"/>
        </w:rPr>
        <w:t>记录。</w:t>
      </w:r>
    </w:p>
    <w:p>
      <w:pPr>
        <w:pStyle w:val="41"/>
        <w:numPr>
          <w:ilvl w:val="0"/>
          <w:numId w:val="174"/>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接地装置的材料规格、型号应符合设计要求。</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w:t>
      </w:r>
      <w:r>
        <w:rPr>
          <w:rFonts w:hint="eastAsia" w:asciiTheme="minorEastAsia" w:hAnsiTheme="minorEastAsia" w:eastAsiaTheme="minorEastAsia"/>
          <w:color w:val="000000"/>
          <w:szCs w:val="21"/>
        </w:rPr>
        <w:t>：</w:t>
      </w:r>
      <w:r>
        <w:rPr>
          <w:rFonts w:asciiTheme="minorEastAsia" w:hAnsiTheme="minorEastAsia" w:eastAsiaTheme="minorEastAsia"/>
          <w:szCs w:val="21"/>
        </w:rPr>
        <w:t>全数检查。</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w:t>
      </w:r>
      <w:r>
        <w:rPr>
          <w:rFonts w:hint="eastAsia" w:asciiTheme="minorEastAsia" w:hAnsiTheme="minorEastAsia" w:eastAsiaTheme="minorEastAsia"/>
          <w:color w:val="000000"/>
          <w:szCs w:val="21"/>
        </w:rPr>
        <w:t>：</w:t>
      </w:r>
      <w:r>
        <w:rPr>
          <w:rFonts w:asciiTheme="minorEastAsia" w:hAnsiTheme="minorEastAsia" w:eastAsiaTheme="minorEastAsia"/>
          <w:szCs w:val="21"/>
        </w:rPr>
        <w:t>观察检查或查阅材料进场验收记录。</w:t>
      </w:r>
    </w:p>
    <w:p>
      <w:pPr>
        <w:pStyle w:val="41"/>
        <w:numPr>
          <w:ilvl w:val="0"/>
          <w:numId w:val="174"/>
        </w:numPr>
        <w:spacing w:line="360" w:lineRule="auto"/>
        <w:ind w:left="0" w:firstLine="0" w:firstLineChars="0"/>
        <w:rPr>
          <w:rFonts w:asciiTheme="minorEastAsia" w:hAnsiTheme="minorEastAsia" w:eastAsiaTheme="minorEastAsia"/>
          <w:szCs w:val="21"/>
        </w:rPr>
      </w:pPr>
      <w:r>
        <w:rPr>
          <w:rFonts w:asciiTheme="minorEastAsia" w:hAnsiTheme="minorEastAsia" w:eastAsiaTheme="minorEastAsia"/>
          <w:szCs w:val="21"/>
        </w:rPr>
        <w:t>当接地电阻达不到设计要求需采取措施降低接地电阻</w:t>
      </w:r>
      <w:r>
        <w:rPr>
          <w:rFonts w:hint="eastAsia" w:asciiTheme="minorEastAsia" w:hAnsiTheme="minorEastAsia" w:eastAsiaTheme="minorEastAsia"/>
          <w:szCs w:val="21"/>
        </w:rPr>
        <w:t>时</w:t>
      </w:r>
      <w:r>
        <w:rPr>
          <w:rFonts w:hint="eastAsia" w:asciiTheme="minorEastAsia" w:hAnsiTheme="minorEastAsia" w:eastAsiaTheme="minorEastAsia"/>
          <w:color w:val="000000"/>
          <w:szCs w:val="21"/>
        </w:rPr>
        <w:t>，</w:t>
      </w:r>
      <w:r>
        <w:rPr>
          <w:rFonts w:asciiTheme="minorEastAsia" w:hAnsiTheme="minorEastAsia" w:eastAsiaTheme="minorEastAsia"/>
          <w:szCs w:val="21"/>
        </w:rPr>
        <w:t>应符合下列规定</w:t>
      </w:r>
      <w:r>
        <w:rPr>
          <w:rFonts w:hint="eastAsia" w:asciiTheme="minorEastAsia" w:hAnsiTheme="minorEastAsia" w:eastAsiaTheme="minorEastAsia"/>
          <w:color w:val="000000"/>
          <w:szCs w:val="21"/>
        </w:rPr>
        <w:t>：</w:t>
      </w:r>
    </w:p>
    <w:p>
      <w:pPr>
        <w:pStyle w:val="41"/>
        <w:numPr>
          <w:ilvl w:val="1"/>
          <w:numId w:val="175"/>
        </w:numPr>
        <w:spacing w:line="360"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采用降阻剂时</w:t>
      </w:r>
      <w:r>
        <w:rPr>
          <w:rFonts w:hint="eastAsia" w:asciiTheme="minorEastAsia" w:hAnsiTheme="minorEastAsia" w:eastAsiaTheme="minorEastAsia"/>
          <w:color w:val="000000"/>
          <w:szCs w:val="21"/>
        </w:rPr>
        <w:t>，</w:t>
      </w:r>
      <w:r>
        <w:rPr>
          <w:rFonts w:asciiTheme="minorEastAsia" w:hAnsiTheme="minorEastAsia" w:eastAsiaTheme="minorEastAsia"/>
          <w:szCs w:val="21"/>
        </w:rPr>
        <w:t>降阻剂应为同一品牌的产品，调制降阻剂</w:t>
      </w:r>
      <w:r>
        <w:rPr>
          <w:rFonts w:hint="eastAsia" w:asciiTheme="minorEastAsia" w:hAnsiTheme="minorEastAsia" w:eastAsiaTheme="minorEastAsia"/>
          <w:szCs w:val="21"/>
        </w:rPr>
        <w:t>的水应无污染和杂物</w:t>
      </w:r>
      <w:r>
        <w:rPr>
          <w:rFonts w:hint="eastAsia" w:asciiTheme="minorEastAsia" w:hAnsiTheme="minorEastAsia" w:eastAsiaTheme="minorEastAsia"/>
          <w:color w:val="000000"/>
          <w:szCs w:val="21"/>
        </w:rPr>
        <w:t>；</w:t>
      </w:r>
      <w:r>
        <w:rPr>
          <w:rFonts w:asciiTheme="minorEastAsia" w:hAnsiTheme="minorEastAsia" w:eastAsiaTheme="minorEastAsia"/>
          <w:szCs w:val="21"/>
        </w:rPr>
        <w:t>降阻剂应均匀灌注于垂直接地体周围。</w:t>
      </w:r>
    </w:p>
    <w:p>
      <w:pPr>
        <w:pStyle w:val="41"/>
        <w:numPr>
          <w:ilvl w:val="1"/>
          <w:numId w:val="175"/>
        </w:numPr>
        <w:spacing w:line="360"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采取换土或将人工接地体外延至土壤电阻率较低处时</w:t>
      </w:r>
      <w:r>
        <w:rPr>
          <w:rFonts w:hint="eastAsia" w:asciiTheme="minorEastAsia" w:hAnsiTheme="minorEastAsia" w:eastAsiaTheme="minorEastAsia"/>
          <w:color w:val="000000"/>
          <w:szCs w:val="21"/>
        </w:rPr>
        <w:t>，</w:t>
      </w:r>
      <w:r>
        <w:rPr>
          <w:rFonts w:asciiTheme="minorEastAsia" w:hAnsiTheme="minorEastAsia" w:eastAsiaTheme="minorEastAsia"/>
          <w:szCs w:val="21"/>
        </w:rPr>
        <w:t>应</w:t>
      </w:r>
      <w:r>
        <w:rPr>
          <w:rFonts w:hint="eastAsia" w:asciiTheme="minorEastAsia" w:hAnsiTheme="minorEastAsia" w:eastAsiaTheme="minorEastAsia"/>
          <w:szCs w:val="21"/>
        </w:rPr>
        <w:t>掌握有关的地质结构资料和地下土壤电阻率的分布</w:t>
      </w:r>
      <w:r>
        <w:rPr>
          <w:rFonts w:hint="eastAsia" w:asciiTheme="minorEastAsia" w:hAnsiTheme="minorEastAsia" w:eastAsiaTheme="minorEastAsia"/>
          <w:color w:val="000000"/>
          <w:szCs w:val="21"/>
        </w:rPr>
        <w:t>，</w:t>
      </w:r>
      <w:r>
        <w:rPr>
          <w:rFonts w:asciiTheme="minorEastAsia" w:hAnsiTheme="minorEastAsia" w:eastAsiaTheme="minorEastAsia"/>
          <w:szCs w:val="21"/>
        </w:rPr>
        <w:t>并应做好</w:t>
      </w:r>
      <w:r>
        <w:rPr>
          <w:rFonts w:hint="eastAsia" w:asciiTheme="minorEastAsia" w:hAnsiTheme="minorEastAsia" w:eastAsiaTheme="minorEastAsia"/>
          <w:szCs w:val="21"/>
        </w:rPr>
        <w:t>记录。</w:t>
      </w:r>
    </w:p>
    <w:p>
      <w:pPr>
        <w:pStyle w:val="41"/>
        <w:numPr>
          <w:ilvl w:val="1"/>
          <w:numId w:val="175"/>
        </w:numPr>
        <w:spacing w:line="360"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采用接地模块时</w:t>
      </w:r>
      <w:r>
        <w:rPr>
          <w:rFonts w:hint="eastAsia" w:asciiTheme="minorEastAsia" w:hAnsiTheme="minorEastAsia" w:eastAsiaTheme="minorEastAsia"/>
          <w:color w:val="000000"/>
          <w:szCs w:val="21"/>
        </w:rPr>
        <w:t>，</w:t>
      </w:r>
      <w:r>
        <w:rPr>
          <w:rFonts w:asciiTheme="minorEastAsia" w:hAnsiTheme="minorEastAsia" w:eastAsiaTheme="minorEastAsia"/>
          <w:szCs w:val="21"/>
        </w:rPr>
        <w:t>接地模块的顶面埋深不应小于</w:t>
      </w:r>
      <w:r>
        <w:rPr>
          <w:rFonts w:asciiTheme="minorEastAsia" w:hAnsiTheme="minorEastAsia" w:eastAsiaTheme="minorEastAsia"/>
          <w:color w:val="000000"/>
          <w:szCs w:val="21"/>
        </w:rPr>
        <w:t>0.</w:t>
      </w:r>
      <w:r>
        <w:rPr>
          <w:rFonts w:hint="eastAsia" w:asciiTheme="minorEastAsia" w:hAnsiTheme="minorEastAsia" w:eastAsiaTheme="minorEastAsia"/>
          <w:color w:val="000000"/>
          <w:szCs w:val="21"/>
        </w:rPr>
        <w:t>6</w:t>
      </w:r>
      <w:r>
        <w:rPr>
          <w:rFonts w:hint="eastAsia" w:cs="仿宋" w:asciiTheme="minorEastAsia" w:hAnsiTheme="minorEastAsia" w:eastAsiaTheme="minorEastAsia"/>
          <w:color w:val="000000"/>
          <w:spacing w:val="0"/>
          <w:w w:val="15"/>
          <w:kern w:val="0"/>
          <w:szCs w:val="21"/>
          <w:fitText w:val="42" w:id="250568196"/>
        </w:rPr>
        <w:t xml:space="preserve">　 </w:t>
      </w:r>
      <w:r>
        <w:rPr>
          <w:rFonts w:hint="eastAsia" w:cs="仿宋" w:asciiTheme="minorEastAsia" w:hAnsiTheme="minorEastAsia" w:eastAsiaTheme="minorEastAsia"/>
          <w:color w:val="000000"/>
          <w:spacing w:val="-17"/>
          <w:w w:val="15"/>
          <w:kern w:val="0"/>
          <w:szCs w:val="21"/>
          <w:fitText w:val="42" w:id="250568196"/>
        </w:rPr>
        <w:t>　</w:t>
      </w:r>
      <w:r>
        <w:rPr>
          <w:rFonts w:hint="eastAsia" w:asciiTheme="minorEastAsia" w:hAnsiTheme="minorEastAsia" w:eastAsiaTheme="minorEastAsia"/>
          <w:color w:val="000000"/>
          <w:szCs w:val="21"/>
        </w:rPr>
        <w:t>m，</w:t>
      </w:r>
      <w:r>
        <w:rPr>
          <w:rFonts w:asciiTheme="minorEastAsia" w:hAnsiTheme="minorEastAsia" w:eastAsiaTheme="minorEastAsia"/>
          <w:szCs w:val="21"/>
        </w:rPr>
        <w:t>接</w:t>
      </w:r>
      <w:r>
        <w:rPr>
          <w:rFonts w:hint="eastAsia" w:asciiTheme="minorEastAsia" w:hAnsiTheme="minorEastAsia" w:eastAsiaTheme="minorEastAsia"/>
          <w:szCs w:val="21"/>
        </w:rPr>
        <w:t>地模块间距不应小于模块长度的</w:t>
      </w:r>
      <w:r>
        <w:rPr>
          <w:rFonts w:asciiTheme="minorEastAsia" w:hAnsiTheme="minorEastAsia" w:eastAsiaTheme="minorEastAsia"/>
          <w:szCs w:val="21"/>
        </w:rPr>
        <w:t>3倍～5倍。接地模块埋设基坑</w:t>
      </w:r>
      <w:r>
        <w:rPr>
          <w:rFonts w:hint="eastAsia" w:asciiTheme="minorEastAsia" w:hAnsiTheme="minorEastAsia" w:eastAsiaTheme="minorEastAsia"/>
          <w:szCs w:val="21"/>
        </w:rPr>
        <w:t>宜为模块外形尺寸的</w:t>
      </w:r>
      <w:r>
        <w:rPr>
          <w:rFonts w:asciiTheme="minorEastAsia" w:hAnsiTheme="minorEastAsia" w:eastAsiaTheme="minorEastAsia"/>
          <w:szCs w:val="21"/>
        </w:rPr>
        <w:t>1.2倍～1.4倍</w:t>
      </w:r>
      <w:r>
        <w:rPr>
          <w:rFonts w:hint="eastAsia" w:asciiTheme="minorEastAsia" w:hAnsiTheme="minorEastAsia" w:eastAsiaTheme="minorEastAsia"/>
          <w:color w:val="000000"/>
          <w:szCs w:val="21"/>
        </w:rPr>
        <w:t>，</w:t>
      </w:r>
      <w:r>
        <w:rPr>
          <w:rFonts w:asciiTheme="minorEastAsia" w:hAnsiTheme="minorEastAsia" w:eastAsiaTheme="minorEastAsia"/>
          <w:szCs w:val="21"/>
        </w:rPr>
        <w:t>且应详细记录开挖深度内</w:t>
      </w:r>
      <w:r>
        <w:rPr>
          <w:rFonts w:hint="eastAsia" w:asciiTheme="minorEastAsia" w:hAnsiTheme="minorEastAsia" w:eastAsiaTheme="minorEastAsia"/>
          <w:szCs w:val="21"/>
        </w:rPr>
        <w:t>的地层情况</w:t>
      </w:r>
      <w:r>
        <w:rPr>
          <w:rFonts w:hint="eastAsia" w:asciiTheme="minorEastAsia" w:hAnsiTheme="minorEastAsia" w:eastAsiaTheme="minorEastAsia"/>
          <w:color w:val="000000"/>
          <w:szCs w:val="21"/>
        </w:rPr>
        <w:t>；</w:t>
      </w:r>
      <w:r>
        <w:rPr>
          <w:rFonts w:asciiTheme="minorEastAsia" w:hAnsiTheme="minorEastAsia" w:eastAsiaTheme="minorEastAsia"/>
          <w:szCs w:val="21"/>
        </w:rPr>
        <w:t>接地模块应垂直或水平就位</w:t>
      </w:r>
      <w:r>
        <w:rPr>
          <w:rFonts w:hint="eastAsia" w:asciiTheme="minorEastAsia" w:hAnsiTheme="minorEastAsia" w:eastAsiaTheme="minorEastAsia"/>
          <w:color w:val="000000"/>
          <w:szCs w:val="21"/>
        </w:rPr>
        <w:t>，</w:t>
      </w:r>
      <w:r>
        <w:rPr>
          <w:rFonts w:asciiTheme="minorEastAsia" w:hAnsiTheme="minorEastAsia" w:eastAsiaTheme="minorEastAsia"/>
          <w:szCs w:val="21"/>
        </w:rPr>
        <w:t>并应保持与原土层接触</w:t>
      </w:r>
      <w:r>
        <w:rPr>
          <w:rFonts w:hint="eastAsia" w:asciiTheme="minorEastAsia" w:hAnsiTheme="minorEastAsia" w:eastAsiaTheme="minorEastAsia"/>
          <w:szCs w:val="21"/>
        </w:rPr>
        <w:t>良好。</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w:t>
      </w:r>
      <w:r>
        <w:rPr>
          <w:rFonts w:hint="eastAsia" w:asciiTheme="minorEastAsia" w:hAnsiTheme="minorEastAsia" w:eastAsiaTheme="minorEastAsia"/>
          <w:color w:val="000000"/>
          <w:szCs w:val="21"/>
        </w:rPr>
        <w:t>：</w:t>
      </w:r>
      <w:r>
        <w:rPr>
          <w:rFonts w:asciiTheme="minorEastAsia" w:hAnsiTheme="minorEastAsia" w:eastAsiaTheme="minorEastAsia"/>
          <w:szCs w:val="21"/>
        </w:rPr>
        <w:t>全数检查。</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w:t>
      </w:r>
      <w:r>
        <w:rPr>
          <w:rFonts w:hint="eastAsia" w:asciiTheme="minorEastAsia" w:hAnsiTheme="minorEastAsia" w:eastAsiaTheme="minorEastAsia"/>
          <w:color w:val="000000"/>
          <w:szCs w:val="21"/>
        </w:rPr>
        <w:t>：</w:t>
      </w:r>
      <w:r>
        <w:rPr>
          <w:rFonts w:asciiTheme="minorEastAsia" w:hAnsiTheme="minorEastAsia" w:eastAsiaTheme="minorEastAsia"/>
          <w:szCs w:val="21"/>
        </w:rPr>
        <w:t>施工中观察检查</w:t>
      </w:r>
      <w:r>
        <w:rPr>
          <w:rFonts w:hint="eastAsia" w:asciiTheme="minorEastAsia" w:hAnsiTheme="minorEastAsia" w:eastAsiaTheme="minorEastAsia"/>
          <w:color w:val="000000"/>
          <w:szCs w:val="21"/>
        </w:rPr>
        <w:t>，</w:t>
      </w:r>
      <w:r>
        <w:rPr>
          <w:rFonts w:asciiTheme="minorEastAsia" w:hAnsiTheme="minorEastAsia" w:eastAsiaTheme="minorEastAsia"/>
          <w:szCs w:val="21"/>
        </w:rPr>
        <w:t>并查阅隐蔽工程检查记录及相关</w:t>
      </w:r>
      <w:r>
        <w:rPr>
          <w:rFonts w:hint="eastAsia" w:asciiTheme="minorEastAsia" w:hAnsiTheme="minorEastAsia" w:eastAsiaTheme="minorEastAsia"/>
          <w:szCs w:val="21"/>
        </w:rPr>
        <w:t>记录。</w:t>
      </w:r>
    </w:p>
    <w:p>
      <w:pPr>
        <w:pStyle w:val="4"/>
        <w:spacing w:before="120" w:beforeLines="50" w:after="120" w:afterLines="50"/>
        <w:rPr>
          <w:rFonts w:asciiTheme="minorEastAsia" w:hAnsiTheme="minorEastAsia" w:eastAsiaTheme="minorEastAsia"/>
          <w:sz w:val="21"/>
          <w:szCs w:val="21"/>
        </w:rPr>
      </w:pPr>
      <w:r>
        <w:t>Ⅱ</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一般项目</w:t>
      </w:r>
    </w:p>
    <w:p>
      <w:pPr>
        <w:pStyle w:val="41"/>
        <w:numPr>
          <w:ilvl w:val="0"/>
          <w:numId w:val="174"/>
        </w:numPr>
        <w:spacing w:line="360" w:lineRule="auto"/>
        <w:ind w:left="0" w:firstLine="0" w:firstLineChars="0"/>
        <w:rPr>
          <w:rFonts w:asciiTheme="minorEastAsia" w:hAnsiTheme="minorEastAsia" w:eastAsiaTheme="minorEastAsia"/>
          <w:szCs w:val="21"/>
        </w:rPr>
      </w:pPr>
      <w:r>
        <w:rPr>
          <w:rFonts w:asciiTheme="minorEastAsia" w:hAnsiTheme="minorEastAsia" w:eastAsiaTheme="minorEastAsia"/>
          <w:szCs w:val="21"/>
        </w:rPr>
        <w:t>当设计无要求时，接地装置顶面埋设深度不应小于</w:t>
      </w:r>
      <w:r>
        <w:rPr>
          <w:rFonts w:asciiTheme="minorEastAsia" w:hAnsiTheme="minorEastAsia" w:eastAsiaTheme="minorEastAsia"/>
          <w:color w:val="000000"/>
          <w:szCs w:val="21"/>
        </w:rPr>
        <w:t>0.</w:t>
      </w:r>
      <w:r>
        <w:rPr>
          <w:rFonts w:hint="eastAsia" w:asciiTheme="minorEastAsia" w:hAnsiTheme="minorEastAsia" w:eastAsiaTheme="minorEastAsia"/>
          <w:color w:val="000000"/>
          <w:szCs w:val="21"/>
        </w:rPr>
        <w:t>6</w:t>
      </w:r>
      <w:r>
        <w:rPr>
          <w:rFonts w:hint="eastAsia" w:cs="仿宋" w:asciiTheme="minorEastAsia" w:hAnsiTheme="minorEastAsia" w:eastAsiaTheme="minorEastAsia"/>
          <w:color w:val="000000"/>
          <w:spacing w:val="0"/>
          <w:w w:val="15"/>
          <w:kern w:val="0"/>
          <w:szCs w:val="21"/>
          <w:fitText w:val="42" w:id="910116560"/>
        </w:rPr>
        <w:t xml:space="preserve">　 </w:t>
      </w:r>
      <w:r>
        <w:rPr>
          <w:rFonts w:hint="eastAsia" w:cs="仿宋" w:asciiTheme="minorEastAsia" w:hAnsiTheme="minorEastAsia" w:eastAsiaTheme="minorEastAsia"/>
          <w:color w:val="000000"/>
          <w:spacing w:val="-17"/>
          <w:w w:val="15"/>
          <w:kern w:val="0"/>
          <w:szCs w:val="21"/>
          <w:fitText w:val="42" w:id="910116560"/>
        </w:rPr>
        <w:t>　</w:t>
      </w:r>
      <w:r>
        <w:rPr>
          <w:rFonts w:hint="eastAsia" w:asciiTheme="minorEastAsia" w:hAnsiTheme="minorEastAsia" w:eastAsiaTheme="minorEastAsia"/>
          <w:color w:val="000000"/>
          <w:szCs w:val="21"/>
        </w:rPr>
        <w:t>m，</w:t>
      </w:r>
      <w:r>
        <w:rPr>
          <w:rFonts w:asciiTheme="minorEastAsia" w:hAnsiTheme="minorEastAsia" w:eastAsiaTheme="minorEastAsia"/>
          <w:szCs w:val="21"/>
        </w:rPr>
        <w:t>且应在冻土层以下。圆钢、角钢、钢管、铜棒、铜管等接地极</w:t>
      </w:r>
      <w:r>
        <w:rPr>
          <w:rFonts w:hint="eastAsia" w:asciiTheme="minorEastAsia" w:hAnsiTheme="minorEastAsia" w:eastAsiaTheme="minorEastAsia"/>
          <w:szCs w:val="21"/>
        </w:rPr>
        <w:t>应垂直埋</w:t>
      </w:r>
      <w:r>
        <w:rPr>
          <w:rFonts w:hint="eastAsia" w:asciiTheme="minorEastAsia" w:hAnsiTheme="minorEastAsia" w:eastAsiaTheme="minorEastAsia"/>
          <w:color w:val="000000"/>
          <w:szCs w:val="21"/>
        </w:rPr>
        <w:t>入</w:t>
      </w:r>
      <w:r>
        <w:rPr>
          <w:rFonts w:hint="eastAsia" w:asciiTheme="minorEastAsia" w:hAnsiTheme="minorEastAsia" w:eastAsiaTheme="minorEastAsia"/>
          <w:szCs w:val="21"/>
        </w:rPr>
        <w:t>地下</w:t>
      </w:r>
      <w:r>
        <w:rPr>
          <w:rFonts w:hint="eastAsia" w:asciiTheme="minorEastAsia" w:hAnsiTheme="minorEastAsia" w:eastAsiaTheme="minorEastAsia"/>
          <w:color w:val="000000"/>
          <w:szCs w:val="21"/>
        </w:rPr>
        <w:t>，</w:t>
      </w:r>
      <w:r>
        <w:rPr>
          <w:rFonts w:asciiTheme="minorEastAsia" w:hAnsiTheme="minorEastAsia" w:eastAsiaTheme="minorEastAsia"/>
          <w:szCs w:val="21"/>
        </w:rPr>
        <w:t>间距不应小于</w:t>
      </w:r>
      <w:r>
        <w:rPr>
          <w:rFonts w:hint="eastAsia" w:asciiTheme="minorEastAsia" w:hAnsiTheme="minorEastAsia" w:eastAsiaTheme="minorEastAsia"/>
          <w:color w:val="000000"/>
          <w:szCs w:val="21"/>
        </w:rPr>
        <w:t>5</w:t>
      </w:r>
      <w:r>
        <w:rPr>
          <w:rFonts w:hint="eastAsia" w:cs="仿宋" w:asciiTheme="minorEastAsia" w:hAnsiTheme="minorEastAsia" w:eastAsiaTheme="minorEastAsia"/>
          <w:color w:val="000000"/>
          <w:spacing w:val="0"/>
          <w:w w:val="15"/>
          <w:kern w:val="0"/>
          <w:szCs w:val="21"/>
          <w:fitText w:val="42" w:id="362880125"/>
        </w:rPr>
        <w:t xml:space="preserve">　 </w:t>
      </w:r>
      <w:r>
        <w:rPr>
          <w:rFonts w:hint="eastAsia" w:cs="仿宋" w:asciiTheme="minorEastAsia" w:hAnsiTheme="minorEastAsia" w:eastAsiaTheme="minorEastAsia"/>
          <w:color w:val="000000"/>
          <w:spacing w:val="-17"/>
          <w:w w:val="15"/>
          <w:kern w:val="0"/>
          <w:szCs w:val="21"/>
          <w:fitText w:val="42" w:id="362880125"/>
        </w:rPr>
        <w:t>　</w:t>
      </w:r>
      <w:r>
        <w:rPr>
          <w:rFonts w:hint="eastAsia" w:asciiTheme="minorEastAsia" w:hAnsiTheme="minorEastAsia" w:eastAsiaTheme="minorEastAsia"/>
          <w:color w:val="000000"/>
          <w:szCs w:val="21"/>
        </w:rPr>
        <w:t>m；</w:t>
      </w:r>
      <w:r>
        <w:rPr>
          <w:rFonts w:asciiTheme="minorEastAsia" w:hAnsiTheme="minorEastAsia" w:eastAsiaTheme="minorEastAsia"/>
          <w:szCs w:val="21"/>
        </w:rPr>
        <w:t>人工接地体与建筑物的外墙</w:t>
      </w:r>
      <w:r>
        <w:rPr>
          <w:rFonts w:hint="eastAsia" w:asciiTheme="minorEastAsia" w:hAnsiTheme="minorEastAsia" w:eastAsiaTheme="minorEastAsia"/>
          <w:szCs w:val="21"/>
        </w:rPr>
        <w:t>或基础之间的水平距离不宜小于</w:t>
      </w:r>
      <w:r>
        <w:rPr>
          <w:rFonts w:hint="eastAsia" w:asciiTheme="minorEastAsia" w:hAnsiTheme="minorEastAsia" w:eastAsiaTheme="minorEastAsia"/>
          <w:color w:val="000000"/>
          <w:szCs w:val="21"/>
        </w:rPr>
        <w:t>1</w:t>
      </w:r>
      <w:r>
        <w:rPr>
          <w:rFonts w:hint="eastAsia" w:cs="仿宋" w:asciiTheme="minorEastAsia" w:hAnsiTheme="minorEastAsia" w:eastAsiaTheme="minorEastAsia"/>
          <w:color w:val="000000"/>
          <w:spacing w:val="0"/>
          <w:w w:val="15"/>
          <w:kern w:val="0"/>
          <w:szCs w:val="21"/>
          <w:fitText w:val="42" w:id="1490185145"/>
        </w:rPr>
        <w:t xml:space="preserve">　 </w:t>
      </w:r>
      <w:r>
        <w:rPr>
          <w:rFonts w:hint="eastAsia" w:cs="仿宋" w:asciiTheme="minorEastAsia" w:hAnsiTheme="minorEastAsia" w:eastAsiaTheme="minorEastAsia"/>
          <w:color w:val="000000"/>
          <w:spacing w:val="-17"/>
          <w:w w:val="15"/>
          <w:kern w:val="0"/>
          <w:szCs w:val="21"/>
          <w:fitText w:val="42" w:id="1490185145"/>
        </w:rPr>
        <w:t>　</w:t>
      </w:r>
      <w:r>
        <w:rPr>
          <w:rFonts w:hint="eastAsia" w:asciiTheme="minorEastAsia" w:hAnsiTheme="minorEastAsia" w:eastAsiaTheme="minorEastAsia"/>
          <w:color w:val="000000"/>
          <w:szCs w:val="21"/>
        </w:rPr>
        <w:t>m</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w:t>
      </w:r>
      <w:r>
        <w:rPr>
          <w:rFonts w:hint="eastAsia" w:asciiTheme="minorEastAsia" w:hAnsiTheme="minorEastAsia" w:eastAsiaTheme="minorEastAsia"/>
          <w:color w:val="000000"/>
          <w:szCs w:val="21"/>
        </w:rPr>
        <w:t>：</w:t>
      </w:r>
      <w:r>
        <w:rPr>
          <w:rFonts w:asciiTheme="minorEastAsia" w:hAnsiTheme="minorEastAsia" w:eastAsiaTheme="minorEastAsia"/>
          <w:szCs w:val="21"/>
        </w:rPr>
        <w:t>全数检查。</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w:t>
      </w:r>
      <w:r>
        <w:rPr>
          <w:rFonts w:hint="eastAsia" w:asciiTheme="minorEastAsia" w:hAnsiTheme="minorEastAsia" w:eastAsiaTheme="minorEastAsia"/>
          <w:color w:val="000000"/>
          <w:szCs w:val="21"/>
        </w:rPr>
        <w:t>：</w:t>
      </w:r>
      <w:r>
        <w:rPr>
          <w:rFonts w:asciiTheme="minorEastAsia" w:hAnsiTheme="minorEastAsia" w:eastAsiaTheme="minorEastAsia"/>
          <w:szCs w:val="21"/>
        </w:rPr>
        <w:t>施工中观察检查并用尺量检查</w:t>
      </w:r>
      <w:r>
        <w:rPr>
          <w:rFonts w:hint="eastAsia" w:asciiTheme="minorEastAsia" w:hAnsiTheme="minorEastAsia" w:eastAsiaTheme="minorEastAsia"/>
          <w:color w:val="000000"/>
          <w:szCs w:val="21"/>
        </w:rPr>
        <w:t>，</w:t>
      </w:r>
      <w:r>
        <w:rPr>
          <w:rFonts w:asciiTheme="minorEastAsia" w:hAnsiTheme="minorEastAsia" w:eastAsiaTheme="minorEastAsia"/>
          <w:szCs w:val="21"/>
        </w:rPr>
        <w:t>查阅隐蔽工程检查</w:t>
      </w:r>
      <w:r>
        <w:rPr>
          <w:rFonts w:hint="eastAsia" w:asciiTheme="minorEastAsia" w:hAnsiTheme="minorEastAsia" w:eastAsiaTheme="minorEastAsia"/>
          <w:szCs w:val="21"/>
        </w:rPr>
        <w:t>记录。</w:t>
      </w:r>
    </w:p>
    <w:p>
      <w:pPr>
        <w:pStyle w:val="41"/>
        <w:numPr>
          <w:ilvl w:val="0"/>
          <w:numId w:val="174"/>
        </w:numPr>
        <w:spacing w:line="360" w:lineRule="auto"/>
        <w:ind w:left="0" w:firstLine="0" w:firstLineChars="0"/>
        <w:rPr>
          <w:rFonts w:asciiTheme="minorEastAsia" w:hAnsiTheme="minorEastAsia" w:eastAsiaTheme="minorEastAsia"/>
          <w:szCs w:val="21"/>
        </w:rPr>
      </w:pPr>
      <w:r>
        <w:rPr>
          <w:rFonts w:asciiTheme="minorEastAsia" w:hAnsiTheme="minorEastAsia" w:eastAsiaTheme="minorEastAsia"/>
          <w:szCs w:val="21"/>
        </w:rPr>
        <w:t>接地装置的焊接应采用搭接焊</w:t>
      </w:r>
      <w:r>
        <w:rPr>
          <w:rFonts w:hint="eastAsia" w:asciiTheme="minorEastAsia" w:hAnsiTheme="minorEastAsia" w:eastAsiaTheme="minorEastAsia"/>
          <w:color w:val="000000"/>
          <w:szCs w:val="21"/>
        </w:rPr>
        <w:t>，</w:t>
      </w:r>
      <w:r>
        <w:rPr>
          <w:rFonts w:asciiTheme="minorEastAsia" w:hAnsiTheme="minorEastAsia" w:eastAsiaTheme="minorEastAsia"/>
          <w:szCs w:val="21"/>
        </w:rPr>
        <w:t>除埋设在混凝土中的焊</w:t>
      </w:r>
      <w:r>
        <w:rPr>
          <w:rFonts w:hint="eastAsia" w:asciiTheme="minorEastAsia" w:hAnsiTheme="minorEastAsia" w:eastAsiaTheme="minorEastAsia"/>
          <w:szCs w:val="21"/>
        </w:rPr>
        <w:t>接接头外</w:t>
      </w:r>
      <w:r>
        <w:rPr>
          <w:rFonts w:hint="eastAsia" w:asciiTheme="minorEastAsia" w:hAnsiTheme="minorEastAsia" w:eastAsiaTheme="minorEastAsia"/>
          <w:color w:val="000000"/>
          <w:szCs w:val="21"/>
        </w:rPr>
        <w:t>，</w:t>
      </w:r>
      <w:r>
        <w:rPr>
          <w:rFonts w:asciiTheme="minorEastAsia" w:hAnsiTheme="minorEastAsia" w:eastAsiaTheme="minorEastAsia"/>
          <w:szCs w:val="21"/>
        </w:rPr>
        <w:t>应采取防腐措施</w:t>
      </w:r>
      <w:r>
        <w:rPr>
          <w:rFonts w:hint="eastAsia" w:asciiTheme="minorEastAsia" w:hAnsiTheme="minorEastAsia" w:eastAsiaTheme="minorEastAsia"/>
          <w:color w:val="000000"/>
          <w:szCs w:val="21"/>
        </w:rPr>
        <w:t>，</w:t>
      </w:r>
      <w:r>
        <w:rPr>
          <w:rFonts w:asciiTheme="minorEastAsia" w:hAnsiTheme="minorEastAsia" w:eastAsiaTheme="minorEastAsia"/>
          <w:szCs w:val="21"/>
        </w:rPr>
        <w:t>焊接搭接长度应符合下列规定</w:t>
      </w:r>
      <w:r>
        <w:rPr>
          <w:rFonts w:hint="eastAsia" w:asciiTheme="minorEastAsia" w:hAnsiTheme="minorEastAsia" w:eastAsiaTheme="minorEastAsia"/>
          <w:color w:val="000000"/>
          <w:szCs w:val="21"/>
        </w:rPr>
        <w:t>：</w:t>
      </w:r>
    </w:p>
    <w:p>
      <w:pPr>
        <w:pStyle w:val="41"/>
        <w:numPr>
          <w:ilvl w:val="1"/>
          <w:numId w:val="176"/>
        </w:numPr>
        <w:spacing w:line="360"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扁钢与扁钢搭接不应小于扁钢宽度的2倍</w:t>
      </w:r>
      <w:r>
        <w:rPr>
          <w:rFonts w:hint="eastAsia" w:asciiTheme="minorEastAsia" w:hAnsiTheme="minorEastAsia" w:eastAsiaTheme="minorEastAsia"/>
          <w:color w:val="000000"/>
          <w:szCs w:val="21"/>
        </w:rPr>
        <w:t>，</w:t>
      </w:r>
      <w:r>
        <w:rPr>
          <w:rFonts w:asciiTheme="minorEastAsia" w:hAnsiTheme="minorEastAsia" w:eastAsiaTheme="minorEastAsia"/>
          <w:szCs w:val="21"/>
        </w:rPr>
        <w:t>且应至少三面</w:t>
      </w:r>
      <w:r>
        <w:rPr>
          <w:rFonts w:hint="eastAsia" w:asciiTheme="minorEastAsia" w:hAnsiTheme="minorEastAsia" w:eastAsiaTheme="minorEastAsia"/>
          <w:szCs w:val="21"/>
        </w:rPr>
        <w:t>施焊</w:t>
      </w:r>
      <w:r>
        <w:rPr>
          <w:rFonts w:hint="eastAsia" w:asciiTheme="minorEastAsia" w:hAnsiTheme="minorEastAsia" w:eastAsiaTheme="minorEastAsia"/>
          <w:color w:val="000000"/>
          <w:szCs w:val="21"/>
        </w:rPr>
        <w:t>；</w:t>
      </w:r>
    </w:p>
    <w:p>
      <w:pPr>
        <w:pStyle w:val="41"/>
        <w:numPr>
          <w:ilvl w:val="1"/>
          <w:numId w:val="176"/>
        </w:numPr>
        <w:spacing w:line="360"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圆钢与圆钢搭接不应小于圆钢直径的6倍</w:t>
      </w:r>
      <w:r>
        <w:rPr>
          <w:rFonts w:hint="eastAsia" w:asciiTheme="minorEastAsia" w:hAnsiTheme="minorEastAsia" w:eastAsiaTheme="minorEastAsia"/>
          <w:color w:val="000000"/>
          <w:szCs w:val="21"/>
        </w:rPr>
        <w:t>，</w:t>
      </w:r>
      <w:r>
        <w:rPr>
          <w:rFonts w:asciiTheme="minorEastAsia" w:hAnsiTheme="minorEastAsia" w:eastAsiaTheme="minorEastAsia"/>
          <w:szCs w:val="21"/>
        </w:rPr>
        <w:t>且应双面</w:t>
      </w:r>
      <w:r>
        <w:rPr>
          <w:rFonts w:hint="eastAsia" w:asciiTheme="minorEastAsia" w:hAnsiTheme="minorEastAsia" w:eastAsiaTheme="minorEastAsia"/>
          <w:szCs w:val="21"/>
        </w:rPr>
        <w:t>施焊</w:t>
      </w:r>
      <w:r>
        <w:rPr>
          <w:rFonts w:hint="eastAsia" w:asciiTheme="minorEastAsia" w:hAnsiTheme="minorEastAsia" w:eastAsiaTheme="minorEastAsia"/>
          <w:color w:val="000000"/>
          <w:szCs w:val="21"/>
        </w:rPr>
        <w:t>；</w:t>
      </w:r>
    </w:p>
    <w:p>
      <w:pPr>
        <w:pStyle w:val="41"/>
        <w:numPr>
          <w:ilvl w:val="1"/>
          <w:numId w:val="176"/>
        </w:numPr>
        <w:spacing w:line="360"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圆钢与扁钢搭接不应小于圆 钢直径的6倍</w:t>
      </w:r>
      <w:r>
        <w:rPr>
          <w:rFonts w:hint="eastAsia" w:asciiTheme="minorEastAsia" w:hAnsiTheme="minorEastAsia" w:eastAsiaTheme="minorEastAsia"/>
          <w:color w:val="000000"/>
          <w:szCs w:val="21"/>
        </w:rPr>
        <w:t>，</w:t>
      </w:r>
      <w:r>
        <w:rPr>
          <w:rFonts w:asciiTheme="minorEastAsia" w:hAnsiTheme="minorEastAsia" w:eastAsiaTheme="minorEastAsia"/>
          <w:szCs w:val="21"/>
        </w:rPr>
        <w:t>且应双面</w:t>
      </w:r>
      <w:r>
        <w:rPr>
          <w:rFonts w:hint="eastAsia" w:asciiTheme="minorEastAsia" w:hAnsiTheme="minorEastAsia" w:eastAsiaTheme="minorEastAsia"/>
          <w:szCs w:val="21"/>
        </w:rPr>
        <w:t>施焊</w:t>
      </w:r>
      <w:r>
        <w:rPr>
          <w:rFonts w:hint="eastAsia" w:asciiTheme="minorEastAsia" w:hAnsiTheme="minorEastAsia" w:eastAsiaTheme="minorEastAsia"/>
          <w:color w:val="000000"/>
          <w:szCs w:val="21"/>
        </w:rPr>
        <w:t>；</w:t>
      </w:r>
    </w:p>
    <w:p>
      <w:pPr>
        <w:pStyle w:val="41"/>
        <w:numPr>
          <w:ilvl w:val="1"/>
          <w:numId w:val="176"/>
        </w:numPr>
        <w:spacing w:line="360"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扁钢与钢管</w:t>
      </w:r>
      <w:r>
        <w:rPr>
          <w:rFonts w:hint="eastAsia" w:asciiTheme="minorEastAsia" w:hAnsiTheme="minorEastAsia" w:eastAsiaTheme="minorEastAsia"/>
          <w:color w:val="000000"/>
          <w:szCs w:val="21"/>
        </w:rPr>
        <w:t>，</w:t>
      </w:r>
      <w:r>
        <w:rPr>
          <w:rFonts w:asciiTheme="minorEastAsia" w:hAnsiTheme="minorEastAsia" w:eastAsiaTheme="minorEastAsia"/>
          <w:szCs w:val="21"/>
        </w:rPr>
        <w:t>扁钢与角钢焊接</w:t>
      </w:r>
      <w:r>
        <w:rPr>
          <w:rFonts w:hint="eastAsia" w:asciiTheme="minorEastAsia" w:hAnsiTheme="minorEastAsia" w:eastAsiaTheme="minorEastAsia"/>
          <w:color w:val="000000"/>
          <w:szCs w:val="21"/>
        </w:rPr>
        <w:t>，</w:t>
      </w:r>
      <w:r>
        <w:rPr>
          <w:rFonts w:asciiTheme="minorEastAsia" w:hAnsiTheme="minorEastAsia" w:eastAsiaTheme="minorEastAsia"/>
          <w:szCs w:val="21"/>
        </w:rPr>
        <w:t>应紧贴角钢外侧两面</w:t>
      </w:r>
      <w:r>
        <w:rPr>
          <w:rFonts w:hint="eastAsia" w:asciiTheme="minorEastAsia" w:hAnsiTheme="minorEastAsia" w:eastAsiaTheme="minorEastAsia"/>
          <w:color w:val="000000"/>
          <w:szCs w:val="21"/>
        </w:rPr>
        <w:t>，</w:t>
      </w:r>
      <w:r>
        <w:rPr>
          <w:rFonts w:asciiTheme="minorEastAsia" w:hAnsiTheme="minorEastAsia" w:eastAsiaTheme="minorEastAsia"/>
          <w:szCs w:val="21"/>
        </w:rPr>
        <w:t>或紧</w:t>
      </w:r>
      <w:r>
        <w:rPr>
          <w:rFonts w:hint="eastAsia" w:asciiTheme="minorEastAsia" w:hAnsiTheme="minorEastAsia" w:eastAsiaTheme="minorEastAsia"/>
          <w:szCs w:val="21"/>
        </w:rPr>
        <w:t>贴</w:t>
      </w:r>
      <w:r>
        <w:rPr>
          <w:rFonts w:asciiTheme="minorEastAsia" w:hAnsiTheme="minorEastAsia" w:eastAsiaTheme="minorEastAsia"/>
          <w:szCs w:val="21"/>
        </w:rPr>
        <w:t>3/4钢管表面，上下两侧施焊。</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w:t>
      </w:r>
      <w:r>
        <w:rPr>
          <w:rFonts w:hint="eastAsia" w:asciiTheme="minorEastAsia" w:hAnsiTheme="minorEastAsia" w:eastAsiaTheme="minorEastAsia"/>
          <w:color w:val="000000"/>
          <w:szCs w:val="21"/>
        </w:rPr>
        <w:t>：</w:t>
      </w:r>
      <w:r>
        <w:rPr>
          <w:rFonts w:asciiTheme="minorEastAsia" w:hAnsiTheme="minorEastAsia" w:eastAsiaTheme="minorEastAsia"/>
          <w:szCs w:val="21"/>
        </w:rPr>
        <w:t>按不同搭接类别各抽查10</w:t>
      </w:r>
      <w:r>
        <w:rPr>
          <w:rFonts w:hint="eastAsia" w:asciiTheme="minorEastAsia" w:hAnsiTheme="minorEastAsia" w:eastAsiaTheme="minorEastAsia"/>
          <w:szCs w:val="21"/>
        </w:rPr>
        <w:t>%，</w:t>
      </w:r>
      <w:r>
        <w:rPr>
          <w:rFonts w:asciiTheme="minorEastAsia" w:hAnsiTheme="minorEastAsia" w:eastAsiaTheme="minorEastAsia"/>
          <w:szCs w:val="21"/>
        </w:rPr>
        <w:t>且均不得少于1处。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w:t>
      </w:r>
      <w:r>
        <w:rPr>
          <w:rFonts w:hint="eastAsia" w:asciiTheme="minorEastAsia" w:hAnsiTheme="minorEastAsia" w:eastAsiaTheme="minorEastAsia"/>
          <w:color w:val="000000"/>
          <w:szCs w:val="21"/>
        </w:rPr>
        <w:t>：</w:t>
      </w:r>
      <w:r>
        <w:rPr>
          <w:rFonts w:asciiTheme="minorEastAsia" w:hAnsiTheme="minorEastAsia" w:eastAsiaTheme="minorEastAsia"/>
          <w:szCs w:val="21"/>
        </w:rPr>
        <w:t>施工中观察检查并用尺量检查</w:t>
      </w:r>
      <w:r>
        <w:rPr>
          <w:rFonts w:hint="eastAsia" w:asciiTheme="minorEastAsia" w:hAnsiTheme="minorEastAsia" w:eastAsiaTheme="minorEastAsia"/>
          <w:color w:val="000000"/>
          <w:szCs w:val="21"/>
        </w:rPr>
        <w:t>，</w:t>
      </w:r>
      <w:r>
        <w:rPr>
          <w:rFonts w:asciiTheme="minorEastAsia" w:hAnsiTheme="minorEastAsia" w:eastAsiaTheme="minorEastAsia"/>
          <w:szCs w:val="21"/>
        </w:rPr>
        <w:t>查阅相关隐蔽工程</w:t>
      </w:r>
      <w:r>
        <w:rPr>
          <w:rFonts w:hint="eastAsia" w:asciiTheme="minorEastAsia" w:hAnsiTheme="minorEastAsia" w:eastAsiaTheme="minorEastAsia"/>
          <w:szCs w:val="21"/>
        </w:rPr>
        <w:t>检查记录。</w:t>
      </w:r>
    </w:p>
    <w:p>
      <w:pPr>
        <w:pStyle w:val="41"/>
        <w:numPr>
          <w:ilvl w:val="0"/>
          <w:numId w:val="174"/>
        </w:numPr>
        <w:spacing w:line="360" w:lineRule="auto"/>
        <w:ind w:left="0" w:firstLine="0" w:firstLineChars="0"/>
        <w:rPr>
          <w:rFonts w:asciiTheme="minorEastAsia" w:hAnsiTheme="minorEastAsia" w:eastAsiaTheme="minorEastAsia"/>
          <w:szCs w:val="21"/>
        </w:rPr>
      </w:pPr>
      <w:r>
        <w:rPr>
          <w:rFonts w:asciiTheme="minorEastAsia" w:hAnsiTheme="minorEastAsia" w:eastAsiaTheme="minorEastAsia"/>
          <w:szCs w:val="21"/>
        </w:rPr>
        <w:t>当接地极为铜材和钢材组成</w:t>
      </w:r>
      <w:r>
        <w:rPr>
          <w:rFonts w:hint="eastAsia" w:asciiTheme="minorEastAsia" w:hAnsiTheme="minorEastAsia" w:eastAsiaTheme="minorEastAsia"/>
          <w:color w:val="000000"/>
          <w:szCs w:val="21"/>
        </w:rPr>
        <w:t>，</w:t>
      </w:r>
      <w:r>
        <w:rPr>
          <w:rFonts w:asciiTheme="minorEastAsia" w:hAnsiTheme="minorEastAsia" w:eastAsiaTheme="minorEastAsia"/>
          <w:szCs w:val="21"/>
        </w:rPr>
        <w:t>且铜与铜或铜与钢材连接</w:t>
      </w:r>
      <w:r>
        <w:rPr>
          <w:rFonts w:hint="eastAsia" w:asciiTheme="minorEastAsia" w:hAnsiTheme="minorEastAsia" w:eastAsiaTheme="minorEastAsia"/>
          <w:szCs w:val="21"/>
        </w:rPr>
        <w:t>采用热剂焊（热熔焊）时</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其焊接接头应符合下列规定：</w:t>
      </w:r>
    </w:p>
    <w:p>
      <w:pPr>
        <w:pStyle w:val="41"/>
        <w:numPr>
          <w:ilvl w:val="1"/>
          <w:numId w:val="177"/>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被连接的导体应完全包在接头里</w:t>
      </w:r>
      <w:r>
        <w:rPr>
          <w:rFonts w:hint="eastAsia" w:asciiTheme="minorEastAsia" w:hAnsiTheme="minorEastAsia" w:eastAsiaTheme="minorEastAsia"/>
          <w:color w:val="000000"/>
          <w:szCs w:val="21"/>
        </w:rPr>
        <w:t>；</w:t>
      </w:r>
    </w:p>
    <w:p>
      <w:pPr>
        <w:pStyle w:val="41"/>
        <w:numPr>
          <w:ilvl w:val="1"/>
          <w:numId w:val="177"/>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连接部位的金属应完全熔化且连接牢固；</w:t>
      </w:r>
    </w:p>
    <w:p>
      <w:pPr>
        <w:pStyle w:val="41"/>
        <w:numPr>
          <w:ilvl w:val="1"/>
          <w:numId w:val="177"/>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焊接头的表面应平滑</w:t>
      </w:r>
      <w:r>
        <w:rPr>
          <w:rFonts w:hint="eastAsia" w:asciiTheme="minorEastAsia" w:hAnsiTheme="minorEastAsia" w:eastAsiaTheme="minorEastAsia"/>
          <w:color w:val="000000"/>
          <w:szCs w:val="21"/>
        </w:rPr>
        <w:t>；</w:t>
      </w:r>
    </w:p>
    <w:p>
      <w:pPr>
        <w:pStyle w:val="41"/>
        <w:numPr>
          <w:ilvl w:val="1"/>
          <w:numId w:val="177"/>
        </w:numPr>
        <w:spacing w:line="360"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接头应无贯穿性的气孔</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w:t>
      </w:r>
      <w:r>
        <w:rPr>
          <w:rFonts w:hint="eastAsia" w:asciiTheme="minorEastAsia" w:hAnsiTheme="minorEastAsia" w:eastAsiaTheme="minorEastAsia"/>
          <w:color w:val="000000"/>
          <w:szCs w:val="21"/>
        </w:rPr>
        <w:t>：</w:t>
      </w:r>
      <w:r>
        <w:rPr>
          <w:rFonts w:asciiTheme="minorEastAsia" w:hAnsiTheme="minorEastAsia" w:eastAsiaTheme="minorEastAsia"/>
          <w:szCs w:val="21"/>
        </w:rPr>
        <w:t>按焊接接头总数量抽查10</w:t>
      </w:r>
      <w:r>
        <w:rPr>
          <w:rFonts w:hint="eastAsia" w:asciiTheme="minorEastAsia" w:hAnsiTheme="minorEastAsia" w:eastAsiaTheme="minorEastAsia"/>
          <w:szCs w:val="21"/>
        </w:rPr>
        <w:t>%，</w:t>
      </w:r>
      <w:r>
        <w:rPr>
          <w:rFonts w:asciiTheme="minorEastAsia" w:hAnsiTheme="minorEastAsia" w:eastAsiaTheme="minorEastAsia"/>
          <w:szCs w:val="21"/>
        </w:rPr>
        <w:t>且不得少于1个。</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w:t>
      </w:r>
      <w:r>
        <w:rPr>
          <w:rFonts w:hint="eastAsia" w:asciiTheme="minorEastAsia" w:hAnsiTheme="minorEastAsia" w:eastAsiaTheme="minorEastAsia"/>
          <w:color w:val="000000"/>
          <w:szCs w:val="21"/>
        </w:rPr>
        <w:t>：</w:t>
      </w:r>
      <w:r>
        <w:rPr>
          <w:rFonts w:asciiTheme="minorEastAsia" w:hAnsiTheme="minorEastAsia" w:eastAsiaTheme="minorEastAsia"/>
          <w:szCs w:val="21"/>
        </w:rPr>
        <w:t>观察检查并查阅施工记录。</w:t>
      </w:r>
    </w:p>
    <w:p>
      <w:pPr>
        <w:pStyle w:val="41"/>
        <w:numPr>
          <w:ilvl w:val="0"/>
          <w:numId w:val="174"/>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采取降阻措施的接地装置应符合下列规定</w:t>
      </w:r>
      <w:r>
        <w:rPr>
          <w:rFonts w:hint="eastAsia" w:asciiTheme="minorEastAsia" w:hAnsiTheme="minorEastAsia" w:eastAsiaTheme="minorEastAsia"/>
          <w:color w:val="000000"/>
          <w:szCs w:val="21"/>
        </w:rPr>
        <w:t>：</w:t>
      </w:r>
    </w:p>
    <w:p>
      <w:pPr>
        <w:pStyle w:val="41"/>
        <w:numPr>
          <w:ilvl w:val="1"/>
          <w:numId w:val="178"/>
        </w:numPr>
        <w:spacing w:line="360"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接地装置应被降阻剂或低电阻率土壤所包覆</w:t>
      </w:r>
      <w:r>
        <w:rPr>
          <w:rFonts w:hint="eastAsia" w:asciiTheme="minorEastAsia" w:hAnsiTheme="minorEastAsia" w:eastAsiaTheme="minorEastAsia"/>
          <w:color w:val="000000"/>
          <w:szCs w:val="21"/>
        </w:rPr>
        <w:t>；</w:t>
      </w:r>
    </w:p>
    <w:p>
      <w:pPr>
        <w:pStyle w:val="41"/>
        <w:numPr>
          <w:ilvl w:val="1"/>
          <w:numId w:val="178"/>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接地模块应集中引线</w:t>
      </w:r>
      <w:r>
        <w:rPr>
          <w:rFonts w:hint="eastAsia" w:asciiTheme="minorEastAsia" w:hAnsiTheme="minorEastAsia" w:eastAsiaTheme="minorEastAsia"/>
          <w:color w:val="000000"/>
          <w:szCs w:val="21"/>
        </w:rPr>
        <w:t>，</w:t>
      </w:r>
      <w:r>
        <w:rPr>
          <w:rFonts w:asciiTheme="minorEastAsia" w:hAnsiTheme="minorEastAsia" w:eastAsiaTheme="minorEastAsia"/>
          <w:szCs w:val="21"/>
        </w:rPr>
        <w:t>并应采用干线将接地模块并联焊接</w:t>
      </w:r>
      <w:r>
        <w:rPr>
          <w:rFonts w:hint="eastAsia" w:asciiTheme="minorEastAsia" w:hAnsiTheme="minorEastAsia" w:eastAsiaTheme="minorEastAsia"/>
          <w:szCs w:val="21"/>
        </w:rPr>
        <w:t>成一个环路</w:t>
      </w:r>
      <w:r>
        <w:rPr>
          <w:rFonts w:hint="eastAsia" w:asciiTheme="minorEastAsia" w:hAnsiTheme="minorEastAsia" w:eastAsiaTheme="minorEastAsia"/>
          <w:color w:val="000000"/>
          <w:szCs w:val="21"/>
        </w:rPr>
        <w:t>，</w:t>
      </w:r>
      <w:r>
        <w:rPr>
          <w:rFonts w:asciiTheme="minorEastAsia" w:hAnsiTheme="minorEastAsia" w:eastAsiaTheme="minorEastAsia"/>
          <w:szCs w:val="21"/>
        </w:rPr>
        <w:t>干线的材质应与接地模块焊接点的材质相同</w:t>
      </w:r>
      <w:r>
        <w:rPr>
          <w:rFonts w:hint="eastAsia" w:asciiTheme="minorEastAsia" w:hAnsiTheme="minorEastAsia" w:eastAsiaTheme="minorEastAsia"/>
          <w:color w:val="000000"/>
          <w:szCs w:val="21"/>
        </w:rPr>
        <w:t>，</w:t>
      </w:r>
      <w:r>
        <w:rPr>
          <w:rFonts w:asciiTheme="minorEastAsia" w:hAnsiTheme="minorEastAsia" w:eastAsiaTheme="minorEastAsia"/>
          <w:szCs w:val="21"/>
        </w:rPr>
        <w:t>钢制的</w:t>
      </w:r>
      <w:r>
        <w:rPr>
          <w:rFonts w:hint="eastAsia" w:asciiTheme="minorEastAsia" w:hAnsiTheme="minorEastAsia" w:eastAsiaTheme="minorEastAsia"/>
          <w:szCs w:val="21"/>
        </w:rPr>
        <w:t>采用热浸镀锌材料的引出线不应少于</w:t>
      </w:r>
      <w:r>
        <w:rPr>
          <w:rFonts w:asciiTheme="minorEastAsia" w:hAnsiTheme="minorEastAsia" w:eastAsiaTheme="minorEastAsia"/>
          <w:szCs w:val="21"/>
        </w:rPr>
        <w:t>2处。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w:t>
      </w:r>
      <w:r>
        <w:rPr>
          <w:rFonts w:hint="eastAsia" w:asciiTheme="minorEastAsia" w:hAnsiTheme="minorEastAsia" w:eastAsiaTheme="minorEastAsia"/>
          <w:color w:val="000000"/>
          <w:szCs w:val="21"/>
        </w:rPr>
        <w:t>：</w:t>
      </w:r>
      <w:r>
        <w:rPr>
          <w:rFonts w:asciiTheme="minorEastAsia" w:hAnsiTheme="minorEastAsia" w:eastAsiaTheme="minorEastAsia"/>
          <w:szCs w:val="21"/>
        </w:rPr>
        <w:t>全数检查。</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w:t>
      </w:r>
      <w:r>
        <w:rPr>
          <w:rFonts w:hint="eastAsia" w:asciiTheme="minorEastAsia" w:hAnsiTheme="minorEastAsia" w:eastAsiaTheme="minorEastAsia"/>
          <w:color w:val="000000"/>
          <w:szCs w:val="21"/>
        </w:rPr>
        <w:t>：</w:t>
      </w:r>
      <w:r>
        <w:rPr>
          <w:rFonts w:asciiTheme="minorEastAsia" w:hAnsiTheme="minorEastAsia" w:eastAsiaTheme="minorEastAsia"/>
          <w:szCs w:val="21"/>
        </w:rPr>
        <w:t>观察检查</w:t>
      </w:r>
      <w:r>
        <w:rPr>
          <w:rFonts w:hint="eastAsia" w:asciiTheme="minorEastAsia" w:hAnsiTheme="minorEastAsia" w:eastAsiaTheme="minorEastAsia"/>
          <w:color w:val="000000"/>
          <w:szCs w:val="21"/>
        </w:rPr>
        <w:t>，</w:t>
      </w:r>
      <w:r>
        <w:rPr>
          <w:rFonts w:asciiTheme="minorEastAsia" w:hAnsiTheme="minorEastAsia" w:eastAsiaTheme="minorEastAsia"/>
          <w:szCs w:val="21"/>
        </w:rPr>
        <w:t>并查阅隐蔽工程检查记录。</w:t>
      </w:r>
    </w:p>
    <w:p>
      <w:pPr>
        <w:pStyle w:val="41"/>
        <w:numPr>
          <w:ilvl w:val="0"/>
          <w:numId w:val="174"/>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接地装置的回填土应符合下列要求：</w:t>
      </w:r>
    </w:p>
    <w:p>
      <w:pPr>
        <w:pStyle w:val="41"/>
        <w:numPr>
          <w:ilvl w:val="1"/>
          <w:numId w:val="17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回填土内不应夹有石块和建筑垃圾等，外取的土壤不应有较强的腐蚀性；在回填土时应分层夯实，室外接地沟回填宜有</w:t>
      </w:r>
      <w:r>
        <w:rPr>
          <w:rFonts w:hint="eastAsia" w:asciiTheme="minorEastAsia" w:hAnsiTheme="minorEastAsia" w:eastAsiaTheme="minorEastAsia"/>
          <w:color w:val="000000"/>
          <w:szCs w:val="21"/>
        </w:rPr>
        <w:t>100</w:t>
      </w:r>
      <w:r>
        <w:rPr>
          <w:rFonts w:hint="eastAsia" w:cs="仿宋" w:asciiTheme="minorEastAsia" w:hAnsiTheme="minorEastAsia" w:eastAsiaTheme="minorEastAsia"/>
          <w:color w:val="000000"/>
          <w:spacing w:val="0"/>
          <w:w w:val="15"/>
          <w:kern w:val="0"/>
          <w:szCs w:val="21"/>
          <w:fitText w:val="42" w:id="262210445"/>
        </w:rPr>
        <w:t xml:space="preserve">　 </w:t>
      </w:r>
      <w:r>
        <w:rPr>
          <w:rFonts w:hint="eastAsia" w:cs="仿宋" w:asciiTheme="minorEastAsia" w:hAnsiTheme="minorEastAsia" w:eastAsiaTheme="minorEastAsia"/>
          <w:color w:val="000000"/>
          <w:spacing w:val="-17"/>
          <w:w w:val="15"/>
          <w:kern w:val="0"/>
          <w:szCs w:val="21"/>
          <w:fitText w:val="42" w:id="262210445"/>
        </w:rPr>
        <w:t>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300</w:t>
      </w:r>
      <w:r>
        <w:rPr>
          <w:rFonts w:hint="eastAsia" w:cs="仿宋" w:asciiTheme="minorEastAsia" w:hAnsiTheme="minorEastAsia" w:eastAsiaTheme="minorEastAsia"/>
          <w:color w:val="000000"/>
          <w:spacing w:val="0"/>
          <w:w w:val="15"/>
          <w:kern w:val="0"/>
          <w:szCs w:val="21"/>
          <w:fitText w:val="42" w:id="842672781"/>
        </w:rPr>
        <w:t xml:space="preserve">　 </w:t>
      </w:r>
      <w:r>
        <w:rPr>
          <w:rFonts w:hint="eastAsia" w:cs="仿宋" w:asciiTheme="minorEastAsia" w:hAnsiTheme="minorEastAsia" w:eastAsiaTheme="minorEastAsia"/>
          <w:color w:val="000000"/>
          <w:spacing w:val="-17"/>
          <w:w w:val="15"/>
          <w:kern w:val="0"/>
          <w:szCs w:val="21"/>
          <w:fitText w:val="42" w:id="842672781"/>
        </w:rPr>
        <w:t>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高度的防沉层。</w:t>
      </w:r>
    </w:p>
    <w:p>
      <w:pPr>
        <w:pStyle w:val="41"/>
        <w:numPr>
          <w:ilvl w:val="1"/>
          <w:numId w:val="179"/>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在山区石质地段或电阻率较高的土质区段的土沟中敷设接地极，回填不应少于</w:t>
      </w:r>
      <w:r>
        <w:rPr>
          <w:rFonts w:hint="eastAsia" w:asciiTheme="minorEastAsia" w:hAnsiTheme="minorEastAsia" w:eastAsiaTheme="minorEastAsia"/>
          <w:color w:val="000000"/>
          <w:szCs w:val="21"/>
        </w:rPr>
        <w:t>100</w:t>
      </w:r>
      <w:r>
        <w:rPr>
          <w:rFonts w:hint="eastAsia" w:cs="仿宋" w:asciiTheme="minorEastAsia" w:hAnsiTheme="minorEastAsia" w:eastAsiaTheme="minorEastAsia"/>
          <w:color w:val="000000"/>
          <w:spacing w:val="0"/>
          <w:w w:val="15"/>
          <w:kern w:val="0"/>
          <w:szCs w:val="21"/>
          <w:fitText w:val="42" w:id="1270043597"/>
        </w:rPr>
        <w:t xml:space="preserve">　 </w:t>
      </w:r>
      <w:r>
        <w:rPr>
          <w:rFonts w:hint="eastAsia" w:cs="仿宋" w:asciiTheme="minorEastAsia" w:hAnsiTheme="minorEastAsia" w:eastAsiaTheme="minorEastAsia"/>
          <w:color w:val="000000"/>
          <w:spacing w:val="-17"/>
          <w:w w:val="15"/>
          <w:kern w:val="0"/>
          <w:szCs w:val="21"/>
          <w:fitText w:val="42" w:id="1270043597"/>
        </w:rPr>
        <w:t>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厚的净土垫层，并应用净土分层夯实回填。</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每项要求</w:t>
      </w:r>
      <w:r>
        <w:rPr>
          <w:rFonts w:asciiTheme="minorEastAsia" w:hAnsiTheme="minorEastAsia" w:eastAsiaTheme="minorEastAsia"/>
          <w:szCs w:val="21"/>
        </w:rPr>
        <w:t>各抽查10</w:t>
      </w:r>
      <w:r>
        <w:rPr>
          <w:rFonts w:hint="eastAsia" w:asciiTheme="minorEastAsia" w:hAnsiTheme="minorEastAsia" w:eastAsiaTheme="minorEastAsia"/>
          <w:szCs w:val="21"/>
        </w:rPr>
        <w:t>%，</w:t>
      </w:r>
      <w:r>
        <w:rPr>
          <w:rFonts w:asciiTheme="minorEastAsia" w:hAnsiTheme="minorEastAsia" w:eastAsiaTheme="minorEastAsia"/>
          <w:szCs w:val="21"/>
        </w:rPr>
        <w:t>且均不得少于1处。</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w:t>
      </w:r>
      <w:r>
        <w:rPr>
          <w:rFonts w:hint="eastAsia" w:asciiTheme="minorEastAsia" w:hAnsiTheme="minorEastAsia" w:eastAsiaTheme="minorEastAsia"/>
          <w:color w:val="000000"/>
          <w:szCs w:val="21"/>
        </w:rPr>
        <w:t>：</w:t>
      </w:r>
      <w:r>
        <w:rPr>
          <w:rFonts w:asciiTheme="minorEastAsia" w:hAnsiTheme="minorEastAsia" w:eastAsiaTheme="minorEastAsia"/>
          <w:szCs w:val="21"/>
        </w:rPr>
        <w:t>施工中观察检查并用尺量检查</w:t>
      </w:r>
      <w:r>
        <w:rPr>
          <w:rFonts w:hint="eastAsia" w:asciiTheme="minorEastAsia" w:hAnsiTheme="minorEastAsia" w:eastAsiaTheme="minorEastAsia"/>
          <w:color w:val="000000"/>
          <w:szCs w:val="21"/>
        </w:rPr>
        <w:t>，</w:t>
      </w:r>
      <w:r>
        <w:rPr>
          <w:rFonts w:asciiTheme="minorEastAsia" w:hAnsiTheme="minorEastAsia" w:eastAsiaTheme="minorEastAsia"/>
          <w:szCs w:val="21"/>
        </w:rPr>
        <w:t>查阅相关隐蔽工程</w:t>
      </w:r>
      <w:r>
        <w:rPr>
          <w:rFonts w:hint="eastAsia" w:asciiTheme="minorEastAsia" w:hAnsiTheme="minorEastAsia" w:eastAsiaTheme="minorEastAsia"/>
          <w:szCs w:val="21"/>
        </w:rPr>
        <w:t>检查记录。</w:t>
      </w:r>
    </w:p>
    <w:p>
      <w:pPr>
        <w:pStyle w:val="41"/>
        <w:numPr>
          <w:ilvl w:val="0"/>
          <w:numId w:val="174"/>
        </w:numPr>
        <w:spacing w:line="360" w:lineRule="auto"/>
        <w:ind w:left="0" w:firstLine="0" w:firstLineChars="0"/>
        <w:rPr>
          <w:rFonts w:cs="Calibri" w:asciiTheme="minorEastAsia" w:hAnsiTheme="minorEastAsia" w:eastAsiaTheme="minorEastAsia"/>
          <w:szCs w:val="21"/>
        </w:rPr>
      </w:pPr>
      <w:r>
        <w:rPr>
          <w:rFonts w:cs="Calibri" w:asciiTheme="minorEastAsia" w:hAnsiTheme="minorEastAsia" w:eastAsiaTheme="minorEastAsia"/>
          <w:szCs w:val="21"/>
        </w:rPr>
        <w:t>明敷接地线的安装应符合下列要求</w:t>
      </w:r>
      <w:r>
        <w:rPr>
          <w:rFonts w:hint="eastAsia" w:cs="Calibri" w:asciiTheme="minorEastAsia" w:hAnsiTheme="minorEastAsia" w:eastAsiaTheme="minorEastAsia"/>
          <w:color w:val="000000"/>
          <w:szCs w:val="21"/>
        </w:rPr>
        <w:t>：</w:t>
      </w:r>
    </w:p>
    <w:p>
      <w:pPr>
        <w:pStyle w:val="41"/>
        <w:numPr>
          <w:ilvl w:val="1"/>
          <w:numId w:val="180"/>
        </w:numPr>
        <w:spacing w:line="360"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接地线的安装位置应合理，便于检查，不应妨碍设备检修和运行巡</w:t>
      </w:r>
      <w:r>
        <w:rPr>
          <w:rFonts w:hint="eastAsia" w:asciiTheme="minorEastAsia" w:hAnsiTheme="minorEastAsia" w:eastAsiaTheme="minorEastAsia"/>
          <w:szCs w:val="21"/>
        </w:rPr>
        <w:t>视。</w:t>
      </w:r>
    </w:p>
    <w:p>
      <w:pPr>
        <w:pStyle w:val="41"/>
        <w:numPr>
          <w:ilvl w:val="1"/>
          <w:numId w:val="180"/>
        </w:numPr>
        <w:spacing w:line="360"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接地线的连接应可靠，不应因加工造成接地线截面减小、强度减弱</w:t>
      </w:r>
      <w:r>
        <w:rPr>
          <w:rFonts w:hint="eastAsia" w:asciiTheme="minorEastAsia" w:hAnsiTheme="minorEastAsia" w:eastAsiaTheme="minorEastAsia"/>
          <w:szCs w:val="21"/>
        </w:rPr>
        <w:t>或锈蚀等问题。</w:t>
      </w:r>
    </w:p>
    <w:p>
      <w:pPr>
        <w:pStyle w:val="41"/>
        <w:numPr>
          <w:ilvl w:val="1"/>
          <w:numId w:val="180"/>
        </w:numPr>
        <w:spacing w:line="360"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接地线支撑件间的距离，在水平直线部分宜为</w:t>
      </w:r>
      <w:r>
        <w:rPr>
          <w:rFonts w:asciiTheme="minorEastAsia" w:hAnsiTheme="minorEastAsia" w:eastAsiaTheme="minorEastAsia"/>
          <w:color w:val="000000"/>
          <w:szCs w:val="21"/>
        </w:rPr>
        <w:t>0.</w:t>
      </w:r>
      <w:r>
        <w:rPr>
          <w:rFonts w:hint="eastAsia" w:asciiTheme="minorEastAsia" w:hAnsiTheme="minorEastAsia" w:eastAsiaTheme="minorEastAsia"/>
          <w:color w:val="000000"/>
          <w:szCs w:val="21"/>
        </w:rPr>
        <w:t>5</w:t>
      </w:r>
      <w:r>
        <w:rPr>
          <w:rFonts w:hint="eastAsia" w:cs="仿宋" w:asciiTheme="minorEastAsia" w:hAnsiTheme="minorEastAsia" w:eastAsiaTheme="minorEastAsia"/>
          <w:color w:val="000000"/>
          <w:spacing w:val="0"/>
          <w:w w:val="15"/>
          <w:kern w:val="0"/>
          <w:szCs w:val="21"/>
          <w:fitText w:val="42" w:id="228339947"/>
        </w:rPr>
        <w:t xml:space="preserve">　 </w:t>
      </w:r>
      <w:r>
        <w:rPr>
          <w:rFonts w:hint="eastAsia" w:cs="仿宋" w:asciiTheme="minorEastAsia" w:hAnsiTheme="minorEastAsia" w:eastAsiaTheme="minorEastAsia"/>
          <w:color w:val="000000"/>
          <w:spacing w:val="-17"/>
          <w:w w:val="15"/>
          <w:kern w:val="0"/>
          <w:szCs w:val="21"/>
          <w:fitText w:val="42" w:id="228339947"/>
        </w:rPr>
        <w:t>　</w:t>
      </w:r>
      <w:r>
        <w:rPr>
          <w:rFonts w:hint="eastAsia" w:asciiTheme="minorEastAsia" w:hAnsiTheme="minorEastAsia" w:eastAsiaTheme="minorEastAsia"/>
          <w:color w:val="000000"/>
          <w:szCs w:val="21"/>
        </w:rPr>
        <w:t>m</w:t>
      </w:r>
      <w:r>
        <w:rPr>
          <w:rFonts w:asciiTheme="minorEastAsia" w:hAnsiTheme="minorEastAsia" w:eastAsiaTheme="minorEastAsia"/>
          <w:szCs w:val="21"/>
        </w:rPr>
        <w:t>～</w:t>
      </w: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5</w:t>
      </w:r>
      <w:r>
        <w:rPr>
          <w:rFonts w:hint="eastAsia" w:cs="仿宋" w:asciiTheme="minorEastAsia" w:hAnsiTheme="minorEastAsia" w:eastAsiaTheme="minorEastAsia"/>
          <w:color w:val="000000"/>
          <w:spacing w:val="0"/>
          <w:w w:val="15"/>
          <w:kern w:val="0"/>
          <w:szCs w:val="21"/>
          <w:fitText w:val="42" w:id="2076512283"/>
        </w:rPr>
        <w:t xml:space="preserve">　 </w:t>
      </w:r>
      <w:r>
        <w:rPr>
          <w:rFonts w:hint="eastAsia" w:cs="仿宋" w:asciiTheme="minorEastAsia" w:hAnsiTheme="minorEastAsia" w:eastAsiaTheme="minorEastAsia"/>
          <w:color w:val="000000"/>
          <w:spacing w:val="-17"/>
          <w:w w:val="15"/>
          <w:kern w:val="0"/>
          <w:szCs w:val="21"/>
          <w:fitText w:val="42" w:id="2076512283"/>
        </w:rPr>
        <w:t>　</w:t>
      </w:r>
      <w:r>
        <w:rPr>
          <w:rFonts w:hint="eastAsia" w:asciiTheme="minorEastAsia" w:hAnsiTheme="minorEastAsia" w:eastAsiaTheme="minorEastAsia"/>
          <w:color w:val="000000"/>
          <w:szCs w:val="21"/>
        </w:rPr>
        <w:t>m</w:t>
      </w:r>
      <w:r>
        <w:rPr>
          <w:rFonts w:asciiTheme="minorEastAsia" w:hAnsiTheme="minorEastAsia" w:eastAsiaTheme="minorEastAsia"/>
          <w:szCs w:val="21"/>
        </w:rPr>
        <w:t>，垂直部</w:t>
      </w:r>
      <w:r>
        <w:rPr>
          <w:rFonts w:hint="eastAsia" w:asciiTheme="minorEastAsia" w:hAnsiTheme="minorEastAsia" w:eastAsiaTheme="minorEastAsia"/>
          <w:szCs w:val="21"/>
        </w:rPr>
        <w:t>分宜为</w:t>
      </w: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5</w:t>
      </w:r>
      <w:r>
        <w:rPr>
          <w:rFonts w:hint="eastAsia" w:cs="仿宋" w:asciiTheme="minorEastAsia" w:hAnsiTheme="minorEastAsia" w:eastAsiaTheme="minorEastAsia"/>
          <w:color w:val="000000"/>
          <w:spacing w:val="0"/>
          <w:w w:val="15"/>
          <w:kern w:val="0"/>
          <w:szCs w:val="21"/>
          <w:fitText w:val="42" w:id="165303764"/>
        </w:rPr>
        <w:t xml:space="preserve">　 </w:t>
      </w:r>
      <w:r>
        <w:rPr>
          <w:rFonts w:hint="eastAsia" w:cs="仿宋" w:asciiTheme="minorEastAsia" w:hAnsiTheme="minorEastAsia" w:eastAsiaTheme="minorEastAsia"/>
          <w:color w:val="000000"/>
          <w:spacing w:val="-17"/>
          <w:w w:val="15"/>
          <w:kern w:val="0"/>
          <w:szCs w:val="21"/>
          <w:fitText w:val="42" w:id="165303764"/>
        </w:rPr>
        <w:t>　</w:t>
      </w:r>
      <w:r>
        <w:rPr>
          <w:rFonts w:hint="eastAsia" w:asciiTheme="minorEastAsia" w:hAnsiTheme="minorEastAsia" w:eastAsiaTheme="minorEastAsia"/>
          <w:color w:val="000000"/>
          <w:szCs w:val="21"/>
        </w:rPr>
        <w:t>m</w:t>
      </w:r>
      <w:r>
        <w:rPr>
          <w:rFonts w:asciiTheme="minorEastAsia" w:hAnsiTheme="minorEastAsia" w:eastAsiaTheme="minorEastAsia"/>
          <w:szCs w:val="21"/>
        </w:rPr>
        <w:t>～</w:t>
      </w:r>
      <w:r>
        <w:rPr>
          <w:rFonts w:hint="eastAsia" w:asciiTheme="minorEastAsia" w:hAnsiTheme="minorEastAsia" w:eastAsiaTheme="minorEastAsia"/>
          <w:color w:val="000000"/>
          <w:szCs w:val="21"/>
        </w:rPr>
        <w:t>3</w:t>
      </w:r>
      <w:r>
        <w:rPr>
          <w:rFonts w:hint="eastAsia" w:cs="仿宋" w:asciiTheme="minorEastAsia" w:hAnsiTheme="minorEastAsia" w:eastAsiaTheme="minorEastAsia"/>
          <w:color w:val="000000"/>
          <w:spacing w:val="0"/>
          <w:w w:val="15"/>
          <w:kern w:val="0"/>
          <w:szCs w:val="21"/>
          <w:fitText w:val="42" w:id="424618645"/>
        </w:rPr>
        <w:t xml:space="preserve">　 </w:t>
      </w:r>
      <w:r>
        <w:rPr>
          <w:rFonts w:hint="eastAsia" w:cs="仿宋" w:asciiTheme="minorEastAsia" w:hAnsiTheme="minorEastAsia" w:eastAsiaTheme="minorEastAsia"/>
          <w:color w:val="000000"/>
          <w:spacing w:val="-17"/>
          <w:w w:val="15"/>
          <w:kern w:val="0"/>
          <w:szCs w:val="21"/>
          <w:fitText w:val="42" w:id="424618645"/>
        </w:rPr>
        <w:t>　</w:t>
      </w:r>
      <w:r>
        <w:rPr>
          <w:rFonts w:hint="eastAsia" w:asciiTheme="minorEastAsia" w:hAnsiTheme="minorEastAsia" w:eastAsiaTheme="minorEastAsia"/>
          <w:color w:val="000000"/>
          <w:szCs w:val="21"/>
        </w:rPr>
        <w:t>m</w:t>
      </w:r>
      <w:r>
        <w:rPr>
          <w:rFonts w:asciiTheme="minorEastAsia" w:hAnsiTheme="minorEastAsia" w:eastAsiaTheme="minorEastAsia"/>
          <w:szCs w:val="21"/>
        </w:rPr>
        <w:t>，转弯部分宜为</w:t>
      </w:r>
      <w:r>
        <w:rPr>
          <w:rFonts w:asciiTheme="minorEastAsia" w:hAnsiTheme="minorEastAsia" w:eastAsiaTheme="minorEastAsia"/>
          <w:color w:val="000000"/>
          <w:szCs w:val="21"/>
        </w:rPr>
        <w:t>0.</w:t>
      </w:r>
      <w:r>
        <w:rPr>
          <w:rFonts w:hint="eastAsia" w:asciiTheme="minorEastAsia" w:hAnsiTheme="minorEastAsia" w:eastAsiaTheme="minorEastAsia"/>
          <w:color w:val="000000"/>
          <w:szCs w:val="21"/>
        </w:rPr>
        <w:t>3</w:t>
      </w:r>
      <w:r>
        <w:rPr>
          <w:rFonts w:hint="eastAsia" w:cs="仿宋" w:asciiTheme="minorEastAsia" w:hAnsiTheme="minorEastAsia" w:eastAsiaTheme="minorEastAsia"/>
          <w:color w:val="000000"/>
          <w:spacing w:val="0"/>
          <w:w w:val="15"/>
          <w:kern w:val="0"/>
          <w:szCs w:val="21"/>
          <w:fitText w:val="42" w:id="1941863107"/>
        </w:rPr>
        <w:t xml:space="preserve">　 </w:t>
      </w:r>
      <w:r>
        <w:rPr>
          <w:rFonts w:hint="eastAsia" w:cs="仿宋" w:asciiTheme="minorEastAsia" w:hAnsiTheme="minorEastAsia" w:eastAsiaTheme="minorEastAsia"/>
          <w:color w:val="000000"/>
          <w:spacing w:val="-17"/>
          <w:w w:val="15"/>
          <w:kern w:val="0"/>
          <w:szCs w:val="21"/>
          <w:fitText w:val="42" w:id="1941863107"/>
        </w:rPr>
        <w:t>　</w:t>
      </w:r>
      <w:r>
        <w:rPr>
          <w:rFonts w:hint="eastAsia" w:asciiTheme="minorEastAsia" w:hAnsiTheme="minorEastAsia" w:eastAsiaTheme="minorEastAsia"/>
          <w:color w:val="000000"/>
          <w:szCs w:val="21"/>
        </w:rPr>
        <w:t>m</w:t>
      </w:r>
      <w:r>
        <w:rPr>
          <w:rFonts w:asciiTheme="minorEastAsia" w:hAnsiTheme="minorEastAsia" w:eastAsiaTheme="minorEastAsia"/>
          <w:szCs w:val="21"/>
        </w:rPr>
        <w:t>～</w:t>
      </w:r>
      <w:r>
        <w:rPr>
          <w:rFonts w:asciiTheme="minorEastAsia" w:hAnsiTheme="minorEastAsia" w:eastAsiaTheme="minorEastAsia"/>
          <w:color w:val="000000"/>
          <w:szCs w:val="21"/>
        </w:rPr>
        <w:t>0.</w:t>
      </w:r>
      <w:r>
        <w:rPr>
          <w:rFonts w:hint="eastAsia" w:asciiTheme="minorEastAsia" w:hAnsiTheme="minorEastAsia" w:eastAsiaTheme="minorEastAsia"/>
          <w:color w:val="000000"/>
          <w:szCs w:val="21"/>
        </w:rPr>
        <w:t>5</w:t>
      </w:r>
      <w:r>
        <w:rPr>
          <w:rFonts w:hint="eastAsia" w:cs="仿宋" w:asciiTheme="minorEastAsia" w:hAnsiTheme="minorEastAsia" w:eastAsiaTheme="minorEastAsia"/>
          <w:color w:val="000000"/>
          <w:spacing w:val="0"/>
          <w:w w:val="15"/>
          <w:kern w:val="0"/>
          <w:szCs w:val="21"/>
          <w:fitText w:val="42" w:id="1957767988"/>
        </w:rPr>
        <w:t xml:space="preserve">　 </w:t>
      </w:r>
      <w:r>
        <w:rPr>
          <w:rFonts w:hint="eastAsia" w:cs="仿宋" w:asciiTheme="minorEastAsia" w:hAnsiTheme="minorEastAsia" w:eastAsiaTheme="minorEastAsia"/>
          <w:color w:val="000000"/>
          <w:spacing w:val="-17"/>
          <w:w w:val="15"/>
          <w:kern w:val="0"/>
          <w:szCs w:val="21"/>
          <w:fitText w:val="42" w:id="1957767988"/>
        </w:rPr>
        <w:t>　</w:t>
      </w:r>
      <w:r>
        <w:rPr>
          <w:rFonts w:hint="eastAsia" w:asciiTheme="minorEastAsia" w:hAnsiTheme="minorEastAsia" w:eastAsiaTheme="minorEastAsia"/>
          <w:color w:val="000000"/>
          <w:szCs w:val="21"/>
        </w:rPr>
        <w:t>m</w:t>
      </w:r>
      <w:r>
        <w:rPr>
          <w:rFonts w:asciiTheme="minorEastAsia" w:hAnsiTheme="minorEastAsia" w:eastAsiaTheme="minorEastAsia"/>
          <w:color w:val="000000"/>
          <w:szCs w:val="21"/>
        </w:rPr>
        <w:t>。</w:t>
      </w:r>
    </w:p>
    <w:p>
      <w:pPr>
        <w:pStyle w:val="41"/>
        <w:numPr>
          <w:ilvl w:val="1"/>
          <w:numId w:val="180"/>
        </w:numPr>
        <w:spacing w:line="360"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接地线应水平或垂直敷设，或可与建筑物倾斜结构平行敷设</w:t>
      </w:r>
      <w:r>
        <w:rPr>
          <w:rFonts w:hint="eastAsia" w:asciiTheme="minorEastAsia" w:hAnsiTheme="minorEastAsia" w:eastAsiaTheme="minorEastAsia"/>
          <w:color w:val="000000"/>
          <w:szCs w:val="21"/>
        </w:rPr>
        <w:t>；</w:t>
      </w:r>
      <w:r>
        <w:rPr>
          <w:rFonts w:asciiTheme="minorEastAsia" w:hAnsiTheme="minorEastAsia" w:eastAsiaTheme="minorEastAsia"/>
          <w:szCs w:val="21"/>
        </w:rPr>
        <w:t>在直</w:t>
      </w:r>
      <w:r>
        <w:rPr>
          <w:rFonts w:hint="eastAsia" w:asciiTheme="minorEastAsia" w:hAnsiTheme="minorEastAsia" w:eastAsiaTheme="minorEastAsia"/>
          <w:szCs w:val="21"/>
        </w:rPr>
        <w:t>线段上，不应有高低起伏及弯曲等现象。</w:t>
      </w:r>
    </w:p>
    <w:p>
      <w:pPr>
        <w:pStyle w:val="41"/>
        <w:numPr>
          <w:ilvl w:val="1"/>
          <w:numId w:val="180"/>
        </w:numPr>
        <w:spacing w:line="360"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接地线沿建筑物墙壁水平敷设时，</w:t>
      </w:r>
      <w:r>
        <w:rPr>
          <w:rFonts w:hint="eastAsia" w:asciiTheme="minorEastAsia" w:hAnsiTheme="minorEastAsia" w:eastAsiaTheme="minorEastAsia"/>
          <w:szCs w:val="21"/>
        </w:rPr>
        <w:t>离地面距离宜为</w:t>
      </w:r>
      <w:r>
        <w:rPr>
          <w:rFonts w:hint="eastAsia" w:asciiTheme="minorEastAsia" w:hAnsiTheme="minorEastAsia" w:eastAsiaTheme="minorEastAsia"/>
          <w:color w:val="000000"/>
          <w:szCs w:val="21"/>
        </w:rPr>
        <w:t>250</w:t>
      </w:r>
      <w:r>
        <w:rPr>
          <w:rFonts w:hint="eastAsia" w:cs="仿宋" w:asciiTheme="minorEastAsia" w:hAnsiTheme="minorEastAsia" w:eastAsiaTheme="minorEastAsia"/>
          <w:color w:val="000000"/>
          <w:spacing w:val="0"/>
          <w:w w:val="15"/>
          <w:kern w:val="0"/>
          <w:szCs w:val="21"/>
          <w:fitText w:val="42" w:id="1606818206"/>
        </w:rPr>
        <w:t xml:space="preserve">　 </w:t>
      </w:r>
      <w:r>
        <w:rPr>
          <w:rFonts w:hint="eastAsia" w:cs="仿宋" w:asciiTheme="minorEastAsia" w:hAnsiTheme="minorEastAsia" w:eastAsiaTheme="minorEastAsia"/>
          <w:color w:val="000000"/>
          <w:spacing w:val="-17"/>
          <w:w w:val="15"/>
          <w:kern w:val="0"/>
          <w:szCs w:val="21"/>
          <w:fitText w:val="42" w:id="1606818206"/>
        </w:rPr>
        <w:t>　</w:t>
      </w:r>
      <w:r>
        <w:rPr>
          <w:rFonts w:hint="eastAsia" w:asciiTheme="minorEastAsia" w:hAnsiTheme="minorEastAsia" w:eastAsiaTheme="minorEastAsia"/>
          <w:color w:val="000000"/>
          <w:szCs w:val="21"/>
        </w:rPr>
        <w:t>m</w:t>
      </w:r>
      <w:r>
        <w:rPr>
          <w:rFonts w:asciiTheme="minorEastAsia" w:hAnsiTheme="minorEastAsia" w:eastAsiaTheme="minorEastAsia"/>
          <w:color w:val="000000"/>
          <w:szCs w:val="21"/>
        </w:rPr>
        <w:t>m</w:t>
      </w:r>
      <w:r>
        <w:rPr>
          <w:rFonts w:asciiTheme="minorEastAsia" w:hAnsiTheme="minorEastAsia" w:eastAsiaTheme="minorEastAsia"/>
          <w:szCs w:val="21"/>
        </w:rPr>
        <w:t>～</w:t>
      </w:r>
      <w:r>
        <w:rPr>
          <w:rFonts w:hint="eastAsia" w:asciiTheme="minorEastAsia" w:hAnsiTheme="minorEastAsia" w:eastAsiaTheme="minorEastAsia"/>
          <w:color w:val="000000"/>
          <w:szCs w:val="21"/>
        </w:rPr>
        <w:t>300</w:t>
      </w:r>
      <w:r>
        <w:rPr>
          <w:rFonts w:hint="eastAsia" w:cs="仿宋" w:asciiTheme="minorEastAsia" w:hAnsiTheme="minorEastAsia" w:eastAsiaTheme="minorEastAsia"/>
          <w:color w:val="000000"/>
          <w:spacing w:val="0"/>
          <w:w w:val="15"/>
          <w:kern w:val="0"/>
          <w:szCs w:val="21"/>
          <w:fitText w:val="42" w:id="1517246486"/>
        </w:rPr>
        <w:t xml:space="preserve">　 </w:t>
      </w:r>
      <w:r>
        <w:rPr>
          <w:rFonts w:hint="eastAsia" w:cs="仿宋" w:asciiTheme="minorEastAsia" w:hAnsiTheme="minorEastAsia" w:eastAsiaTheme="minorEastAsia"/>
          <w:color w:val="000000"/>
          <w:spacing w:val="-17"/>
          <w:w w:val="15"/>
          <w:kern w:val="0"/>
          <w:szCs w:val="21"/>
          <w:fitText w:val="42" w:id="1517246486"/>
        </w:rPr>
        <w:t>　</w:t>
      </w:r>
      <w:r>
        <w:rPr>
          <w:rFonts w:hint="eastAsia" w:asciiTheme="minorEastAsia" w:hAnsiTheme="minorEastAsia" w:eastAsiaTheme="minorEastAsia"/>
          <w:color w:val="000000"/>
          <w:szCs w:val="21"/>
        </w:rPr>
        <w:t>m</w:t>
      </w:r>
      <w:r>
        <w:rPr>
          <w:rFonts w:asciiTheme="minorEastAsia" w:hAnsiTheme="minorEastAsia" w:eastAsiaTheme="minorEastAsia"/>
          <w:color w:val="000000"/>
          <w:szCs w:val="21"/>
        </w:rPr>
        <w:t>m</w:t>
      </w:r>
      <w:r>
        <w:rPr>
          <w:rFonts w:asciiTheme="minorEastAsia" w:hAnsiTheme="minorEastAsia" w:eastAsiaTheme="minorEastAsia"/>
          <w:szCs w:val="21"/>
        </w:rPr>
        <w:t xml:space="preserve"> </w:t>
      </w:r>
      <w:r>
        <w:rPr>
          <w:rFonts w:hint="eastAsia" w:asciiTheme="minorEastAsia" w:hAnsiTheme="minorEastAsia" w:eastAsiaTheme="minorEastAsia"/>
          <w:szCs w:val="21"/>
        </w:rPr>
        <w:t>；</w:t>
      </w:r>
      <w:r>
        <w:rPr>
          <w:rFonts w:asciiTheme="minorEastAsia" w:hAnsiTheme="minorEastAsia" w:eastAsiaTheme="minorEastAsia"/>
          <w:szCs w:val="21"/>
        </w:rPr>
        <w:t>接地线与建筑物墙壁间的间隙宜为</w:t>
      </w:r>
      <w:r>
        <w:rPr>
          <w:rFonts w:hint="eastAsia" w:asciiTheme="minorEastAsia" w:hAnsiTheme="minorEastAsia" w:eastAsiaTheme="minorEastAsia"/>
          <w:color w:val="000000"/>
          <w:szCs w:val="21"/>
        </w:rPr>
        <w:t>10</w:t>
      </w:r>
      <w:r>
        <w:rPr>
          <w:rFonts w:hint="eastAsia" w:cs="仿宋" w:asciiTheme="minorEastAsia" w:hAnsiTheme="minorEastAsia" w:eastAsiaTheme="minorEastAsia"/>
          <w:color w:val="000000"/>
          <w:spacing w:val="0"/>
          <w:w w:val="15"/>
          <w:kern w:val="0"/>
          <w:szCs w:val="21"/>
          <w:fitText w:val="42" w:id="1032210141"/>
        </w:rPr>
        <w:t xml:space="preserve">　 </w:t>
      </w:r>
      <w:r>
        <w:rPr>
          <w:rFonts w:hint="eastAsia" w:cs="仿宋" w:asciiTheme="minorEastAsia" w:hAnsiTheme="minorEastAsia" w:eastAsiaTheme="minorEastAsia"/>
          <w:color w:val="000000"/>
          <w:spacing w:val="-17"/>
          <w:w w:val="15"/>
          <w:kern w:val="0"/>
          <w:szCs w:val="21"/>
          <w:fitText w:val="42" w:id="1032210141"/>
        </w:rPr>
        <w:t>　</w:t>
      </w:r>
      <w:r>
        <w:rPr>
          <w:rFonts w:hint="eastAsia" w:asciiTheme="minorEastAsia" w:hAnsiTheme="minorEastAsia" w:eastAsiaTheme="minorEastAsia"/>
          <w:color w:val="000000"/>
          <w:szCs w:val="21"/>
        </w:rPr>
        <w:t>m</w:t>
      </w:r>
      <w:r>
        <w:rPr>
          <w:rFonts w:asciiTheme="minorEastAsia" w:hAnsiTheme="minorEastAsia" w:eastAsiaTheme="minorEastAsia"/>
          <w:color w:val="000000"/>
          <w:szCs w:val="21"/>
        </w:rPr>
        <w:t>m</w:t>
      </w:r>
      <w:r>
        <w:rPr>
          <w:rFonts w:asciiTheme="minorEastAsia" w:hAnsiTheme="minorEastAsia" w:eastAsiaTheme="minorEastAsia"/>
          <w:szCs w:val="21"/>
        </w:rPr>
        <w:t>～</w:t>
      </w:r>
      <w:r>
        <w:rPr>
          <w:rFonts w:hint="eastAsia" w:asciiTheme="minorEastAsia" w:hAnsiTheme="minorEastAsia" w:eastAsiaTheme="minorEastAsia"/>
          <w:color w:val="000000"/>
          <w:szCs w:val="21"/>
        </w:rPr>
        <w:t>15</w:t>
      </w:r>
      <w:r>
        <w:rPr>
          <w:rFonts w:hint="eastAsia" w:cs="仿宋" w:asciiTheme="minorEastAsia" w:hAnsiTheme="minorEastAsia" w:eastAsiaTheme="minorEastAsia"/>
          <w:color w:val="000000"/>
          <w:spacing w:val="0"/>
          <w:w w:val="15"/>
          <w:kern w:val="0"/>
          <w:szCs w:val="21"/>
          <w:fitText w:val="42" w:id="1419865087"/>
        </w:rPr>
        <w:t xml:space="preserve">　 </w:t>
      </w:r>
      <w:r>
        <w:rPr>
          <w:rFonts w:hint="eastAsia" w:cs="仿宋" w:asciiTheme="minorEastAsia" w:hAnsiTheme="minorEastAsia" w:eastAsiaTheme="minorEastAsia"/>
          <w:color w:val="000000"/>
          <w:spacing w:val="-17"/>
          <w:w w:val="15"/>
          <w:kern w:val="0"/>
          <w:szCs w:val="21"/>
          <w:fitText w:val="42" w:id="1419865087"/>
        </w:rPr>
        <w:t>　</w:t>
      </w:r>
      <w:r>
        <w:rPr>
          <w:rFonts w:hint="eastAsia" w:asciiTheme="minorEastAsia" w:hAnsiTheme="minorEastAsia" w:eastAsiaTheme="minorEastAsia"/>
          <w:color w:val="000000"/>
          <w:szCs w:val="21"/>
        </w:rPr>
        <w:t>m</w:t>
      </w:r>
      <w:r>
        <w:rPr>
          <w:rFonts w:asciiTheme="minorEastAsia" w:hAnsiTheme="minorEastAsia" w:eastAsiaTheme="minorEastAsia"/>
          <w:color w:val="000000"/>
          <w:szCs w:val="21"/>
        </w:rPr>
        <w:t>m</w:t>
      </w:r>
      <w:r>
        <w:rPr>
          <w:rFonts w:asciiTheme="minorEastAsia" w:hAnsiTheme="minorEastAsia" w:eastAsiaTheme="minorEastAsia"/>
          <w:szCs w:val="21"/>
        </w:rPr>
        <w:t>。</w:t>
      </w:r>
    </w:p>
    <w:p>
      <w:pPr>
        <w:pStyle w:val="41"/>
        <w:numPr>
          <w:ilvl w:val="1"/>
          <w:numId w:val="180"/>
        </w:numPr>
        <w:spacing w:line="360" w:lineRule="auto"/>
        <w:ind w:firstLine="424" w:firstLineChars="202"/>
        <w:rPr>
          <w:rFonts w:asciiTheme="minorEastAsia" w:hAnsiTheme="minorEastAsia" w:eastAsiaTheme="minorEastAsia"/>
          <w:szCs w:val="21"/>
        </w:rPr>
      </w:pPr>
      <w:r>
        <w:rPr>
          <w:rFonts w:asciiTheme="minorEastAsia" w:hAnsiTheme="minorEastAsia" w:eastAsiaTheme="minorEastAsia"/>
          <w:szCs w:val="21"/>
        </w:rPr>
        <w:t>在接地线跨越建筑物伸缩缝、沉降缝处时，应设置补偿器。补偿器</w:t>
      </w:r>
      <w:r>
        <w:rPr>
          <w:rFonts w:hint="eastAsia" w:asciiTheme="minorEastAsia" w:hAnsiTheme="minorEastAsia" w:eastAsiaTheme="minorEastAsia"/>
          <w:szCs w:val="21"/>
        </w:rPr>
        <w:t>可用接地线本身弯成弧状代替。</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每项要求</w:t>
      </w:r>
      <w:r>
        <w:rPr>
          <w:rFonts w:asciiTheme="minorEastAsia" w:hAnsiTheme="minorEastAsia" w:eastAsiaTheme="minorEastAsia"/>
          <w:szCs w:val="21"/>
        </w:rPr>
        <w:t>各抽查10</w:t>
      </w:r>
      <w:r>
        <w:rPr>
          <w:rFonts w:hint="eastAsia" w:asciiTheme="minorEastAsia" w:hAnsiTheme="minorEastAsia" w:eastAsiaTheme="minorEastAsia"/>
          <w:szCs w:val="21"/>
        </w:rPr>
        <w:t>%，</w:t>
      </w:r>
      <w:r>
        <w:rPr>
          <w:rFonts w:asciiTheme="minorEastAsia" w:hAnsiTheme="minorEastAsia" w:eastAsiaTheme="minorEastAsia"/>
          <w:szCs w:val="21"/>
        </w:rPr>
        <w:t>且均不得少于1处。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w:t>
      </w:r>
      <w:r>
        <w:rPr>
          <w:rFonts w:hint="eastAsia" w:asciiTheme="minorEastAsia" w:hAnsiTheme="minorEastAsia" w:eastAsiaTheme="minorEastAsia"/>
          <w:color w:val="000000"/>
          <w:szCs w:val="21"/>
        </w:rPr>
        <w:t>：</w:t>
      </w:r>
      <w:r>
        <w:rPr>
          <w:rFonts w:asciiTheme="minorEastAsia" w:hAnsiTheme="minorEastAsia" w:eastAsiaTheme="minorEastAsia"/>
          <w:szCs w:val="21"/>
        </w:rPr>
        <w:t>施工中观察检查并用尺量检查</w:t>
      </w:r>
      <w:r>
        <w:rPr>
          <w:rFonts w:hint="eastAsia" w:asciiTheme="minorEastAsia" w:hAnsiTheme="minorEastAsia" w:eastAsiaTheme="minorEastAsia"/>
          <w:color w:val="000000"/>
          <w:szCs w:val="21"/>
        </w:rPr>
        <w:t>，</w:t>
      </w:r>
      <w:r>
        <w:rPr>
          <w:rFonts w:asciiTheme="minorEastAsia" w:hAnsiTheme="minorEastAsia" w:eastAsiaTheme="minorEastAsia"/>
          <w:szCs w:val="21"/>
        </w:rPr>
        <w:t>查阅相关隐蔽工程</w:t>
      </w:r>
      <w:r>
        <w:rPr>
          <w:rFonts w:hint="eastAsia" w:asciiTheme="minorEastAsia" w:hAnsiTheme="minorEastAsia" w:eastAsiaTheme="minorEastAsia"/>
          <w:szCs w:val="21"/>
        </w:rPr>
        <w:t>检查记录。</w:t>
      </w:r>
    </w:p>
    <w:p>
      <w:pPr>
        <w:pStyle w:val="41"/>
        <w:numPr>
          <w:ilvl w:val="0"/>
          <w:numId w:val="174"/>
        </w:numPr>
        <w:spacing w:line="360" w:lineRule="auto"/>
        <w:ind w:left="0" w:firstLine="0" w:firstLineChars="0"/>
        <w:rPr>
          <w:rFonts w:asciiTheme="minorEastAsia" w:hAnsiTheme="minorEastAsia" w:eastAsiaTheme="minorEastAsia"/>
          <w:szCs w:val="21"/>
        </w:rPr>
      </w:pPr>
      <w:r>
        <w:rPr>
          <w:rFonts w:asciiTheme="minorEastAsia" w:hAnsiTheme="minorEastAsia" w:eastAsiaTheme="minorEastAsia"/>
          <w:szCs w:val="21"/>
        </w:rPr>
        <w:t>明敷接地线，在导体的全长度或区间段及每个连接部位附近的表</w:t>
      </w:r>
      <w:r>
        <w:rPr>
          <w:rFonts w:hint="eastAsia" w:asciiTheme="minorEastAsia" w:hAnsiTheme="minorEastAsia" w:eastAsiaTheme="minorEastAsia"/>
          <w:szCs w:val="21"/>
        </w:rPr>
        <w:t>面，应涂以</w:t>
      </w:r>
      <w:r>
        <w:rPr>
          <w:rFonts w:hint="eastAsia" w:asciiTheme="minorEastAsia" w:hAnsiTheme="minorEastAsia" w:eastAsiaTheme="minorEastAsia"/>
          <w:color w:val="000000"/>
          <w:szCs w:val="21"/>
        </w:rPr>
        <w:t>15 m</w:t>
      </w:r>
      <w:r>
        <w:rPr>
          <w:rFonts w:asciiTheme="minorEastAsia" w:hAnsiTheme="minorEastAsia" w:eastAsiaTheme="minorEastAsia"/>
          <w:color w:val="000000"/>
          <w:szCs w:val="21"/>
        </w:rPr>
        <w:t>m</w:t>
      </w:r>
      <w:r>
        <w:rPr>
          <w:rFonts w:asciiTheme="minorEastAsia" w:hAnsiTheme="minorEastAsia" w:eastAsiaTheme="minorEastAsia"/>
          <w:szCs w:val="21"/>
        </w:rPr>
        <w:t>～</w:t>
      </w:r>
      <w:r>
        <w:rPr>
          <w:rFonts w:hint="eastAsia" w:asciiTheme="minorEastAsia" w:hAnsiTheme="minorEastAsia" w:eastAsiaTheme="minorEastAsia"/>
          <w:color w:val="000000"/>
          <w:szCs w:val="21"/>
        </w:rPr>
        <w:t>100</w:t>
      </w:r>
      <w:r>
        <w:rPr>
          <w:rFonts w:hint="eastAsia" w:cs="仿宋" w:asciiTheme="minorEastAsia" w:hAnsiTheme="minorEastAsia" w:eastAsiaTheme="minorEastAsia"/>
          <w:color w:val="000000"/>
          <w:spacing w:val="0"/>
          <w:w w:val="15"/>
          <w:kern w:val="0"/>
          <w:szCs w:val="21"/>
          <w:fitText w:val="42" w:id="314520677"/>
        </w:rPr>
        <w:t xml:space="preserve">　 </w:t>
      </w:r>
      <w:r>
        <w:rPr>
          <w:rFonts w:hint="eastAsia" w:cs="仿宋" w:asciiTheme="minorEastAsia" w:hAnsiTheme="minorEastAsia" w:eastAsiaTheme="minorEastAsia"/>
          <w:color w:val="000000"/>
          <w:spacing w:val="-17"/>
          <w:w w:val="15"/>
          <w:kern w:val="0"/>
          <w:szCs w:val="21"/>
          <w:fitText w:val="42" w:id="314520677"/>
        </w:rPr>
        <w:t>　</w:t>
      </w:r>
      <w:r>
        <w:rPr>
          <w:rFonts w:hint="eastAsia" w:asciiTheme="minorEastAsia" w:hAnsiTheme="minorEastAsia" w:eastAsiaTheme="minorEastAsia"/>
          <w:color w:val="000000"/>
          <w:szCs w:val="21"/>
        </w:rPr>
        <w:t>m</w:t>
      </w:r>
      <w:r>
        <w:rPr>
          <w:rFonts w:asciiTheme="minorEastAsia" w:hAnsiTheme="minorEastAsia" w:eastAsiaTheme="minorEastAsia"/>
          <w:color w:val="000000"/>
          <w:szCs w:val="21"/>
        </w:rPr>
        <w:t>m</w:t>
      </w:r>
      <w:r>
        <w:rPr>
          <w:rFonts w:asciiTheme="minorEastAsia" w:hAnsiTheme="minorEastAsia" w:eastAsiaTheme="minorEastAsia"/>
          <w:szCs w:val="21"/>
        </w:rPr>
        <w:t>宽度相等的绿色和黄色相间的条纹标识。当使</w:t>
      </w:r>
      <w:r>
        <w:rPr>
          <w:rFonts w:hint="eastAsia" w:asciiTheme="minorEastAsia" w:hAnsiTheme="minorEastAsia" w:eastAsiaTheme="minorEastAsia"/>
          <w:szCs w:val="21"/>
        </w:rPr>
        <w:t>用胶带时，应使用双色胶带。中性线宜涂淡蓝色标识。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全数检查</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w:t>
      </w:r>
      <w:r>
        <w:rPr>
          <w:rFonts w:hint="eastAsia" w:asciiTheme="minorEastAsia" w:hAnsiTheme="minorEastAsia" w:eastAsiaTheme="minorEastAsia"/>
          <w:color w:val="000000"/>
          <w:szCs w:val="21"/>
        </w:rPr>
        <w:t>：</w:t>
      </w:r>
      <w:r>
        <w:rPr>
          <w:rFonts w:asciiTheme="minorEastAsia" w:hAnsiTheme="minorEastAsia" w:eastAsiaTheme="minorEastAsia"/>
          <w:szCs w:val="21"/>
        </w:rPr>
        <w:t>施工中观察检查并用尺量检查</w:t>
      </w:r>
      <w:r>
        <w:rPr>
          <w:rFonts w:hint="eastAsia" w:asciiTheme="minorEastAsia" w:hAnsiTheme="minorEastAsia" w:eastAsiaTheme="minorEastAsia"/>
          <w:szCs w:val="21"/>
        </w:rPr>
        <w:t>。</w:t>
      </w:r>
    </w:p>
    <w:p>
      <w:pPr>
        <w:pStyle w:val="41"/>
        <w:numPr>
          <w:ilvl w:val="0"/>
          <w:numId w:val="174"/>
        </w:numPr>
        <w:spacing w:line="360" w:lineRule="auto"/>
        <w:ind w:left="0" w:firstLine="0" w:firstLineChars="0"/>
        <w:rPr>
          <w:rFonts w:asciiTheme="minorEastAsia" w:hAnsiTheme="minorEastAsia" w:eastAsiaTheme="minorEastAsia"/>
          <w:szCs w:val="21"/>
        </w:rPr>
      </w:pPr>
      <w:r>
        <w:rPr>
          <w:rFonts w:asciiTheme="minorEastAsia" w:hAnsiTheme="minorEastAsia" w:eastAsiaTheme="minorEastAsia"/>
          <w:szCs w:val="21"/>
        </w:rPr>
        <w:t>在接地线引向建筑物的入口处和在检修用临时接地点处，均应刷</w:t>
      </w:r>
      <w:r>
        <w:rPr>
          <w:rFonts w:hint="eastAsia" w:asciiTheme="minorEastAsia" w:hAnsiTheme="minorEastAsia" w:eastAsiaTheme="minorEastAsia"/>
          <w:szCs w:val="21"/>
        </w:rPr>
        <w:t>白色底漆并标以黑色标识，其代号为“</w:t>
      </w:r>
      <w:r>
        <w:rPr>
          <w:rFonts w:hint="eastAsia" w:cs="微软雅黑" w:asciiTheme="minorEastAsia" w:hAnsiTheme="minorEastAsia" w:eastAsiaTheme="minorEastAsia"/>
          <w:szCs w:val="21"/>
        </w:rPr>
        <w:t>〨</w:t>
      </w:r>
      <w:r>
        <w:rPr>
          <w:rFonts w:asciiTheme="minorEastAsia" w:hAnsiTheme="minorEastAsia" w:eastAsiaTheme="minorEastAsia"/>
          <w:szCs w:val="21"/>
        </w:rPr>
        <w:t>”同一接地极不应出现两种不同的</w:t>
      </w:r>
      <w:r>
        <w:rPr>
          <w:rFonts w:hint="eastAsia" w:asciiTheme="minorEastAsia" w:hAnsiTheme="minorEastAsia" w:eastAsiaTheme="minorEastAsia"/>
          <w:szCs w:val="21"/>
        </w:rPr>
        <w:t>标识。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检查数量： 全数检查</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检查方法</w:t>
      </w:r>
      <w:r>
        <w:rPr>
          <w:rFonts w:hint="eastAsia" w:asciiTheme="minorEastAsia" w:hAnsiTheme="minorEastAsia" w:eastAsiaTheme="minorEastAsia"/>
          <w:color w:val="000000"/>
          <w:szCs w:val="21"/>
        </w:rPr>
        <w:t>：</w:t>
      </w:r>
      <w:r>
        <w:rPr>
          <w:rFonts w:asciiTheme="minorEastAsia" w:hAnsiTheme="minorEastAsia" w:eastAsiaTheme="minorEastAsia"/>
          <w:szCs w:val="21"/>
        </w:rPr>
        <w:t>观察检查并查阅施工记录。</w:t>
      </w:r>
    </w:p>
    <w:p>
      <w:pPr>
        <w:pStyle w:val="41"/>
        <w:numPr>
          <w:ilvl w:val="0"/>
          <w:numId w:val="174"/>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架空接触网接地装置安装应符合下列规定：</w:t>
      </w:r>
    </w:p>
    <w:p>
      <w:pPr>
        <w:pStyle w:val="41"/>
        <w:numPr>
          <w:ilvl w:val="1"/>
          <w:numId w:val="18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沿支柱敷设的接地线应紧贴杆身、规整，与支柱的连接固定应符合设计文件的要求；</w:t>
      </w:r>
    </w:p>
    <w:p>
      <w:pPr>
        <w:pStyle w:val="41"/>
        <w:numPr>
          <w:ilvl w:val="1"/>
          <w:numId w:val="18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钢柱和接地线的连接处宜露在基础外面；</w:t>
      </w:r>
    </w:p>
    <w:p>
      <w:pPr>
        <w:pStyle w:val="41"/>
        <w:numPr>
          <w:ilvl w:val="1"/>
          <w:numId w:val="18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隧道内接地线应与结构密贴并固定牢固</w:t>
      </w:r>
      <w:r>
        <w:rPr>
          <w:rFonts w:hint="eastAsia" w:asciiTheme="minorEastAsia" w:hAnsiTheme="minorEastAsia" w:eastAsiaTheme="minorEastAsia"/>
          <w:color w:val="000000"/>
          <w:szCs w:val="21"/>
        </w:rPr>
        <w:t>；</w:t>
      </w:r>
    </w:p>
    <w:p>
      <w:pPr>
        <w:pStyle w:val="41"/>
        <w:numPr>
          <w:ilvl w:val="1"/>
          <w:numId w:val="181"/>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接地跳线或接地电缆敷设应线夹端正、布线美观。</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 全数检查</w:t>
      </w:r>
      <w:r>
        <w:rPr>
          <w:rFonts w:asciiTheme="minorEastAsia" w:hAnsiTheme="minorEastAsia" w:eastAsiaTheme="minorEastAsia"/>
          <w:szCs w:val="21"/>
        </w:rPr>
        <w:t>。</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w:t>
      </w:r>
      <w:r>
        <w:rPr>
          <w:rFonts w:hint="eastAsia" w:asciiTheme="minorEastAsia" w:hAnsiTheme="minorEastAsia" w:eastAsiaTheme="minorEastAsia"/>
          <w:color w:val="000000"/>
          <w:szCs w:val="21"/>
        </w:rPr>
        <w:t>：</w:t>
      </w:r>
      <w:r>
        <w:rPr>
          <w:rFonts w:asciiTheme="minorEastAsia" w:hAnsiTheme="minorEastAsia" w:eastAsiaTheme="minorEastAsia"/>
          <w:szCs w:val="21"/>
        </w:rPr>
        <w:t>观察检查并查阅施工记录。</w:t>
      </w:r>
    </w:p>
    <w:p>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195" w:name="_Toc136869097"/>
      <w:bookmarkStart w:id="196" w:name="_Toc137216256"/>
      <w:bookmarkStart w:id="197" w:name="_Toc136868062"/>
      <w:r>
        <w:rPr>
          <w:rFonts w:hint="eastAsia" w:asciiTheme="minorEastAsia" w:hAnsiTheme="minorEastAsia" w:eastAsiaTheme="minorEastAsia"/>
          <w:sz w:val="24"/>
          <w:szCs w:val="24"/>
        </w:rPr>
        <w:t>8</w:t>
      </w:r>
      <w:r>
        <w:rPr>
          <w:rFonts w:asciiTheme="minorEastAsia" w:hAnsiTheme="minorEastAsia" w:eastAsiaTheme="minorEastAsia"/>
          <w:sz w:val="24"/>
          <w:szCs w:val="24"/>
        </w:rPr>
        <w:t xml:space="preserve">.2 </w:t>
      </w:r>
      <w:r>
        <w:rPr>
          <w:rFonts w:hint="eastAsia" w:asciiTheme="minorEastAsia" w:hAnsiTheme="minorEastAsia" w:eastAsiaTheme="minorEastAsia"/>
          <w:sz w:val="24"/>
          <w:szCs w:val="24"/>
        </w:rPr>
        <w:t>变配电室及电气竖井内接地干线敷设</w:t>
      </w:r>
      <w:bookmarkEnd w:id="195"/>
      <w:bookmarkEnd w:id="196"/>
      <w:bookmarkEnd w:id="197"/>
    </w:p>
    <w:p>
      <w:pPr>
        <w:pStyle w:val="4"/>
        <w:spacing w:before="120" w:beforeLines="50" w:after="120" w:afterLines="50"/>
        <w:rPr>
          <w:rFonts w:asciiTheme="minorEastAsia" w:hAnsiTheme="minorEastAsia" w:eastAsiaTheme="minorEastAsia"/>
          <w:sz w:val="21"/>
          <w:szCs w:val="21"/>
        </w:rPr>
      </w:pPr>
      <w:r>
        <w:t>I</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主控项目</w:t>
      </w:r>
    </w:p>
    <w:p>
      <w:pPr>
        <w:pStyle w:val="41"/>
        <w:numPr>
          <w:ilvl w:val="0"/>
          <w:numId w:val="182"/>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 xml:space="preserve">接地干线应与接地装置可靠连接，各构件的连接应牢固可靠，形成贯通的电气通路。 </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检查数量：全数检查。 </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pPr>
        <w:pStyle w:val="41"/>
        <w:numPr>
          <w:ilvl w:val="0"/>
          <w:numId w:val="182"/>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接地装置的接地电阻值应符合设计要求。</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检查方法：用接地电阻测试仪测试，并查阅接地电阻测试记录。</w:t>
      </w:r>
    </w:p>
    <w:p>
      <w:pPr>
        <w:pStyle w:val="41"/>
        <w:numPr>
          <w:ilvl w:val="0"/>
          <w:numId w:val="182"/>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 xml:space="preserve">接地干线的材料型号、规格应符合设计要求。 </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检查数量：全数检查。 </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检查方法：观察检查，查阅材料进场验收记录和隐蔽工程检查记录。</w:t>
      </w:r>
    </w:p>
    <w:p>
      <w:pPr>
        <w:pStyle w:val="4"/>
        <w:spacing w:before="120" w:beforeLines="50" w:after="120" w:afterLines="50"/>
        <w:rPr>
          <w:rFonts w:asciiTheme="minorEastAsia" w:hAnsiTheme="minorEastAsia" w:eastAsiaTheme="minorEastAsia"/>
          <w:sz w:val="21"/>
          <w:szCs w:val="21"/>
        </w:rPr>
      </w:pPr>
      <w:r>
        <w:t>Ⅱ</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一般项目</w:t>
      </w:r>
    </w:p>
    <w:p>
      <w:pPr>
        <w:pStyle w:val="41"/>
        <w:numPr>
          <w:ilvl w:val="0"/>
          <w:numId w:val="182"/>
        </w:numPr>
        <w:spacing w:line="360" w:lineRule="auto"/>
        <w:ind w:left="0" w:firstLine="0" w:firstLineChars="0"/>
        <w:rPr>
          <w:rFonts w:asciiTheme="minorEastAsia" w:hAnsiTheme="minorEastAsia" w:eastAsiaTheme="minorEastAsia"/>
          <w:b/>
          <w:bCs/>
          <w:szCs w:val="21"/>
        </w:rPr>
      </w:pPr>
      <w:r>
        <w:rPr>
          <w:rFonts w:hint="eastAsia" w:asciiTheme="minorEastAsia" w:hAnsiTheme="minorEastAsia" w:eastAsiaTheme="minorEastAsia"/>
          <w:szCs w:val="21"/>
        </w:rPr>
        <w:t>接地干线的连接应符合下列规定：</w:t>
      </w:r>
    </w:p>
    <w:p>
      <w:pPr>
        <w:pStyle w:val="41"/>
        <w:numPr>
          <w:ilvl w:val="0"/>
          <w:numId w:val="182"/>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接地干线搭接焊时跨接圆钢应采用不小于Φ12 的圆钢，连接应牢固可靠，不得错焊或漏焊；扁钢与扁钢搭接不应小于扁钢宽度的2倍，且应至少三面施焊；圆钢与圆钢搭接不应小于圆钢直径的6倍，且应双面施焊；圆钢与扁钢搭接不应小于圆钢直径的6倍，且应双面施焊；扁钢与钢管</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扁钢与角钢焊接</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应紧贴角钢外侧两面，或紧贴3/4 钢管表面，上下两侧施焊。</w:t>
      </w:r>
    </w:p>
    <w:p>
      <w:pPr>
        <w:pStyle w:val="41"/>
        <w:numPr>
          <w:ilvl w:val="1"/>
          <w:numId w:val="18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采用螺栓搭接的连接在搭接面应搪锡或镀银。</w:t>
      </w:r>
    </w:p>
    <w:p>
      <w:pPr>
        <w:pStyle w:val="41"/>
        <w:numPr>
          <w:ilvl w:val="1"/>
          <w:numId w:val="18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铜与铜或铜与钢采用热剂焊（放热焊接）时，接头应无贯穿性的气孔且表面平滑。</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检查数量：按不同连接方式的总数量各抽查5%，且均不得少于2处。</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检查方法：观察检查并用力矩</w:t>
      </w:r>
      <w:r>
        <w:rPr>
          <w:rFonts w:hint="eastAsia" w:asciiTheme="minorEastAsia" w:hAnsiTheme="minorEastAsia" w:eastAsiaTheme="minorEastAsia"/>
          <w:color w:val="000000"/>
          <w:szCs w:val="21"/>
        </w:rPr>
        <w:t>扳手</w:t>
      </w:r>
      <w:r>
        <w:rPr>
          <w:rFonts w:hint="eastAsia" w:asciiTheme="minorEastAsia" w:hAnsiTheme="minorEastAsia" w:eastAsiaTheme="minorEastAsia"/>
          <w:szCs w:val="21"/>
        </w:rPr>
        <w:t>拧紧测试，查阅相关施工记录。</w:t>
      </w:r>
    </w:p>
    <w:p>
      <w:pPr>
        <w:pStyle w:val="41"/>
        <w:numPr>
          <w:ilvl w:val="0"/>
          <w:numId w:val="182"/>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明敷的室内接地干线支持件应固定可靠，支持件间距应均匀，扁形导体支持件固定间距宜为</w:t>
      </w:r>
      <w:r>
        <w:rPr>
          <w:rFonts w:hint="eastAsia" w:asciiTheme="minorEastAsia" w:hAnsiTheme="minorEastAsia" w:eastAsiaTheme="minorEastAsia"/>
          <w:color w:val="000000"/>
          <w:szCs w:val="21"/>
        </w:rPr>
        <w:t>500</w:t>
      </w:r>
      <w:r>
        <w:rPr>
          <w:rFonts w:hint="eastAsia" w:cs="仿宋" w:asciiTheme="minorEastAsia" w:hAnsiTheme="minorEastAsia" w:eastAsiaTheme="minorEastAsia"/>
          <w:color w:val="000000"/>
          <w:spacing w:val="0"/>
          <w:w w:val="15"/>
          <w:kern w:val="0"/>
          <w:szCs w:val="21"/>
          <w:fitText w:val="42" w:id="321664645"/>
        </w:rPr>
        <w:t xml:space="preserve">　 </w:t>
      </w:r>
      <w:r>
        <w:rPr>
          <w:rFonts w:hint="eastAsia" w:cs="仿宋" w:asciiTheme="minorEastAsia" w:hAnsiTheme="minorEastAsia" w:eastAsiaTheme="minorEastAsia"/>
          <w:color w:val="000000"/>
          <w:spacing w:val="-17"/>
          <w:w w:val="15"/>
          <w:kern w:val="0"/>
          <w:szCs w:val="21"/>
          <w:fitText w:val="42" w:id="321664645"/>
        </w:rPr>
        <w:t>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；圆形导体支持件固定间距宜为</w:t>
      </w:r>
      <w:r>
        <w:rPr>
          <w:rFonts w:hint="eastAsia" w:asciiTheme="minorEastAsia" w:hAnsiTheme="minorEastAsia" w:eastAsiaTheme="minorEastAsia"/>
          <w:color w:val="000000"/>
          <w:szCs w:val="21"/>
        </w:rPr>
        <w:t>1000</w:t>
      </w:r>
      <w:r>
        <w:rPr>
          <w:rFonts w:hint="eastAsia" w:cs="仿宋" w:asciiTheme="minorEastAsia" w:hAnsiTheme="minorEastAsia" w:eastAsiaTheme="minorEastAsia"/>
          <w:color w:val="000000"/>
          <w:spacing w:val="0"/>
          <w:w w:val="15"/>
          <w:kern w:val="0"/>
          <w:szCs w:val="21"/>
          <w:fitText w:val="42" w:id="164715744"/>
        </w:rPr>
        <w:t xml:space="preserve">　 </w:t>
      </w:r>
      <w:r>
        <w:rPr>
          <w:rFonts w:hint="eastAsia" w:cs="仿宋" w:asciiTheme="minorEastAsia" w:hAnsiTheme="minorEastAsia" w:eastAsiaTheme="minorEastAsia"/>
          <w:color w:val="000000"/>
          <w:spacing w:val="-17"/>
          <w:w w:val="15"/>
          <w:kern w:val="0"/>
          <w:szCs w:val="21"/>
          <w:fitText w:val="42" w:id="164715744"/>
        </w:rPr>
        <w:t>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弯曲部分宜为</w:t>
      </w:r>
      <w:r>
        <w:rPr>
          <w:rFonts w:hint="eastAsia" w:asciiTheme="minorEastAsia" w:hAnsiTheme="minorEastAsia" w:eastAsiaTheme="minorEastAsia"/>
          <w:color w:val="000000"/>
          <w:szCs w:val="21"/>
        </w:rPr>
        <w:t>0.3</w:t>
      </w:r>
      <w:r>
        <w:rPr>
          <w:rFonts w:hint="eastAsia" w:cs="仿宋" w:asciiTheme="minorEastAsia" w:hAnsiTheme="minorEastAsia" w:eastAsiaTheme="minorEastAsia"/>
          <w:color w:val="000000"/>
          <w:spacing w:val="0"/>
          <w:w w:val="15"/>
          <w:kern w:val="0"/>
          <w:szCs w:val="21"/>
          <w:fitText w:val="42" w:id="186658761"/>
        </w:rPr>
        <w:t xml:space="preserve">　 </w:t>
      </w:r>
      <w:r>
        <w:rPr>
          <w:rFonts w:hint="eastAsia" w:cs="仿宋" w:asciiTheme="minorEastAsia" w:hAnsiTheme="minorEastAsia" w:eastAsiaTheme="minorEastAsia"/>
          <w:color w:val="000000"/>
          <w:spacing w:val="-17"/>
          <w:w w:val="15"/>
          <w:kern w:val="0"/>
          <w:szCs w:val="21"/>
          <w:fitText w:val="42" w:id="186658761"/>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0.5</w:t>
      </w:r>
      <w:r>
        <w:rPr>
          <w:rFonts w:hint="eastAsia" w:cs="仿宋" w:asciiTheme="minorEastAsia" w:hAnsiTheme="minorEastAsia" w:eastAsiaTheme="minorEastAsia"/>
          <w:color w:val="000000"/>
          <w:spacing w:val="0"/>
          <w:w w:val="15"/>
          <w:kern w:val="0"/>
          <w:szCs w:val="21"/>
          <w:fitText w:val="42" w:id="1669491122"/>
        </w:rPr>
        <w:t xml:space="preserve">　 </w:t>
      </w:r>
      <w:r>
        <w:rPr>
          <w:rFonts w:hint="eastAsia" w:cs="仿宋" w:asciiTheme="minorEastAsia" w:hAnsiTheme="minorEastAsia" w:eastAsiaTheme="minorEastAsia"/>
          <w:color w:val="000000"/>
          <w:spacing w:val="-17"/>
          <w:w w:val="15"/>
          <w:kern w:val="0"/>
          <w:szCs w:val="21"/>
          <w:fitText w:val="42" w:id="1669491122"/>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检查数量：按不同部位各抽查10%，且均不得少于1处。</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检查方法：观察检查并用尺量和手感检查。</w:t>
      </w:r>
    </w:p>
    <w:p>
      <w:pPr>
        <w:pStyle w:val="41"/>
        <w:numPr>
          <w:ilvl w:val="0"/>
          <w:numId w:val="182"/>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接地干线在穿越墙壁、楼板和地坪处应加套钢管或其他坚固的保护套管，钢套管应与接地干线做电气连通，接地干线敷设完成后保护套管管口应封堵。</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检查数量：按不同部位各抽查10%，且均不得少于1处。</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pPr>
        <w:pStyle w:val="41"/>
        <w:numPr>
          <w:ilvl w:val="0"/>
          <w:numId w:val="182"/>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接地干线跨越建筑物变形缝时，应采取补偿措施。</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pPr>
        <w:pStyle w:val="41"/>
        <w:numPr>
          <w:ilvl w:val="0"/>
          <w:numId w:val="182"/>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对于接地干线的焊接接头，除埋入混凝土内的接头外，其余均应做防腐处理，且无遗漏。</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检查数量：按焊接接头总数抽查10%，且不得少于2处。</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检查方法：施工中观察检查，并查阅施工记录。</w:t>
      </w:r>
    </w:p>
    <w:p>
      <w:pPr>
        <w:pStyle w:val="41"/>
        <w:numPr>
          <w:ilvl w:val="0"/>
          <w:numId w:val="182"/>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室内明敷接地干线安装应符合下列规定：</w:t>
      </w:r>
    </w:p>
    <w:p>
      <w:pPr>
        <w:pStyle w:val="41"/>
        <w:numPr>
          <w:ilvl w:val="1"/>
          <w:numId w:val="184"/>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 xml:space="preserve">当沿建筑物墙壁水平敷设时，敷设高度宜距地面 </w:t>
      </w:r>
      <w:r>
        <w:rPr>
          <w:rFonts w:hint="eastAsia" w:asciiTheme="minorEastAsia" w:hAnsiTheme="minorEastAsia" w:eastAsiaTheme="minorEastAsia"/>
          <w:color w:val="000000"/>
          <w:szCs w:val="21"/>
        </w:rPr>
        <w:t>300</w:t>
      </w:r>
      <w:r>
        <w:rPr>
          <w:rFonts w:hint="eastAsia" w:cs="仿宋" w:asciiTheme="minorEastAsia" w:hAnsiTheme="minorEastAsia" w:eastAsiaTheme="minorEastAsia"/>
          <w:color w:val="000000"/>
          <w:spacing w:val="0"/>
          <w:w w:val="15"/>
          <w:kern w:val="0"/>
          <w:szCs w:val="21"/>
          <w:fitText w:val="42" w:id="345315712"/>
        </w:rPr>
        <w:t xml:space="preserve">　 </w:t>
      </w:r>
      <w:r>
        <w:rPr>
          <w:rFonts w:hint="eastAsia" w:cs="仿宋" w:asciiTheme="minorEastAsia" w:hAnsiTheme="minorEastAsia" w:eastAsiaTheme="minorEastAsia"/>
          <w:color w:val="000000"/>
          <w:spacing w:val="-17"/>
          <w:w w:val="15"/>
          <w:kern w:val="0"/>
          <w:szCs w:val="21"/>
          <w:fitText w:val="42" w:id="345315712"/>
        </w:rPr>
        <w:t>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500</w:t>
      </w:r>
      <w:r>
        <w:rPr>
          <w:rFonts w:hint="eastAsia" w:cs="仿宋" w:asciiTheme="minorEastAsia" w:hAnsiTheme="minorEastAsia" w:eastAsiaTheme="minorEastAsia"/>
          <w:color w:val="000000"/>
          <w:spacing w:val="0"/>
          <w:w w:val="15"/>
          <w:kern w:val="0"/>
          <w:szCs w:val="21"/>
          <w:fitText w:val="42" w:id="1156278771"/>
        </w:rPr>
        <w:t xml:space="preserve">　 </w:t>
      </w:r>
      <w:r>
        <w:rPr>
          <w:rFonts w:hint="eastAsia" w:cs="仿宋" w:asciiTheme="minorEastAsia" w:hAnsiTheme="minorEastAsia" w:eastAsiaTheme="minorEastAsia"/>
          <w:color w:val="000000"/>
          <w:spacing w:val="-17"/>
          <w:w w:val="15"/>
          <w:kern w:val="0"/>
          <w:szCs w:val="21"/>
          <w:fitText w:val="42" w:id="1156278771"/>
        </w:rPr>
        <w:t>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 xml:space="preserve"> 墙侧，与建筑物墙壁间的间隙宜为</w:t>
      </w:r>
      <w:r>
        <w:rPr>
          <w:rFonts w:hint="eastAsia" w:asciiTheme="minorEastAsia" w:hAnsiTheme="minorEastAsia" w:eastAsiaTheme="minorEastAsia"/>
          <w:color w:val="000000"/>
          <w:szCs w:val="21"/>
        </w:rPr>
        <w:t>10</w:t>
      </w:r>
      <w:r>
        <w:rPr>
          <w:rFonts w:hint="eastAsia" w:cs="仿宋" w:asciiTheme="minorEastAsia" w:hAnsiTheme="minorEastAsia" w:eastAsiaTheme="minorEastAsia"/>
          <w:color w:val="000000"/>
          <w:spacing w:val="0"/>
          <w:w w:val="15"/>
          <w:kern w:val="0"/>
          <w:szCs w:val="21"/>
          <w:fitText w:val="42" w:id="1713767462"/>
        </w:rPr>
        <w:t xml:space="preserve">　 </w:t>
      </w:r>
      <w:r>
        <w:rPr>
          <w:rFonts w:hint="eastAsia" w:cs="仿宋" w:asciiTheme="minorEastAsia" w:hAnsiTheme="minorEastAsia" w:eastAsiaTheme="minorEastAsia"/>
          <w:color w:val="000000"/>
          <w:spacing w:val="-17"/>
          <w:w w:val="15"/>
          <w:kern w:val="0"/>
          <w:szCs w:val="21"/>
          <w:fitText w:val="42" w:id="1713767462"/>
        </w:rPr>
        <w:t>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20</w:t>
      </w:r>
      <w:r>
        <w:rPr>
          <w:rFonts w:hint="eastAsia" w:cs="仿宋" w:asciiTheme="minorEastAsia" w:hAnsiTheme="minorEastAsia" w:eastAsiaTheme="minorEastAsia"/>
          <w:color w:val="000000"/>
          <w:spacing w:val="0"/>
          <w:w w:val="15"/>
          <w:kern w:val="0"/>
          <w:szCs w:val="21"/>
          <w:fitText w:val="42" w:id="1208025933"/>
        </w:rPr>
        <w:t xml:space="preserve">　 </w:t>
      </w:r>
      <w:r>
        <w:rPr>
          <w:rFonts w:hint="eastAsia" w:cs="仿宋" w:asciiTheme="minorEastAsia" w:hAnsiTheme="minorEastAsia" w:eastAsiaTheme="minorEastAsia"/>
          <w:color w:val="000000"/>
          <w:spacing w:val="-17"/>
          <w:w w:val="15"/>
          <w:kern w:val="0"/>
          <w:szCs w:val="21"/>
          <w:fitText w:val="42" w:id="1208025933"/>
        </w:rPr>
        <w:t>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，室内接地干线应形成闭环。</w:t>
      </w:r>
    </w:p>
    <w:p>
      <w:pPr>
        <w:pStyle w:val="41"/>
        <w:numPr>
          <w:ilvl w:val="1"/>
          <w:numId w:val="184"/>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接地干线全长度或区间段及每个连接部位附近的表面，应涂以</w:t>
      </w:r>
      <w:r>
        <w:rPr>
          <w:rFonts w:hint="eastAsia" w:asciiTheme="minorEastAsia" w:hAnsiTheme="minorEastAsia" w:eastAsiaTheme="minorEastAsia"/>
          <w:color w:val="000000"/>
          <w:szCs w:val="21"/>
        </w:rPr>
        <w:t>15</w:t>
      </w:r>
      <w:r>
        <w:rPr>
          <w:rFonts w:hint="eastAsia" w:cs="仿宋" w:asciiTheme="minorEastAsia" w:hAnsiTheme="minorEastAsia" w:eastAsiaTheme="minorEastAsia"/>
          <w:color w:val="000000"/>
          <w:spacing w:val="0"/>
          <w:w w:val="15"/>
          <w:kern w:val="0"/>
          <w:szCs w:val="21"/>
          <w:fitText w:val="42" w:id="10955"/>
        </w:rPr>
        <w:t xml:space="preserve">　 </w:t>
      </w:r>
      <w:r>
        <w:rPr>
          <w:rFonts w:hint="eastAsia" w:cs="仿宋" w:asciiTheme="minorEastAsia" w:hAnsiTheme="minorEastAsia" w:eastAsiaTheme="minorEastAsia"/>
          <w:color w:val="000000"/>
          <w:spacing w:val="-17"/>
          <w:w w:val="15"/>
          <w:kern w:val="0"/>
          <w:szCs w:val="21"/>
          <w:fitText w:val="42" w:id="10955"/>
        </w:rPr>
        <w:t>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100</w:t>
      </w:r>
      <w:r>
        <w:rPr>
          <w:rFonts w:hint="eastAsia" w:cs="仿宋" w:asciiTheme="minorEastAsia" w:hAnsiTheme="minorEastAsia" w:eastAsiaTheme="minorEastAsia"/>
          <w:color w:val="000000"/>
          <w:spacing w:val="0"/>
          <w:w w:val="15"/>
          <w:kern w:val="0"/>
          <w:szCs w:val="21"/>
          <w:fitText w:val="42" w:id="1486106700"/>
        </w:rPr>
        <w:t xml:space="preserve">　 </w:t>
      </w:r>
      <w:r>
        <w:rPr>
          <w:rFonts w:hint="eastAsia" w:cs="仿宋" w:asciiTheme="minorEastAsia" w:hAnsiTheme="minorEastAsia" w:eastAsiaTheme="minorEastAsia"/>
          <w:color w:val="000000"/>
          <w:spacing w:val="-17"/>
          <w:w w:val="15"/>
          <w:kern w:val="0"/>
          <w:szCs w:val="21"/>
          <w:fitText w:val="42" w:id="1486106700"/>
        </w:rPr>
        <w:t>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宽度相等的黄色和绿色相间的条纹标识；</w:t>
      </w:r>
    </w:p>
    <w:p>
      <w:pPr>
        <w:pStyle w:val="41"/>
        <w:numPr>
          <w:ilvl w:val="1"/>
          <w:numId w:val="184"/>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变压器室、高压配电室、发电机房的接地干线上应设置不少于2个供临时接地用的接线柱或接地螺栓。</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检查数量：按不同场所各抽查1处。</w:t>
      </w:r>
    </w:p>
    <w:p>
      <w:pPr>
        <w:pStyle w:val="41"/>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检查方法：观察检查，并用尺量检查。</w:t>
      </w:r>
    </w:p>
    <w:p>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198" w:name="_Toc136869098"/>
      <w:bookmarkStart w:id="199" w:name="_Toc136868063"/>
      <w:bookmarkStart w:id="200" w:name="_Toc137216257"/>
      <w:r>
        <w:rPr>
          <w:rFonts w:hint="eastAsia" w:asciiTheme="minorEastAsia" w:hAnsiTheme="minorEastAsia" w:eastAsiaTheme="minorEastAsia"/>
          <w:sz w:val="24"/>
          <w:szCs w:val="24"/>
        </w:rPr>
        <w:t>8</w:t>
      </w:r>
      <w:r>
        <w:rPr>
          <w:rFonts w:asciiTheme="minorEastAsia" w:hAnsiTheme="minorEastAsia" w:eastAsiaTheme="minorEastAsia"/>
          <w:sz w:val="24"/>
          <w:szCs w:val="24"/>
        </w:rPr>
        <w:t xml:space="preserve">.3 </w:t>
      </w:r>
      <w:r>
        <w:rPr>
          <w:rFonts w:hint="eastAsia" w:asciiTheme="minorEastAsia" w:hAnsiTheme="minorEastAsia" w:eastAsiaTheme="minorEastAsia"/>
          <w:sz w:val="24"/>
          <w:szCs w:val="24"/>
        </w:rPr>
        <w:t>防雷引下线及接闪器安装</w:t>
      </w:r>
      <w:bookmarkEnd w:id="198"/>
      <w:bookmarkEnd w:id="199"/>
      <w:bookmarkEnd w:id="200"/>
    </w:p>
    <w:p>
      <w:pPr>
        <w:pStyle w:val="4"/>
        <w:spacing w:before="120" w:beforeLines="50" w:after="120" w:afterLines="50"/>
        <w:rPr>
          <w:rFonts w:asciiTheme="minorEastAsia" w:hAnsiTheme="minorEastAsia" w:eastAsiaTheme="minorEastAsia"/>
          <w:sz w:val="21"/>
          <w:szCs w:val="21"/>
        </w:rPr>
      </w:pPr>
      <w:r>
        <w:t>I</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主控项目</w:t>
      </w:r>
    </w:p>
    <w:p>
      <w:pPr>
        <w:pStyle w:val="41"/>
        <w:numPr>
          <w:ilvl w:val="0"/>
          <w:numId w:val="185"/>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防雷引下线的布置、安装数量和连接方式应符合设计要求。</w:t>
      </w:r>
    </w:p>
    <w:p>
      <w:pPr>
        <w:widowControl/>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检查数量</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明敷的引下线全数检查</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利用建筑结构内钢筋敷设的引下线或抹灰层内的引下线按总数量各抽查5%，且均不得少于2处。</w:t>
      </w:r>
    </w:p>
    <w:p>
      <w:pPr>
        <w:widowControl/>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检查方法</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明敷的观察检查，暗敷的施工中观察检查并查阅隐蔽工程检查记录。</w:t>
      </w:r>
    </w:p>
    <w:p>
      <w:pPr>
        <w:pStyle w:val="41"/>
        <w:numPr>
          <w:ilvl w:val="0"/>
          <w:numId w:val="185"/>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接闪器的布置、规格及数量应符合设计要求</w:t>
      </w:r>
    </w:p>
    <w:p>
      <w:pPr>
        <w:widowControl/>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检查数量</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全数检查。</w:t>
      </w:r>
    </w:p>
    <w:p>
      <w:pPr>
        <w:widowControl/>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检查方法</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观察检查并用尺量检查</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核对设计文件。</w:t>
      </w:r>
    </w:p>
    <w:p>
      <w:pPr>
        <w:pStyle w:val="41"/>
        <w:numPr>
          <w:ilvl w:val="0"/>
          <w:numId w:val="185"/>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接闪器与防雷引下线必须采用焊接或卡接器连接</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防雷引下线与接地装置必须采用焊接或螺栓连接。</w:t>
      </w:r>
    </w:p>
    <w:p>
      <w:pPr>
        <w:widowControl/>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检查数量</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全数检查。</w:t>
      </w:r>
    </w:p>
    <w:p>
      <w:pPr>
        <w:widowControl/>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检查方法</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观察检查</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并采用专用工具拧紧检查。</w:t>
      </w:r>
    </w:p>
    <w:p>
      <w:pPr>
        <w:pStyle w:val="41"/>
        <w:numPr>
          <w:ilvl w:val="0"/>
          <w:numId w:val="185"/>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专设引下线与可燃材料的墙壁或墙体保温层间距应大于</w:t>
      </w:r>
      <w:r>
        <w:rPr>
          <w:rFonts w:hint="eastAsia" w:asciiTheme="minorEastAsia" w:hAnsiTheme="minorEastAsia" w:eastAsiaTheme="minorEastAsia"/>
          <w:color w:val="000000"/>
          <w:szCs w:val="21"/>
        </w:rPr>
        <w:t>0.1</w:t>
      </w:r>
      <w:r>
        <w:rPr>
          <w:rFonts w:hint="eastAsia" w:cs="仿宋" w:asciiTheme="minorEastAsia" w:hAnsiTheme="minorEastAsia" w:eastAsiaTheme="minorEastAsia"/>
          <w:color w:val="000000"/>
          <w:spacing w:val="0"/>
          <w:w w:val="15"/>
          <w:kern w:val="0"/>
          <w:szCs w:val="21"/>
          <w:fitText w:val="42" w:id="559359750"/>
        </w:rPr>
        <w:t xml:space="preserve">　 </w:t>
      </w:r>
      <w:r>
        <w:rPr>
          <w:rFonts w:hint="eastAsia" w:cs="仿宋" w:asciiTheme="minorEastAsia" w:hAnsiTheme="minorEastAsia" w:eastAsiaTheme="minorEastAsia"/>
          <w:color w:val="000000"/>
          <w:spacing w:val="-17"/>
          <w:w w:val="15"/>
          <w:kern w:val="0"/>
          <w:szCs w:val="21"/>
          <w:fitText w:val="42" w:id="559359750"/>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w:t>
      </w:r>
    </w:p>
    <w:p>
      <w:pPr>
        <w:widowControl/>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检查数量</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全数检查</w:t>
      </w:r>
    </w:p>
    <w:p>
      <w:pPr>
        <w:widowControl/>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检查方法</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观察检查</w:t>
      </w:r>
    </w:p>
    <w:p>
      <w:pPr>
        <w:pStyle w:val="41"/>
        <w:numPr>
          <w:ilvl w:val="0"/>
          <w:numId w:val="185"/>
        </w:numPr>
        <w:spacing w:line="360" w:lineRule="auto"/>
        <w:ind w:left="0" w:firstLine="0" w:firstLineChars="0"/>
        <w:rPr>
          <w:rFonts w:asciiTheme="minorEastAsia" w:hAnsiTheme="minorEastAsia" w:eastAsiaTheme="minorEastAsia"/>
          <w:szCs w:val="21"/>
        </w:rPr>
      </w:pPr>
      <w:r>
        <w:rPr>
          <w:rFonts w:asciiTheme="minorEastAsia" w:hAnsiTheme="minorEastAsia" w:eastAsiaTheme="minorEastAsia"/>
          <w:szCs w:val="21"/>
        </w:rPr>
        <w:t>当利用建筑物金属屋面或屋顶上旗杆、栏杆、装饰物、铁塔、女儿墙上的盖板等永久性金属物做接闪器时</w:t>
      </w:r>
      <w:r>
        <w:rPr>
          <w:rFonts w:hint="eastAsia" w:asciiTheme="minorEastAsia" w:hAnsiTheme="minorEastAsia" w:eastAsiaTheme="minorEastAsia"/>
          <w:szCs w:val="21"/>
        </w:rPr>
        <w:t>，其材质及截面应符合设计要求，建筑物金属屋面板间的连接、永久性金属物各部件之间的连接应可靠、持久。</w:t>
      </w:r>
    </w:p>
    <w:p>
      <w:pPr>
        <w:widowControl/>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检查数量</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全数检查。</w:t>
      </w:r>
    </w:p>
    <w:p>
      <w:pPr>
        <w:widowControl/>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检查方法</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观察检查</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核查材质产品质量证明文件和材料进场验收记录，并核对设计文件。</w:t>
      </w:r>
    </w:p>
    <w:p>
      <w:pPr>
        <w:pStyle w:val="41"/>
        <w:numPr>
          <w:ilvl w:val="0"/>
          <w:numId w:val="185"/>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建筑物外的引下线敷设在人员可停留或经过的区域时，应采用下列方法：</w:t>
      </w:r>
    </w:p>
    <w:p>
      <w:pPr>
        <w:pStyle w:val="41"/>
        <w:numPr>
          <w:ilvl w:val="1"/>
          <w:numId w:val="18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外露引下线在高</w:t>
      </w:r>
      <w:r>
        <w:rPr>
          <w:rFonts w:hint="eastAsia" w:asciiTheme="minorEastAsia" w:hAnsiTheme="minorEastAsia" w:eastAsiaTheme="minorEastAsia"/>
          <w:color w:val="000000"/>
          <w:szCs w:val="21"/>
        </w:rPr>
        <w:t>2.7</w:t>
      </w:r>
      <w:r>
        <w:rPr>
          <w:rFonts w:hint="eastAsia" w:cs="仿宋" w:asciiTheme="minorEastAsia" w:hAnsiTheme="minorEastAsia" w:eastAsiaTheme="minorEastAsia"/>
          <w:color w:val="000000"/>
          <w:spacing w:val="0"/>
          <w:w w:val="15"/>
          <w:kern w:val="0"/>
          <w:szCs w:val="21"/>
          <w:fitText w:val="42" w:id="1893140224"/>
        </w:rPr>
        <w:t xml:space="preserve">　 </w:t>
      </w:r>
      <w:r>
        <w:rPr>
          <w:rFonts w:hint="eastAsia" w:cs="仿宋" w:asciiTheme="minorEastAsia" w:hAnsiTheme="minorEastAsia" w:eastAsiaTheme="minorEastAsia"/>
          <w:color w:val="000000"/>
          <w:spacing w:val="-17"/>
          <w:w w:val="15"/>
          <w:kern w:val="0"/>
          <w:szCs w:val="21"/>
          <w:fitText w:val="42" w:id="1893140224"/>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以下部分应穿不小于</w:t>
      </w:r>
      <w:r>
        <w:rPr>
          <w:rFonts w:hint="eastAsia" w:asciiTheme="minorEastAsia" w:hAnsiTheme="minorEastAsia" w:eastAsiaTheme="minorEastAsia"/>
          <w:color w:val="000000"/>
          <w:szCs w:val="21"/>
        </w:rPr>
        <w:t>3</w:t>
      </w:r>
      <w:r>
        <w:rPr>
          <w:rFonts w:hint="eastAsia" w:cs="仿宋" w:asciiTheme="minorEastAsia" w:hAnsiTheme="minorEastAsia" w:eastAsiaTheme="minorEastAsia"/>
          <w:color w:val="000000"/>
          <w:spacing w:val="0"/>
          <w:w w:val="15"/>
          <w:kern w:val="0"/>
          <w:szCs w:val="21"/>
          <w:fitText w:val="42" w:id="1304257414"/>
        </w:rPr>
        <w:t xml:space="preserve">　 </w:t>
      </w:r>
      <w:r>
        <w:rPr>
          <w:rFonts w:hint="eastAsia" w:cs="仿宋" w:asciiTheme="minorEastAsia" w:hAnsiTheme="minorEastAsia" w:eastAsiaTheme="minorEastAsia"/>
          <w:color w:val="000000"/>
          <w:spacing w:val="-17"/>
          <w:w w:val="15"/>
          <w:kern w:val="0"/>
          <w:szCs w:val="21"/>
          <w:fitText w:val="42" w:id="1304257414"/>
        </w:rPr>
        <w:t>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厚的交联聚乙烯管。</w:t>
      </w:r>
    </w:p>
    <w:p>
      <w:pPr>
        <w:pStyle w:val="41"/>
        <w:numPr>
          <w:ilvl w:val="1"/>
          <w:numId w:val="186"/>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应设立阻止人员进入的护栏或者警示牌。护栏与引下线水平距离不应小于</w:t>
      </w:r>
      <w:r>
        <w:rPr>
          <w:rFonts w:hint="eastAsia" w:asciiTheme="minorEastAsia" w:hAnsiTheme="minorEastAsia" w:eastAsiaTheme="minorEastAsia"/>
          <w:color w:val="000000"/>
          <w:szCs w:val="21"/>
        </w:rPr>
        <w:t>3</w:t>
      </w:r>
      <w:r>
        <w:rPr>
          <w:rFonts w:hint="eastAsia" w:cs="仿宋" w:asciiTheme="minorEastAsia" w:hAnsiTheme="minorEastAsia" w:eastAsiaTheme="minorEastAsia"/>
          <w:color w:val="000000"/>
          <w:spacing w:val="0"/>
          <w:w w:val="15"/>
          <w:kern w:val="0"/>
          <w:szCs w:val="21"/>
          <w:fitText w:val="42" w:id="612175593"/>
        </w:rPr>
        <w:t xml:space="preserve">　 </w:t>
      </w:r>
      <w:r>
        <w:rPr>
          <w:rFonts w:hint="eastAsia" w:cs="仿宋" w:asciiTheme="minorEastAsia" w:hAnsiTheme="minorEastAsia" w:eastAsiaTheme="minorEastAsia"/>
          <w:color w:val="000000"/>
          <w:spacing w:val="-17"/>
          <w:w w:val="15"/>
          <w:kern w:val="0"/>
          <w:szCs w:val="21"/>
          <w:fitText w:val="42" w:id="612175593"/>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w:t>
      </w:r>
    </w:p>
    <w:p>
      <w:pPr>
        <w:widowControl/>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检查数量</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全数检查。</w:t>
      </w:r>
    </w:p>
    <w:p>
      <w:pPr>
        <w:widowControl/>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检查方法</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观察检查</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核查材质产品质量证明文件和材料进场验收记录，并核对设计文件。</w:t>
      </w:r>
    </w:p>
    <w:p>
      <w:pPr>
        <w:pStyle w:val="4"/>
        <w:spacing w:before="120" w:beforeLines="50" w:after="120" w:afterLines="50"/>
        <w:rPr>
          <w:rFonts w:asciiTheme="minorEastAsia" w:hAnsiTheme="minorEastAsia" w:eastAsiaTheme="minorEastAsia"/>
          <w:sz w:val="21"/>
          <w:szCs w:val="21"/>
        </w:rPr>
      </w:pPr>
      <w:r>
        <w:t>Ⅱ</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一般项目</w:t>
      </w:r>
    </w:p>
    <w:p>
      <w:pPr>
        <w:pStyle w:val="41"/>
        <w:numPr>
          <w:ilvl w:val="0"/>
          <w:numId w:val="185"/>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暗敷在建筑物抹灰层内的引下线应有卡钉分段固定</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明敷的引下线应平直、无急弯，并应设置专用支架固定，引下线焊接处应刷油漆防腐且无遗漏。</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抽检数量</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抽查引下线总数的10%，且不得少于2处。</w:t>
      </w:r>
    </w:p>
    <w:p>
      <w:pPr>
        <w:pStyle w:val="41"/>
        <w:spacing w:line="360" w:lineRule="auto"/>
        <w:ind w:left="420" w:firstLine="0" w:firstLineChars="0"/>
        <w:rPr>
          <w:rFonts w:asciiTheme="minorEastAsia" w:hAnsiTheme="minorEastAsia" w:eastAsiaTheme="minorEastAsia"/>
          <w:szCs w:val="21"/>
        </w:rPr>
      </w:pPr>
      <w:r>
        <w:rPr>
          <w:rFonts w:hint="eastAsia" w:asciiTheme="minorEastAsia" w:hAnsiTheme="minorEastAsia" w:eastAsiaTheme="minorEastAsia"/>
          <w:szCs w:val="21"/>
        </w:rPr>
        <w:t>检查方法</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明敷的观察检查，暗敷的施工中观察检查并查阅隐蔽工程检查记录。</w:t>
      </w:r>
    </w:p>
    <w:p>
      <w:pPr>
        <w:pStyle w:val="41"/>
        <w:numPr>
          <w:ilvl w:val="0"/>
          <w:numId w:val="185"/>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设计要求接地的幕墙金属框架和建筑物的金属门窗，应就近与防雷引下线连接可靠，连接处不同金属间应采取防电化学腐蚀措施。</w:t>
      </w:r>
    </w:p>
    <w:p>
      <w:pPr>
        <w:pStyle w:val="41"/>
        <w:spacing w:line="360" w:lineRule="auto"/>
        <w:ind w:left="420" w:firstLine="0" w:firstLineChars="0"/>
        <w:rPr>
          <w:rFonts w:asciiTheme="minorEastAsia" w:hAnsiTheme="minorEastAsia" w:eastAsiaTheme="minorEastAsia"/>
          <w:szCs w:val="21"/>
        </w:rPr>
      </w:pPr>
      <w:r>
        <w:rPr>
          <w:rFonts w:hint="eastAsia" w:asciiTheme="minorEastAsia" w:hAnsiTheme="minorEastAsia" w:eastAsiaTheme="minorEastAsia"/>
          <w:szCs w:val="21"/>
        </w:rPr>
        <w:t>抽检数量</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按接地点总数抽查10%，且不得少于1处。</w:t>
      </w:r>
    </w:p>
    <w:p>
      <w:pPr>
        <w:pStyle w:val="41"/>
        <w:spacing w:line="360" w:lineRule="auto"/>
        <w:ind w:left="420" w:firstLine="0" w:firstLineChars="0"/>
        <w:rPr>
          <w:rFonts w:asciiTheme="minorEastAsia" w:hAnsiTheme="minorEastAsia" w:eastAsiaTheme="minorEastAsia"/>
          <w:szCs w:val="21"/>
        </w:rPr>
      </w:pPr>
      <w:r>
        <w:rPr>
          <w:rFonts w:hint="eastAsia" w:asciiTheme="minorEastAsia" w:hAnsiTheme="minorEastAsia" w:eastAsiaTheme="minorEastAsia"/>
          <w:szCs w:val="21"/>
        </w:rPr>
        <w:t>检查方法</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施工中观察检查并查阅隐蔽工程检查记录。</w:t>
      </w:r>
    </w:p>
    <w:p>
      <w:pPr>
        <w:pStyle w:val="41"/>
        <w:numPr>
          <w:ilvl w:val="0"/>
          <w:numId w:val="185"/>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设计要求利用幕墙竖向龙骨作引下线（防侧击雷）时，竖向龙骨应具有可靠的贯通性，贯通性的竖向龙骨之间的间距不应大于</w:t>
      </w:r>
      <w:r>
        <w:rPr>
          <w:rFonts w:hint="eastAsia" w:asciiTheme="minorEastAsia" w:hAnsiTheme="minorEastAsia" w:eastAsiaTheme="minorEastAsia"/>
          <w:color w:val="000000"/>
          <w:szCs w:val="21"/>
        </w:rPr>
        <w:t>3</w:t>
      </w:r>
      <w:r>
        <w:rPr>
          <w:rFonts w:hint="eastAsia" w:cs="仿宋" w:asciiTheme="minorEastAsia" w:hAnsiTheme="minorEastAsia" w:eastAsiaTheme="minorEastAsia"/>
          <w:color w:val="000000"/>
          <w:spacing w:val="0"/>
          <w:w w:val="15"/>
          <w:kern w:val="0"/>
          <w:szCs w:val="21"/>
          <w:fitText w:val="42" w:id="930295004"/>
        </w:rPr>
        <w:t xml:space="preserve">　 </w:t>
      </w:r>
      <w:r>
        <w:rPr>
          <w:rFonts w:hint="eastAsia" w:cs="仿宋" w:asciiTheme="minorEastAsia" w:hAnsiTheme="minorEastAsia" w:eastAsiaTheme="minorEastAsia"/>
          <w:color w:val="000000"/>
          <w:spacing w:val="-17"/>
          <w:w w:val="15"/>
          <w:kern w:val="0"/>
          <w:szCs w:val="21"/>
          <w:fitText w:val="42" w:id="930295004"/>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w:t>
      </w:r>
    </w:p>
    <w:p>
      <w:pPr>
        <w:pStyle w:val="41"/>
        <w:spacing w:line="360" w:lineRule="auto"/>
        <w:ind w:left="420" w:firstLine="0" w:firstLineChars="0"/>
        <w:rPr>
          <w:rFonts w:asciiTheme="minorEastAsia" w:hAnsiTheme="minorEastAsia" w:eastAsiaTheme="minorEastAsia"/>
          <w:szCs w:val="21"/>
        </w:rPr>
      </w:pPr>
      <w:r>
        <w:rPr>
          <w:rFonts w:hint="eastAsia" w:asciiTheme="minorEastAsia" w:hAnsiTheme="minorEastAsia" w:eastAsiaTheme="minorEastAsia"/>
          <w:szCs w:val="21"/>
        </w:rPr>
        <w:t>抽检数量</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抽查引下线总数的10%，且不得少于2处。</w:t>
      </w:r>
    </w:p>
    <w:p>
      <w:pPr>
        <w:pStyle w:val="41"/>
        <w:spacing w:line="360" w:lineRule="auto"/>
        <w:ind w:left="420" w:firstLine="0" w:firstLineChars="0"/>
        <w:rPr>
          <w:rFonts w:asciiTheme="minorEastAsia" w:hAnsiTheme="minorEastAsia" w:eastAsiaTheme="minorEastAsia"/>
          <w:szCs w:val="21"/>
        </w:rPr>
      </w:pPr>
      <w:r>
        <w:rPr>
          <w:rFonts w:hint="eastAsia" w:asciiTheme="minorEastAsia" w:hAnsiTheme="minorEastAsia" w:eastAsiaTheme="minorEastAsia"/>
          <w:szCs w:val="21"/>
        </w:rPr>
        <w:t>检查方法</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施工中观察检查并查阅隐蔽工程检查记录。</w:t>
      </w:r>
    </w:p>
    <w:p>
      <w:pPr>
        <w:pStyle w:val="41"/>
        <w:numPr>
          <w:ilvl w:val="0"/>
          <w:numId w:val="185"/>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接闪杆、接闪线或接闪带安装位置应正确，安装方式应符合设计要求，焊接固定的焊缝应饱满无遗漏，螺栓固定的应防松零件齐全，焊接连接处应防腐完好。</w:t>
      </w:r>
    </w:p>
    <w:p>
      <w:pPr>
        <w:pStyle w:val="41"/>
        <w:spacing w:line="360" w:lineRule="auto"/>
        <w:ind w:left="420" w:firstLine="0" w:firstLineChars="0"/>
        <w:rPr>
          <w:rFonts w:asciiTheme="minorEastAsia" w:hAnsiTheme="minorEastAsia" w:eastAsiaTheme="minorEastAsia"/>
          <w:szCs w:val="21"/>
        </w:rPr>
      </w:pPr>
      <w:r>
        <w:rPr>
          <w:rFonts w:hint="eastAsia" w:asciiTheme="minorEastAsia" w:hAnsiTheme="minorEastAsia" w:eastAsiaTheme="minorEastAsia"/>
          <w:szCs w:val="21"/>
        </w:rPr>
        <w:t>抽检数量</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全数检查。</w:t>
      </w:r>
    </w:p>
    <w:p>
      <w:pPr>
        <w:pStyle w:val="41"/>
        <w:spacing w:line="360" w:lineRule="auto"/>
        <w:ind w:left="420" w:firstLine="0" w:firstLineChars="0"/>
        <w:rPr>
          <w:rFonts w:asciiTheme="minorEastAsia" w:hAnsiTheme="minorEastAsia" w:eastAsiaTheme="minorEastAsia"/>
          <w:szCs w:val="21"/>
        </w:rPr>
      </w:pPr>
      <w:r>
        <w:rPr>
          <w:rFonts w:hint="eastAsia" w:asciiTheme="minorEastAsia" w:hAnsiTheme="minorEastAsia" w:eastAsiaTheme="minorEastAsia"/>
          <w:szCs w:val="21"/>
        </w:rPr>
        <w:t>检查方法</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观察检查。</w:t>
      </w:r>
    </w:p>
    <w:p>
      <w:pPr>
        <w:pStyle w:val="41"/>
        <w:numPr>
          <w:ilvl w:val="0"/>
          <w:numId w:val="185"/>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接闪线、接闪带和明敷引下线安装应符合下列要求</w:t>
      </w:r>
      <w:r>
        <w:rPr>
          <w:rFonts w:hint="eastAsia" w:asciiTheme="minorEastAsia" w:hAnsiTheme="minorEastAsia" w:eastAsiaTheme="minorEastAsia"/>
          <w:color w:val="000000"/>
          <w:szCs w:val="21"/>
        </w:rPr>
        <w:t>：</w:t>
      </w:r>
    </w:p>
    <w:p>
      <w:pPr>
        <w:pStyle w:val="41"/>
        <w:numPr>
          <w:ilvl w:val="1"/>
          <w:numId w:val="187"/>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安装应平正顺直、无急弯，其固定支架应间距均匀、固定牢固。</w:t>
      </w:r>
    </w:p>
    <w:p>
      <w:pPr>
        <w:pStyle w:val="41"/>
        <w:numPr>
          <w:ilvl w:val="1"/>
          <w:numId w:val="187"/>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当设计无要求时，固定支架高度不宜小于</w:t>
      </w:r>
      <w:r>
        <w:rPr>
          <w:rFonts w:hint="eastAsia" w:asciiTheme="minorEastAsia" w:hAnsiTheme="minorEastAsia" w:eastAsiaTheme="minorEastAsia"/>
          <w:color w:val="000000"/>
          <w:szCs w:val="21"/>
        </w:rPr>
        <w:t>150</w:t>
      </w:r>
      <w:r>
        <w:rPr>
          <w:rFonts w:hint="eastAsia" w:cs="仿宋" w:asciiTheme="minorEastAsia" w:hAnsiTheme="minorEastAsia" w:eastAsiaTheme="minorEastAsia"/>
          <w:color w:val="000000"/>
          <w:spacing w:val="0"/>
          <w:w w:val="15"/>
          <w:kern w:val="0"/>
          <w:szCs w:val="21"/>
          <w:fitText w:val="42" w:id="1137129795"/>
        </w:rPr>
        <w:t xml:space="preserve">　 </w:t>
      </w:r>
      <w:r>
        <w:rPr>
          <w:rFonts w:hint="eastAsia" w:cs="仿宋" w:asciiTheme="minorEastAsia" w:hAnsiTheme="minorEastAsia" w:eastAsiaTheme="minorEastAsia"/>
          <w:color w:val="000000"/>
          <w:spacing w:val="-17"/>
          <w:w w:val="15"/>
          <w:kern w:val="0"/>
          <w:szCs w:val="21"/>
          <w:fitText w:val="42" w:id="1137129795"/>
        </w:rPr>
        <w:t>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，间距应符合表</w:t>
      </w:r>
      <w:r>
        <w:rPr>
          <w:rFonts w:asciiTheme="minorEastAsia" w:hAnsiTheme="minorEastAsia" w:eastAsiaTheme="minorEastAsia"/>
          <w:szCs w:val="21"/>
        </w:rPr>
        <w:t>8.3.11</w:t>
      </w:r>
      <w:r>
        <w:rPr>
          <w:rFonts w:hint="eastAsia" w:asciiTheme="minorEastAsia" w:hAnsiTheme="minorEastAsia" w:eastAsiaTheme="minorEastAsia"/>
          <w:szCs w:val="21"/>
        </w:rPr>
        <w:t>的规定，拐弯处不宜大于</w:t>
      </w:r>
      <w:r>
        <w:rPr>
          <w:rFonts w:hint="eastAsia" w:asciiTheme="minorEastAsia" w:hAnsiTheme="minorEastAsia" w:eastAsiaTheme="minorEastAsia"/>
          <w:color w:val="000000"/>
          <w:szCs w:val="21"/>
        </w:rPr>
        <w:t>0.3</w:t>
      </w:r>
      <w:r>
        <w:rPr>
          <w:rFonts w:hint="eastAsia" w:cs="仿宋" w:asciiTheme="minorEastAsia" w:hAnsiTheme="minorEastAsia" w:eastAsiaTheme="minorEastAsia"/>
          <w:color w:val="000000"/>
          <w:spacing w:val="0"/>
          <w:w w:val="15"/>
          <w:kern w:val="0"/>
          <w:szCs w:val="21"/>
          <w:fitText w:val="42" w:id="1678599188"/>
        </w:rPr>
        <w:t xml:space="preserve">　 </w:t>
      </w:r>
      <w:r>
        <w:rPr>
          <w:rFonts w:hint="eastAsia" w:cs="仿宋" w:asciiTheme="minorEastAsia" w:hAnsiTheme="minorEastAsia" w:eastAsiaTheme="minorEastAsia"/>
          <w:color w:val="000000"/>
          <w:spacing w:val="-17"/>
          <w:w w:val="15"/>
          <w:kern w:val="0"/>
          <w:szCs w:val="21"/>
          <w:fitText w:val="42" w:id="1678599188"/>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w:t>
      </w:r>
    </w:p>
    <w:p>
      <w:pPr>
        <w:pStyle w:val="41"/>
        <w:numPr>
          <w:ilvl w:val="1"/>
          <w:numId w:val="187"/>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每个固定支架应能承受</w:t>
      </w:r>
      <w:r>
        <w:rPr>
          <w:rFonts w:hint="eastAsia" w:asciiTheme="minorEastAsia" w:hAnsiTheme="minorEastAsia" w:eastAsiaTheme="minorEastAsia"/>
          <w:color w:val="000000"/>
          <w:szCs w:val="21"/>
        </w:rPr>
        <w:t>49</w:t>
      </w:r>
      <w:r>
        <w:rPr>
          <w:rFonts w:hint="eastAsia" w:cs="仿宋" w:asciiTheme="minorEastAsia" w:hAnsiTheme="minorEastAsia" w:eastAsiaTheme="minorEastAsia"/>
          <w:color w:val="000000"/>
          <w:spacing w:val="0"/>
          <w:w w:val="15"/>
          <w:kern w:val="0"/>
          <w:szCs w:val="21"/>
          <w:fitText w:val="42" w:id="2114217341"/>
        </w:rPr>
        <w:t xml:space="preserve">　 </w:t>
      </w:r>
      <w:r>
        <w:rPr>
          <w:rFonts w:hint="eastAsia" w:cs="仿宋" w:asciiTheme="minorEastAsia" w:hAnsiTheme="minorEastAsia" w:eastAsiaTheme="minorEastAsia"/>
          <w:color w:val="000000"/>
          <w:spacing w:val="-17"/>
          <w:w w:val="15"/>
          <w:kern w:val="0"/>
          <w:szCs w:val="21"/>
          <w:fitText w:val="42" w:id="2114217341"/>
        </w:rPr>
        <w:t>　</w:t>
      </w:r>
      <w:r>
        <w:rPr>
          <w:rFonts w:hint="eastAsia" w:asciiTheme="minorEastAsia" w:hAnsiTheme="minorEastAsia" w:eastAsiaTheme="minorEastAsia"/>
          <w:color w:val="000000"/>
          <w:szCs w:val="21"/>
        </w:rPr>
        <w:t>N</w:t>
      </w:r>
      <w:r>
        <w:rPr>
          <w:rFonts w:hint="eastAsia" w:asciiTheme="minorEastAsia" w:hAnsiTheme="minorEastAsia" w:eastAsiaTheme="minorEastAsia"/>
          <w:szCs w:val="21"/>
        </w:rPr>
        <w:t>的垂直拉力。</w:t>
      </w:r>
    </w:p>
    <w:p>
      <w:pPr>
        <w:pStyle w:val="41"/>
        <w:spacing w:line="360" w:lineRule="auto"/>
        <w:ind w:left="420" w:firstLine="0" w:firstLineChars="0"/>
        <w:rPr>
          <w:rFonts w:asciiTheme="minorEastAsia" w:hAnsiTheme="minorEastAsia" w:eastAsiaTheme="minorEastAsia"/>
          <w:szCs w:val="21"/>
        </w:rPr>
      </w:pPr>
      <w:r>
        <w:rPr>
          <w:rFonts w:hint="eastAsia" w:asciiTheme="minorEastAsia" w:hAnsiTheme="minorEastAsia" w:eastAsiaTheme="minorEastAsia"/>
          <w:szCs w:val="21"/>
        </w:rPr>
        <w:t>抽检数量</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第1、2款全数检查，第3款按支持件总数抽查30%，且不得少于3个。</w:t>
      </w:r>
    </w:p>
    <w:p>
      <w:pPr>
        <w:pStyle w:val="41"/>
        <w:spacing w:line="360" w:lineRule="auto"/>
        <w:ind w:left="420" w:firstLine="0" w:firstLineChars="0"/>
        <w:rPr>
          <w:rFonts w:asciiTheme="minorEastAsia" w:hAnsiTheme="minorEastAsia" w:eastAsiaTheme="minorEastAsia"/>
          <w:szCs w:val="21"/>
        </w:rPr>
      </w:pPr>
      <w:r>
        <w:rPr>
          <w:rFonts w:hint="eastAsia" w:asciiTheme="minorEastAsia" w:hAnsiTheme="minorEastAsia" w:eastAsiaTheme="minorEastAsia"/>
          <w:szCs w:val="21"/>
        </w:rPr>
        <w:t>检查方法</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观察检查并用尺量、用测力计测量支架的垂直受力值。</w:t>
      </w:r>
    </w:p>
    <w:p>
      <w:pPr>
        <w:pStyle w:val="41"/>
        <w:spacing w:line="360" w:lineRule="auto"/>
        <w:jc w:val="center"/>
        <w:rPr>
          <w:rFonts w:ascii="黑体" w:hAnsi="黑体" w:eastAsia="黑体"/>
          <w:szCs w:val="21"/>
        </w:rPr>
      </w:pPr>
      <w:r>
        <w:rPr>
          <w:rFonts w:hint="eastAsia" w:ascii="黑体" w:hAnsi="黑体" w:eastAsia="黑体"/>
          <w:szCs w:val="21"/>
        </w:rPr>
        <w:t>表</w:t>
      </w:r>
      <w:r>
        <w:rPr>
          <w:rFonts w:ascii="黑体" w:hAnsi="黑体" w:eastAsia="黑体"/>
          <w:szCs w:val="21"/>
        </w:rPr>
        <w:t xml:space="preserve">8.3.11 </w:t>
      </w:r>
      <w:r>
        <w:rPr>
          <w:rFonts w:hint="eastAsia" w:ascii="黑体" w:hAnsi="黑体" w:eastAsia="黑体"/>
          <w:szCs w:val="21"/>
        </w:rPr>
        <w:t>明敷引下线及接闪导体固定支架间距（mm）</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26"/>
        <w:gridCol w:w="2016"/>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布置方式</w:t>
            </w:r>
          </w:p>
        </w:tc>
        <w:tc>
          <w:tcPr>
            <w:tcW w:w="0" w:type="auto"/>
            <w:vAlign w:val="center"/>
          </w:tcPr>
          <w:p>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扁形导体固定支架间距</w:t>
            </w:r>
          </w:p>
        </w:tc>
        <w:tc>
          <w:tcPr>
            <w:tcW w:w="0" w:type="auto"/>
            <w:vAlign w:val="center"/>
          </w:tcPr>
          <w:p>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圆形导体固定支架间距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安装于水平面上的水平导体</w:t>
            </w:r>
          </w:p>
        </w:tc>
        <w:tc>
          <w:tcPr>
            <w:tcW w:w="0" w:type="auto"/>
            <w:vMerge w:val="restart"/>
            <w:vAlign w:val="center"/>
          </w:tcPr>
          <w:p>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500</w:t>
            </w:r>
          </w:p>
        </w:tc>
        <w:tc>
          <w:tcPr>
            <w:tcW w:w="0" w:type="auto"/>
            <w:vMerge w:val="restart"/>
            <w:vAlign w:val="center"/>
          </w:tcPr>
          <w:p>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color w:val="000000"/>
                <w:sz w:val="18"/>
                <w:szCs w:val="1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安装于垂直面上的水平导体</w:t>
            </w:r>
          </w:p>
        </w:tc>
        <w:tc>
          <w:tcPr>
            <w:tcW w:w="0" w:type="auto"/>
            <w:vMerge w:val="continue"/>
            <w:vAlign w:val="center"/>
          </w:tcPr>
          <w:p>
            <w:pPr>
              <w:pStyle w:val="41"/>
              <w:spacing w:line="360" w:lineRule="auto"/>
              <w:ind w:firstLine="0" w:firstLineChars="0"/>
              <w:jc w:val="center"/>
              <w:rPr>
                <w:rFonts w:asciiTheme="minorEastAsia" w:hAnsiTheme="minorEastAsia" w:eastAsiaTheme="minorEastAsia"/>
                <w:sz w:val="18"/>
                <w:szCs w:val="18"/>
              </w:rPr>
            </w:pPr>
          </w:p>
        </w:tc>
        <w:tc>
          <w:tcPr>
            <w:tcW w:w="0" w:type="auto"/>
            <w:vMerge w:val="continue"/>
            <w:vAlign w:val="center"/>
          </w:tcPr>
          <w:p>
            <w:pPr>
              <w:pStyle w:val="41"/>
              <w:spacing w:line="360" w:lineRule="auto"/>
              <w:ind w:firstLine="0" w:firstLineChars="0"/>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安装于高于</w:t>
            </w:r>
            <w:r>
              <w:rPr>
                <w:rFonts w:hint="eastAsia" w:asciiTheme="minorEastAsia" w:hAnsiTheme="minorEastAsia" w:eastAsiaTheme="minorEastAsia"/>
                <w:color w:val="000000"/>
                <w:sz w:val="18"/>
                <w:szCs w:val="18"/>
              </w:rPr>
              <w:t>20 m</w:t>
            </w:r>
            <w:r>
              <w:rPr>
                <w:rFonts w:hint="eastAsia" w:asciiTheme="minorEastAsia" w:hAnsiTheme="minorEastAsia" w:eastAsiaTheme="minorEastAsia"/>
                <w:sz w:val="18"/>
                <w:szCs w:val="18"/>
              </w:rPr>
              <w:t>以上垂直面上的垂直导体</w:t>
            </w:r>
          </w:p>
        </w:tc>
        <w:tc>
          <w:tcPr>
            <w:tcW w:w="0" w:type="auto"/>
            <w:vMerge w:val="continue"/>
            <w:vAlign w:val="center"/>
          </w:tcPr>
          <w:p>
            <w:pPr>
              <w:pStyle w:val="41"/>
              <w:spacing w:line="360" w:lineRule="auto"/>
              <w:ind w:firstLine="0" w:firstLineChars="0"/>
              <w:jc w:val="center"/>
              <w:rPr>
                <w:rFonts w:asciiTheme="minorEastAsia" w:hAnsiTheme="minorEastAsia" w:eastAsiaTheme="minorEastAsia"/>
                <w:sz w:val="18"/>
                <w:szCs w:val="18"/>
              </w:rPr>
            </w:pPr>
          </w:p>
        </w:tc>
        <w:tc>
          <w:tcPr>
            <w:tcW w:w="0" w:type="auto"/>
            <w:vMerge w:val="continue"/>
            <w:vAlign w:val="center"/>
          </w:tcPr>
          <w:p>
            <w:pPr>
              <w:pStyle w:val="41"/>
              <w:spacing w:line="360" w:lineRule="auto"/>
              <w:ind w:firstLine="0" w:firstLineChars="0"/>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安装于地面至</w:t>
            </w:r>
            <w:r>
              <w:rPr>
                <w:rFonts w:hint="eastAsia" w:asciiTheme="minorEastAsia" w:hAnsiTheme="minorEastAsia" w:eastAsiaTheme="minorEastAsia"/>
                <w:color w:val="000000"/>
                <w:sz w:val="18"/>
                <w:szCs w:val="18"/>
              </w:rPr>
              <w:t>20 m</w:t>
            </w:r>
            <w:r>
              <w:rPr>
                <w:rFonts w:hint="eastAsia" w:asciiTheme="minorEastAsia" w:hAnsiTheme="minorEastAsia" w:eastAsiaTheme="minorEastAsia"/>
                <w:sz w:val="18"/>
                <w:szCs w:val="18"/>
              </w:rPr>
              <w:t>以下垂直面上的垂直导体</w:t>
            </w:r>
          </w:p>
        </w:tc>
        <w:tc>
          <w:tcPr>
            <w:tcW w:w="0" w:type="auto"/>
            <w:vAlign w:val="center"/>
          </w:tcPr>
          <w:p>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color w:val="000000"/>
                <w:sz w:val="18"/>
                <w:szCs w:val="18"/>
              </w:rPr>
              <w:t>1000</w:t>
            </w:r>
          </w:p>
        </w:tc>
        <w:tc>
          <w:tcPr>
            <w:tcW w:w="0" w:type="auto"/>
            <w:vAlign w:val="center"/>
          </w:tcPr>
          <w:p>
            <w:pPr>
              <w:pStyle w:val="41"/>
              <w:spacing w:line="360" w:lineRule="auto"/>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color w:val="000000"/>
                <w:sz w:val="18"/>
                <w:szCs w:val="18"/>
              </w:rPr>
              <w:t>1000</w:t>
            </w:r>
          </w:p>
        </w:tc>
      </w:tr>
    </w:tbl>
    <w:p>
      <w:pPr>
        <w:pStyle w:val="41"/>
        <w:numPr>
          <w:ilvl w:val="0"/>
          <w:numId w:val="185"/>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接闪带或接闪网在过建筑物变形缝处的跨接应有补偿措施。</w:t>
      </w:r>
    </w:p>
    <w:p>
      <w:pPr>
        <w:pStyle w:val="41"/>
        <w:spacing w:line="360" w:lineRule="auto"/>
        <w:ind w:left="420" w:firstLine="0" w:firstLineChars="0"/>
        <w:rPr>
          <w:rFonts w:asciiTheme="minorEastAsia" w:hAnsiTheme="minorEastAsia" w:eastAsiaTheme="minorEastAsia"/>
          <w:szCs w:val="21"/>
        </w:rPr>
      </w:pPr>
      <w:r>
        <w:rPr>
          <w:rFonts w:hint="eastAsia" w:asciiTheme="minorEastAsia" w:hAnsiTheme="minorEastAsia" w:eastAsiaTheme="minorEastAsia"/>
          <w:szCs w:val="21"/>
        </w:rPr>
        <w:t>抽检数量</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全数检查。</w:t>
      </w:r>
    </w:p>
    <w:p>
      <w:pPr>
        <w:pStyle w:val="41"/>
        <w:spacing w:line="360" w:lineRule="auto"/>
        <w:ind w:left="420" w:firstLine="0" w:firstLineChars="0"/>
        <w:rPr>
          <w:rFonts w:asciiTheme="minorEastAsia" w:hAnsiTheme="minorEastAsia" w:eastAsiaTheme="minorEastAsia"/>
          <w:szCs w:val="21"/>
        </w:rPr>
      </w:pPr>
      <w:r>
        <w:rPr>
          <w:rFonts w:hint="eastAsia" w:asciiTheme="minorEastAsia" w:hAnsiTheme="minorEastAsia" w:eastAsiaTheme="minorEastAsia"/>
          <w:szCs w:val="21"/>
        </w:rPr>
        <w:t>检查方法</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观察检查。</w:t>
      </w:r>
    </w:p>
    <w:p>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201" w:name="_Toc136868064"/>
      <w:bookmarkStart w:id="202" w:name="_Toc136869099"/>
      <w:bookmarkStart w:id="203" w:name="_Toc137216258"/>
      <w:r>
        <w:rPr>
          <w:rFonts w:hint="eastAsia" w:asciiTheme="minorEastAsia" w:hAnsiTheme="minorEastAsia" w:eastAsiaTheme="minorEastAsia"/>
          <w:sz w:val="24"/>
          <w:szCs w:val="24"/>
        </w:rPr>
        <w:t>8</w:t>
      </w:r>
      <w:r>
        <w:rPr>
          <w:rFonts w:asciiTheme="minorEastAsia" w:hAnsiTheme="minorEastAsia" w:eastAsiaTheme="minorEastAsia"/>
          <w:sz w:val="24"/>
          <w:szCs w:val="24"/>
        </w:rPr>
        <w:t xml:space="preserve">.4 </w:t>
      </w:r>
      <w:r>
        <w:rPr>
          <w:rFonts w:hint="eastAsia" w:asciiTheme="minorEastAsia" w:hAnsiTheme="minorEastAsia" w:eastAsiaTheme="minorEastAsia"/>
          <w:sz w:val="24"/>
          <w:szCs w:val="24"/>
        </w:rPr>
        <w:t>建筑物等电位联结</w:t>
      </w:r>
      <w:bookmarkEnd w:id="201"/>
      <w:bookmarkEnd w:id="202"/>
      <w:bookmarkEnd w:id="203"/>
    </w:p>
    <w:p>
      <w:pPr>
        <w:pStyle w:val="4"/>
        <w:spacing w:before="120" w:beforeLines="50" w:after="120" w:afterLines="50"/>
        <w:rPr>
          <w:rFonts w:asciiTheme="minorEastAsia" w:hAnsiTheme="minorEastAsia" w:eastAsiaTheme="minorEastAsia"/>
          <w:sz w:val="21"/>
          <w:szCs w:val="21"/>
        </w:rPr>
      </w:pPr>
      <w:r>
        <w:t>I</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主控项目</w:t>
      </w:r>
    </w:p>
    <w:p>
      <w:pPr>
        <w:pStyle w:val="41"/>
        <w:numPr>
          <w:ilvl w:val="0"/>
          <w:numId w:val="18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建筑物等电位联结的范围、形式、方法、部位及联结导体的材料和截面积应符合设计要求。</w:t>
      </w:r>
    </w:p>
    <w:p>
      <w:pPr>
        <w:pStyle w:val="41"/>
        <w:spacing w:line="360" w:lineRule="auto"/>
        <w:ind w:left="420" w:firstLine="0" w:firstLineChars="0"/>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pPr>
        <w:pStyle w:val="41"/>
        <w:spacing w:line="360" w:lineRule="auto"/>
        <w:ind w:left="420" w:firstLine="0" w:firstLineChars="0"/>
        <w:rPr>
          <w:rFonts w:asciiTheme="minorEastAsia" w:hAnsiTheme="minorEastAsia" w:eastAsiaTheme="minorEastAsia"/>
          <w:szCs w:val="21"/>
        </w:rPr>
      </w:pPr>
      <w:r>
        <w:rPr>
          <w:rFonts w:hint="eastAsia" w:asciiTheme="minorEastAsia" w:hAnsiTheme="minorEastAsia" w:eastAsiaTheme="minorEastAsia"/>
          <w:szCs w:val="21"/>
        </w:rPr>
        <w:t>检查方法：施工中核对设计文件观察检查并查阅隐蔽工程检查记录，核查产品质量证明文件、材料进场验收记录。</w:t>
      </w:r>
    </w:p>
    <w:p>
      <w:pPr>
        <w:pStyle w:val="41"/>
        <w:numPr>
          <w:ilvl w:val="0"/>
          <w:numId w:val="18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需做等电位联结的外露可导电部分或外界可导电部分的连接应可靠。采用焊接时，焊接处焊接应饱满并有足够的机械强度，不得有夹渣、咬肉、裂纹、虚焊、气孔等缺陷，焊接处的药皮应清除干净并采取防腐措施。采用螺栓连接时，其螺栓、垫圈、螺母等应为热镀锌制品，且应连接牢固，搭接的钻孔直径和搭接长度以及连接螺栓的力矩值应符合本规范附录</w:t>
      </w:r>
      <w:r>
        <w:rPr>
          <w:rFonts w:asciiTheme="minorEastAsia" w:hAnsiTheme="minorEastAsia" w:eastAsiaTheme="minorEastAsia"/>
          <w:szCs w:val="21"/>
        </w:rPr>
        <w:t>C和附录D的规定</w:t>
      </w:r>
      <w:r>
        <w:rPr>
          <w:rFonts w:hint="eastAsia" w:asciiTheme="minorEastAsia" w:hAnsiTheme="minorEastAsia" w:eastAsiaTheme="minorEastAsia"/>
          <w:szCs w:val="21"/>
        </w:rPr>
        <w:t>。</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检查数量：按总数抽查10%，且不得少于1处。</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pPr>
        <w:pStyle w:val="4"/>
        <w:spacing w:before="120" w:beforeLines="50" w:after="120" w:afterLines="50"/>
        <w:rPr>
          <w:rFonts w:asciiTheme="minorEastAsia" w:hAnsiTheme="minorEastAsia" w:eastAsiaTheme="minorEastAsia"/>
          <w:sz w:val="21"/>
          <w:szCs w:val="21"/>
        </w:rPr>
      </w:pPr>
      <w:r>
        <w:t>Ⅱ</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一般项目</w:t>
      </w:r>
    </w:p>
    <w:p>
      <w:pPr>
        <w:pStyle w:val="41"/>
        <w:numPr>
          <w:ilvl w:val="0"/>
          <w:numId w:val="18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需做等电位联结的卫生间内金属部件或零件的外界可导电部分，应设置专用接线螺栓与等电位联结导体连接，并应设置标识；连接处螺帽应紧固、防松零件应齐全。</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检查数量：按连接点总数抽查10%，且不得少于1处。</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检查方法：观察检查和手感检查。</w:t>
      </w:r>
    </w:p>
    <w:p>
      <w:pPr>
        <w:pStyle w:val="41"/>
        <w:numPr>
          <w:ilvl w:val="0"/>
          <w:numId w:val="18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当等电位联结导体在地下暗敷时，其导体间的连接不得采用螺栓压接。</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检查方法：施工中观察检查并查阅隐蔽工程检查记录。</w:t>
      </w:r>
    </w:p>
    <w:p>
      <w:pPr>
        <w:pStyle w:val="41"/>
        <w:numPr>
          <w:ilvl w:val="0"/>
          <w:numId w:val="18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明敷设等电位</w:t>
      </w:r>
      <w:r>
        <w:rPr>
          <w:rFonts w:hint="eastAsia" w:asciiTheme="minorEastAsia" w:hAnsiTheme="minorEastAsia" w:eastAsiaTheme="minorEastAsia"/>
          <w:color w:val="000000"/>
          <w:szCs w:val="21"/>
        </w:rPr>
        <w:t>联结线</w:t>
      </w:r>
      <w:r>
        <w:rPr>
          <w:rFonts w:hint="eastAsia" w:asciiTheme="minorEastAsia" w:hAnsiTheme="minorEastAsia" w:eastAsiaTheme="minorEastAsia"/>
          <w:szCs w:val="21"/>
        </w:rPr>
        <w:t>支持件间距应均匀、水平直线间距宜为</w:t>
      </w:r>
      <w:r>
        <w:rPr>
          <w:rFonts w:hint="eastAsia" w:asciiTheme="minorEastAsia" w:hAnsiTheme="minorEastAsia" w:eastAsiaTheme="minorEastAsia"/>
          <w:color w:val="000000"/>
          <w:szCs w:val="21"/>
        </w:rPr>
        <w:t>0.5</w:t>
      </w:r>
      <w:r>
        <w:rPr>
          <w:rFonts w:hint="eastAsia" w:cs="仿宋" w:asciiTheme="minorEastAsia" w:hAnsiTheme="minorEastAsia" w:eastAsiaTheme="minorEastAsia"/>
          <w:color w:val="000000"/>
          <w:spacing w:val="0"/>
          <w:w w:val="15"/>
          <w:kern w:val="0"/>
          <w:szCs w:val="21"/>
          <w:fitText w:val="42" w:id="869494424"/>
        </w:rPr>
        <w:t xml:space="preserve">　 </w:t>
      </w:r>
      <w:r>
        <w:rPr>
          <w:rFonts w:hint="eastAsia" w:cs="仿宋" w:asciiTheme="minorEastAsia" w:hAnsiTheme="minorEastAsia" w:eastAsiaTheme="minorEastAsia"/>
          <w:color w:val="000000"/>
          <w:spacing w:val="-17"/>
          <w:w w:val="15"/>
          <w:kern w:val="0"/>
          <w:szCs w:val="21"/>
          <w:fitText w:val="42" w:id="869494424"/>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1.0</w:t>
      </w:r>
      <w:r>
        <w:rPr>
          <w:rFonts w:hint="eastAsia" w:cs="仿宋" w:asciiTheme="minorEastAsia" w:hAnsiTheme="minorEastAsia" w:eastAsiaTheme="minorEastAsia"/>
          <w:color w:val="000000"/>
          <w:spacing w:val="0"/>
          <w:w w:val="15"/>
          <w:kern w:val="0"/>
          <w:szCs w:val="21"/>
          <w:fitText w:val="42" w:id="1307475933"/>
        </w:rPr>
        <w:t xml:space="preserve">　 </w:t>
      </w:r>
      <w:r>
        <w:rPr>
          <w:rFonts w:hint="eastAsia" w:cs="仿宋" w:asciiTheme="minorEastAsia" w:hAnsiTheme="minorEastAsia" w:eastAsiaTheme="minorEastAsia"/>
          <w:color w:val="000000"/>
          <w:spacing w:val="-17"/>
          <w:w w:val="15"/>
          <w:kern w:val="0"/>
          <w:szCs w:val="21"/>
          <w:fitText w:val="42" w:id="1307475933"/>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垂直部分宜为</w:t>
      </w:r>
      <w:r>
        <w:rPr>
          <w:rFonts w:hint="eastAsia" w:asciiTheme="minorEastAsia" w:hAnsiTheme="minorEastAsia" w:eastAsiaTheme="minorEastAsia"/>
          <w:color w:val="000000"/>
          <w:szCs w:val="21"/>
        </w:rPr>
        <w:t>1.5</w:t>
      </w:r>
      <w:r>
        <w:rPr>
          <w:rFonts w:hint="eastAsia" w:cs="仿宋" w:asciiTheme="minorEastAsia" w:hAnsiTheme="minorEastAsia" w:eastAsiaTheme="minorEastAsia"/>
          <w:color w:val="000000"/>
          <w:spacing w:val="0"/>
          <w:w w:val="15"/>
          <w:kern w:val="0"/>
          <w:szCs w:val="21"/>
          <w:fitText w:val="42" w:id="2127653994"/>
        </w:rPr>
        <w:t xml:space="preserve">　 </w:t>
      </w:r>
      <w:r>
        <w:rPr>
          <w:rFonts w:hint="eastAsia" w:cs="仿宋" w:asciiTheme="minorEastAsia" w:hAnsiTheme="minorEastAsia" w:eastAsiaTheme="minorEastAsia"/>
          <w:color w:val="000000"/>
          <w:spacing w:val="-17"/>
          <w:w w:val="15"/>
          <w:kern w:val="0"/>
          <w:szCs w:val="21"/>
          <w:fitText w:val="42" w:id="2127653994"/>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3.0</w:t>
      </w:r>
      <w:r>
        <w:rPr>
          <w:rFonts w:hint="eastAsia" w:cs="仿宋" w:asciiTheme="minorEastAsia" w:hAnsiTheme="minorEastAsia" w:eastAsiaTheme="minorEastAsia"/>
          <w:color w:val="000000"/>
          <w:spacing w:val="0"/>
          <w:w w:val="15"/>
          <w:kern w:val="0"/>
          <w:szCs w:val="21"/>
          <w:fitText w:val="42" w:id="1623275659"/>
        </w:rPr>
        <w:t xml:space="preserve">　 </w:t>
      </w:r>
      <w:r>
        <w:rPr>
          <w:rFonts w:hint="eastAsia" w:cs="仿宋" w:asciiTheme="minorEastAsia" w:hAnsiTheme="minorEastAsia" w:eastAsiaTheme="minorEastAsia"/>
          <w:color w:val="000000"/>
          <w:spacing w:val="-17"/>
          <w:w w:val="15"/>
          <w:kern w:val="0"/>
          <w:szCs w:val="21"/>
          <w:fitText w:val="42" w:id="1623275659"/>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，转弯部分宜为</w:t>
      </w:r>
      <w:r>
        <w:rPr>
          <w:rFonts w:hint="eastAsia" w:asciiTheme="minorEastAsia" w:hAnsiTheme="minorEastAsia" w:eastAsiaTheme="minorEastAsia"/>
          <w:color w:val="000000"/>
          <w:szCs w:val="21"/>
        </w:rPr>
        <w:t>0.3</w:t>
      </w:r>
      <w:r>
        <w:rPr>
          <w:rFonts w:hint="eastAsia" w:cs="仿宋" w:asciiTheme="minorEastAsia" w:hAnsiTheme="minorEastAsia" w:eastAsiaTheme="minorEastAsia"/>
          <w:color w:val="000000"/>
          <w:spacing w:val="0"/>
          <w:w w:val="15"/>
          <w:kern w:val="0"/>
          <w:szCs w:val="21"/>
          <w:fitText w:val="42" w:id="1149848695"/>
        </w:rPr>
        <w:t xml:space="preserve">　 </w:t>
      </w:r>
      <w:r>
        <w:rPr>
          <w:rFonts w:hint="eastAsia" w:cs="仿宋" w:asciiTheme="minorEastAsia" w:hAnsiTheme="minorEastAsia" w:eastAsiaTheme="minorEastAsia"/>
          <w:color w:val="000000"/>
          <w:spacing w:val="-17"/>
          <w:w w:val="15"/>
          <w:kern w:val="0"/>
          <w:szCs w:val="21"/>
          <w:fitText w:val="42" w:id="1149848695"/>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检查方法：施工中观察检查并查阅施工记录。</w:t>
      </w:r>
    </w:p>
    <w:p>
      <w:pPr>
        <w:pStyle w:val="41"/>
        <w:numPr>
          <w:ilvl w:val="0"/>
          <w:numId w:val="188"/>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等电位</w:t>
      </w:r>
      <w:r>
        <w:rPr>
          <w:rFonts w:hint="eastAsia" w:asciiTheme="minorEastAsia" w:hAnsiTheme="minorEastAsia" w:eastAsiaTheme="minorEastAsia"/>
          <w:color w:val="000000"/>
          <w:szCs w:val="21"/>
        </w:rPr>
        <w:t>联结线</w:t>
      </w:r>
      <w:r>
        <w:rPr>
          <w:rFonts w:hint="eastAsia" w:asciiTheme="minorEastAsia" w:hAnsiTheme="minorEastAsia" w:eastAsiaTheme="minorEastAsia"/>
          <w:szCs w:val="21"/>
        </w:rPr>
        <w:t>跨越建筑物变形缝时，应有补偿措施。</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检查数量：全数检查。</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204" w:name="_Toc124168204"/>
      <w:bookmarkStart w:id="205" w:name="_Toc137216259"/>
      <w:bookmarkStart w:id="206" w:name="_Toc136868065"/>
      <w:bookmarkStart w:id="207" w:name="_Toc136869100"/>
      <w:r>
        <w:rPr>
          <w:rFonts w:hint="eastAsia" w:asciiTheme="minorEastAsia" w:hAnsiTheme="minorEastAsia" w:eastAsiaTheme="minorEastAsia"/>
          <w:sz w:val="24"/>
          <w:szCs w:val="24"/>
        </w:rPr>
        <w:t>8</w:t>
      </w:r>
      <w:r>
        <w:rPr>
          <w:rFonts w:asciiTheme="minorEastAsia" w:hAnsiTheme="minorEastAsia" w:eastAsiaTheme="minorEastAsia"/>
          <w:sz w:val="24"/>
          <w:szCs w:val="24"/>
        </w:rPr>
        <w:t xml:space="preserve">.5 </w:t>
      </w:r>
      <w:r>
        <w:rPr>
          <w:rFonts w:hint="eastAsia" w:asciiTheme="minorEastAsia" w:hAnsiTheme="minorEastAsia" w:eastAsiaTheme="minorEastAsia"/>
          <w:sz w:val="24"/>
          <w:szCs w:val="24"/>
        </w:rPr>
        <w:t>市政类项目防雷接地安装</w:t>
      </w:r>
      <w:bookmarkEnd w:id="204"/>
      <w:bookmarkEnd w:id="205"/>
      <w:bookmarkEnd w:id="206"/>
      <w:bookmarkEnd w:id="207"/>
    </w:p>
    <w:p>
      <w:pPr>
        <w:pStyle w:val="4"/>
        <w:spacing w:before="120" w:beforeLines="50" w:after="120" w:afterLines="50"/>
        <w:rPr>
          <w:rFonts w:asciiTheme="minorEastAsia" w:hAnsiTheme="minorEastAsia" w:eastAsiaTheme="minorEastAsia"/>
          <w:sz w:val="21"/>
          <w:szCs w:val="21"/>
        </w:rPr>
      </w:pPr>
      <w:r>
        <w:t>I</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主控项目</w:t>
      </w:r>
    </w:p>
    <w:p>
      <w:pPr>
        <w:pStyle w:val="41"/>
        <w:numPr>
          <w:ilvl w:val="0"/>
          <w:numId w:val="189"/>
        </w:numPr>
        <w:spacing w:line="360" w:lineRule="auto"/>
        <w:ind w:left="0" w:firstLine="0" w:firstLineChars="0"/>
        <w:rPr>
          <w:rFonts w:cs="仿宋" w:asciiTheme="minorEastAsia" w:hAnsiTheme="minorEastAsia" w:eastAsiaTheme="minorEastAsia"/>
          <w:szCs w:val="21"/>
          <w:shd w:val="clear" w:color="auto" w:fill="FFFFFF"/>
        </w:rPr>
      </w:pPr>
      <w:r>
        <w:rPr>
          <w:rFonts w:hint="eastAsia" w:cs="仿宋" w:asciiTheme="minorEastAsia" w:hAnsiTheme="minorEastAsia" w:eastAsiaTheme="minorEastAsia"/>
          <w:szCs w:val="21"/>
        </w:rPr>
        <w:t>城市道路照明工程防雷接地安装</w:t>
      </w:r>
      <w:r>
        <w:rPr>
          <w:rFonts w:hint="eastAsia" w:cs="仿宋" w:asciiTheme="minorEastAsia" w:hAnsiTheme="minorEastAsia" w:eastAsiaTheme="minorEastAsia"/>
          <w:szCs w:val="21"/>
          <w:shd w:val="clear" w:color="auto" w:fill="FFFFFF"/>
        </w:rPr>
        <w:t>在同一台变压器低压配电网中，严禁将一部分电气设备或钢灯杆采用保护接地，而将另一部分采用保护接零。</w:t>
      </w:r>
    </w:p>
    <w:p>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检查数量：全数检查。</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检查方法：观察检查。</w:t>
      </w:r>
    </w:p>
    <w:p>
      <w:pPr>
        <w:pStyle w:val="41"/>
        <w:numPr>
          <w:ilvl w:val="0"/>
          <w:numId w:val="189"/>
        </w:numPr>
        <w:spacing w:line="360" w:lineRule="auto"/>
        <w:ind w:left="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桥梁工程防雷接地安装：</w:t>
      </w:r>
    </w:p>
    <w:p>
      <w:pPr>
        <w:pStyle w:val="41"/>
        <w:numPr>
          <w:ilvl w:val="1"/>
          <w:numId w:val="190"/>
        </w:numPr>
        <w:spacing w:line="360" w:lineRule="auto"/>
        <w:ind w:firstLine="424" w:firstLineChars="202"/>
        <w:rPr>
          <w:rFonts w:cs="仿宋" w:asciiTheme="minorEastAsia" w:hAnsiTheme="minorEastAsia" w:eastAsiaTheme="minorEastAsia"/>
          <w:szCs w:val="21"/>
          <w:shd w:val="clear" w:color="auto" w:fill="FFFFFF"/>
        </w:rPr>
      </w:pPr>
      <w:r>
        <w:rPr>
          <w:rFonts w:hint="eastAsia" w:cs="仿宋" w:asciiTheme="minorEastAsia" w:hAnsiTheme="minorEastAsia" w:eastAsiaTheme="minorEastAsia"/>
          <w:szCs w:val="21"/>
          <w:shd w:val="clear" w:color="auto" w:fill="FFFFFF"/>
        </w:rPr>
        <w:t>应利用桥墩基础、桥台基础内的钢构体或钢筋混凝土内钢筋作为防雷接地装置，主桥各桥墩接地电阻应满足设计要求，当设计无要求时应不大于</w:t>
      </w:r>
      <w:r>
        <w:rPr>
          <w:rFonts w:hint="eastAsia" w:cs="仿宋" w:asciiTheme="minorEastAsia" w:hAnsiTheme="minorEastAsia" w:eastAsiaTheme="minorEastAsia"/>
          <w:color w:val="000000"/>
          <w:szCs w:val="21"/>
          <w:shd w:val="clear" w:color="auto" w:fill="FFFFFF"/>
        </w:rPr>
        <w:t>10</w:t>
      </w:r>
      <w:r>
        <w:rPr>
          <w:rFonts w:hint="eastAsia" w:cs="仿宋" w:asciiTheme="minorEastAsia" w:hAnsiTheme="minorEastAsia" w:eastAsiaTheme="minorEastAsia"/>
          <w:color w:val="000000"/>
          <w:spacing w:val="0"/>
          <w:w w:val="15"/>
          <w:kern w:val="0"/>
          <w:szCs w:val="21"/>
          <w:fitText w:val="42" w:id="823339320"/>
        </w:rPr>
        <w:t xml:space="preserve">　 </w:t>
      </w:r>
      <w:r>
        <w:rPr>
          <w:rFonts w:hint="eastAsia" w:cs="仿宋" w:asciiTheme="minorEastAsia" w:hAnsiTheme="minorEastAsia" w:eastAsiaTheme="minorEastAsia"/>
          <w:color w:val="000000"/>
          <w:spacing w:val="-17"/>
          <w:w w:val="15"/>
          <w:kern w:val="0"/>
          <w:szCs w:val="21"/>
          <w:fitText w:val="42" w:id="823339320"/>
        </w:rPr>
        <w:t>　</w:t>
      </w:r>
      <w:r>
        <w:rPr>
          <w:rFonts w:hint="eastAsia" w:cs="仿宋" w:asciiTheme="minorEastAsia" w:hAnsiTheme="minorEastAsia" w:eastAsiaTheme="minorEastAsia"/>
          <w:color w:val="000000"/>
          <w:szCs w:val="21"/>
          <w:shd w:val="clear" w:color="auto" w:fill="FFFFFF"/>
        </w:rPr>
        <w:t>Ω</w:t>
      </w:r>
      <w:r>
        <w:rPr>
          <w:rFonts w:hint="eastAsia" w:cs="仿宋" w:asciiTheme="minorEastAsia" w:hAnsiTheme="minorEastAsia" w:eastAsiaTheme="minorEastAsia"/>
          <w:szCs w:val="21"/>
          <w:shd w:val="clear" w:color="auto" w:fill="FFFFFF"/>
        </w:rPr>
        <w:t>。</w:t>
      </w:r>
    </w:p>
    <w:p>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检查数量：全数检查。</w:t>
      </w:r>
    </w:p>
    <w:p>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检查方法：检查试验记录。</w:t>
      </w:r>
    </w:p>
    <w:p>
      <w:pPr>
        <w:pStyle w:val="41"/>
        <w:numPr>
          <w:ilvl w:val="1"/>
          <w:numId w:val="190"/>
        </w:numPr>
        <w:spacing w:line="360" w:lineRule="auto"/>
        <w:ind w:firstLine="424" w:firstLineChars="202"/>
        <w:rPr>
          <w:rFonts w:cs="仿宋" w:asciiTheme="minorEastAsia" w:hAnsiTheme="minorEastAsia" w:eastAsiaTheme="minorEastAsia"/>
          <w:szCs w:val="21"/>
          <w:shd w:val="clear" w:color="auto" w:fill="FFFFFF"/>
        </w:rPr>
      </w:pPr>
      <w:r>
        <w:rPr>
          <w:rFonts w:hint="eastAsia" w:cs="仿宋" w:asciiTheme="minorEastAsia" w:hAnsiTheme="minorEastAsia" w:eastAsiaTheme="minorEastAsia"/>
          <w:szCs w:val="21"/>
          <w:shd w:val="clear" w:color="auto" w:fill="FFFFFF"/>
        </w:rPr>
        <w:t>采用桩基础时，宜在其底部设置基底水平接地板，其材质可采用镀锌钢板或铜板，并采取外表面涂防腐层等防腐措施。</w:t>
      </w:r>
    </w:p>
    <w:p>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检查数量：全数检查。</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检查方法：观察检查，检查施工记录，检查试验记录。</w:t>
      </w:r>
    </w:p>
    <w:p>
      <w:pPr>
        <w:pStyle w:val="41"/>
        <w:numPr>
          <w:ilvl w:val="1"/>
          <w:numId w:val="190"/>
        </w:numPr>
        <w:spacing w:line="360" w:lineRule="auto"/>
        <w:ind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桥梁的金属构件之间应按照设计要求进行等电位连接，并应符合现行国家标准</w:t>
      </w:r>
      <w:r>
        <w:rPr>
          <w:rFonts w:hint="eastAsia" w:cs="仿宋" w:asciiTheme="minorEastAsia" w:hAnsiTheme="minorEastAsia" w:eastAsiaTheme="minorEastAsia"/>
          <w:color w:val="000000"/>
          <w:szCs w:val="21"/>
        </w:rPr>
        <w:t>《建筑物防雷设计规范》GB</w:t>
      </w:r>
      <w:r>
        <w:rPr>
          <w:rFonts w:cs="仿宋" w:asciiTheme="minorEastAsia" w:hAnsiTheme="minorEastAsia" w:eastAsiaTheme="minorEastAsia"/>
          <w:color w:val="000000"/>
          <w:szCs w:val="21"/>
        </w:rPr>
        <w:t xml:space="preserve"> </w:t>
      </w:r>
      <w:r>
        <w:rPr>
          <w:rFonts w:hint="eastAsia" w:cs="仿宋" w:asciiTheme="minorEastAsia" w:hAnsiTheme="minorEastAsia" w:eastAsiaTheme="minorEastAsia"/>
          <w:color w:val="000000"/>
          <w:szCs w:val="21"/>
        </w:rPr>
        <w:t>50057</w:t>
      </w:r>
      <w:r>
        <w:rPr>
          <w:rFonts w:hint="eastAsia" w:cs="仿宋" w:asciiTheme="minorEastAsia" w:hAnsiTheme="minorEastAsia" w:eastAsiaTheme="minorEastAsia"/>
          <w:szCs w:val="21"/>
        </w:rPr>
        <w:t>中等电位连接的规定。</w:t>
      </w:r>
    </w:p>
    <w:p>
      <w:pPr>
        <w:pStyle w:val="41"/>
        <w:spacing w:line="360" w:lineRule="auto"/>
        <w:rPr>
          <w:rFonts w:cs="仿宋" w:asciiTheme="minorEastAsia" w:hAnsiTheme="minorEastAsia" w:eastAsiaTheme="minorEastAsia"/>
          <w:szCs w:val="21"/>
          <w:shd w:val="clear" w:color="auto" w:fill="FFFFFF"/>
        </w:rPr>
      </w:pPr>
      <w:r>
        <w:rPr>
          <w:rFonts w:hint="eastAsia" w:cs="仿宋" w:asciiTheme="minorEastAsia" w:hAnsiTheme="minorEastAsia" w:eastAsiaTheme="minorEastAsia"/>
          <w:szCs w:val="21"/>
          <w:shd w:val="clear" w:color="auto" w:fill="FFFFFF"/>
        </w:rPr>
        <w:t>检查数量：全数检查。</w:t>
      </w:r>
    </w:p>
    <w:p>
      <w:pPr>
        <w:pStyle w:val="41"/>
        <w:spacing w:line="360" w:lineRule="auto"/>
        <w:rPr>
          <w:rFonts w:cs="仿宋" w:asciiTheme="minorEastAsia" w:hAnsiTheme="minorEastAsia" w:eastAsiaTheme="minorEastAsia"/>
          <w:szCs w:val="21"/>
          <w:shd w:val="clear" w:color="auto" w:fill="FFFFFF"/>
        </w:rPr>
      </w:pPr>
      <w:r>
        <w:rPr>
          <w:rFonts w:hint="eastAsia" w:cs="仿宋" w:asciiTheme="minorEastAsia" w:hAnsiTheme="minorEastAsia" w:eastAsiaTheme="minorEastAsia"/>
          <w:szCs w:val="21"/>
          <w:shd w:val="clear" w:color="auto" w:fill="FFFFFF"/>
        </w:rPr>
        <w:t>检查方法：观察检查，检查施工记录，检查试验记录。</w:t>
      </w:r>
    </w:p>
    <w:p>
      <w:pPr>
        <w:pStyle w:val="4"/>
        <w:spacing w:before="120" w:beforeLines="50" w:after="120" w:afterLines="50"/>
        <w:rPr>
          <w:rFonts w:cs="仿宋" w:asciiTheme="minorEastAsia" w:hAnsiTheme="minorEastAsia" w:eastAsiaTheme="minorEastAsia"/>
          <w:szCs w:val="21"/>
          <w:shd w:val="clear" w:color="auto" w:fill="FFFFFF"/>
        </w:rPr>
      </w:pPr>
      <w:r>
        <w:t>Ⅱ</w:t>
      </w:r>
      <w:r>
        <w:rPr>
          <w:rFonts w:hint="eastAsia" w:asciiTheme="minorEastAsia" w:hAnsiTheme="minorEastAsia" w:eastAsiaTheme="minorEastAsia"/>
          <w:sz w:val="21"/>
          <w:szCs w:val="21"/>
        </w:rPr>
        <w:t xml:space="preserve"> 一般项目 </w:t>
      </w:r>
    </w:p>
    <w:p>
      <w:pPr>
        <w:pStyle w:val="41"/>
        <w:numPr>
          <w:ilvl w:val="0"/>
          <w:numId w:val="189"/>
        </w:numPr>
        <w:spacing w:line="360" w:lineRule="auto"/>
        <w:ind w:left="0" w:firstLine="0" w:firstLineChars="0"/>
        <w:rPr>
          <w:rFonts w:cs="仿宋" w:asciiTheme="minorEastAsia" w:hAnsiTheme="minorEastAsia" w:eastAsiaTheme="minorEastAsia"/>
          <w:szCs w:val="21"/>
          <w:shd w:val="clear" w:color="auto" w:fill="FFFFFF"/>
        </w:rPr>
      </w:pPr>
      <w:r>
        <w:rPr>
          <w:rFonts w:hint="eastAsia" w:cs="仿宋" w:asciiTheme="minorEastAsia" w:hAnsiTheme="minorEastAsia" w:eastAsiaTheme="minorEastAsia"/>
          <w:szCs w:val="21"/>
        </w:rPr>
        <w:t>城市道路照明工程防雷接地安装在配电线路的分支、末端及中间适当位置做重复接地并形成联网且接地电阻应满足设计要求，其重复接地电阻不应大于</w:t>
      </w:r>
      <w:r>
        <w:rPr>
          <w:rFonts w:hint="eastAsia" w:cs="仿宋" w:asciiTheme="minorEastAsia" w:hAnsiTheme="minorEastAsia" w:eastAsiaTheme="minorEastAsia"/>
          <w:color w:val="000000"/>
          <w:szCs w:val="21"/>
        </w:rPr>
        <w:t>10</w:t>
      </w:r>
      <w:r>
        <w:rPr>
          <w:rFonts w:hint="eastAsia" w:cs="仿宋" w:asciiTheme="minorEastAsia" w:hAnsiTheme="minorEastAsia" w:eastAsiaTheme="minorEastAsia"/>
          <w:color w:val="000000"/>
          <w:spacing w:val="0"/>
          <w:w w:val="15"/>
          <w:kern w:val="0"/>
          <w:szCs w:val="21"/>
          <w:fitText w:val="42" w:id="1856387510"/>
        </w:rPr>
        <w:t xml:space="preserve">　 </w:t>
      </w:r>
      <w:r>
        <w:rPr>
          <w:rFonts w:hint="eastAsia" w:cs="仿宋" w:asciiTheme="minorEastAsia" w:hAnsiTheme="minorEastAsia" w:eastAsiaTheme="minorEastAsia"/>
          <w:color w:val="000000"/>
          <w:spacing w:val="-17"/>
          <w:w w:val="15"/>
          <w:kern w:val="0"/>
          <w:szCs w:val="21"/>
          <w:fitText w:val="42" w:id="1856387510"/>
        </w:rPr>
        <w:t>　</w:t>
      </w:r>
      <w:r>
        <w:rPr>
          <w:rFonts w:hint="eastAsia" w:cs="仿宋" w:asciiTheme="minorEastAsia" w:hAnsiTheme="minorEastAsia" w:eastAsiaTheme="minorEastAsia"/>
          <w:color w:val="000000"/>
          <w:szCs w:val="21"/>
        </w:rPr>
        <w:t>Ω</w:t>
      </w:r>
      <w:r>
        <w:rPr>
          <w:rFonts w:hint="eastAsia" w:cs="仿宋" w:asciiTheme="minorEastAsia" w:hAnsiTheme="minorEastAsia" w:eastAsiaTheme="minorEastAsia"/>
          <w:szCs w:val="21"/>
        </w:rPr>
        <w:t>，系统接地电阻不应大于</w:t>
      </w:r>
      <w:r>
        <w:rPr>
          <w:rFonts w:hint="eastAsia" w:cs="仿宋" w:asciiTheme="minorEastAsia" w:hAnsiTheme="minorEastAsia" w:eastAsiaTheme="minorEastAsia"/>
          <w:color w:val="000000"/>
          <w:szCs w:val="21"/>
        </w:rPr>
        <w:t>4</w:t>
      </w:r>
      <w:r>
        <w:rPr>
          <w:rFonts w:hint="eastAsia" w:cs="仿宋" w:asciiTheme="minorEastAsia" w:hAnsiTheme="minorEastAsia" w:eastAsiaTheme="minorEastAsia"/>
          <w:color w:val="000000"/>
          <w:spacing w:val="0"/>
          <w:w w:val="15"/>
          <w:kern w:val="0"/>
          <w:szCs w:val="21"/>
          <w:fitText w:val="42" w:id="279053213"/>
        </w:rPr>
        <w:t xml:space="preserve">　 </w:t>
      </w:r>
      <w:r>
        <w:rPr>
          <w:rFonts w:hint="eastAsia" w:cs="仿宋" w:asciiTheme="minorEastAsia" w:hAnsiTheme="minorEastAsia" w:eastAsiaTheme="minorEastAsia"/>
          <w:color w:val="000000"/>
          <w:spacing w:val="-17"/>
          <w:w w:val="15"/>
          <w:kern w:val="0"/>
          <w:szCs w:val="21"/>
          <w:fitText w:val="42" w:id="279053213"/>
        </w:rPr>
        <w:t>　</w:t>
      </w:r>
      <w:r>
        <w:rPr>
          <w:rFonts w:hint="eastAsia" w:cs="仿宋" w:asciiTheme="minorEastAsia" w:hAnsiTheme="minorEastAsia" w:eastAsiaTheme="minorEastAsia"/>
          <w:color w:val="000000"/>
          <w:szCs w:val="21"/>
        </w:rPr>
        <w:t>Ω</w:t>
      </w:r>
      <w:r>
        <w:rPr>
          <w:rFonts w:hint="eastAsia" w:cs="仿宋" w:asciiTheme="minorEastAsia" w:hAnsiTheme="minorEastAsia" w:eastAsiaTheme="minorEastAsia"/>
          <w:szCs w:val="21"/>
        </w:rPr>
        <w:t>。</w:t>
      </w:r>
    </w:p>
    <w:p>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检查数量：全数检查。</w:t>
      </w:r>
    </w:p>
    <w:p>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检查方法：观察检查，检查施工记录。</w:t>
      </w:r>
    </w:p>
    <w:p>
      <w:pPr>
        <w:pStyle w:val="41"/>
        <w:numPr>
          <w:ilvl w:val="0"/>
          <w:numId w:val="189"/>
        </w:numPr>
        <w:spacing w:line="360" w:lineRule="auto"/>
        <w:ind w:left="0"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桥梁工程防雷接地安装：</w:t>
      </w:r>
    </w:p>
    <w:p>
      <w:pPr>
        <w:pStyle w:val="41"/>
        <w:numPr>
          <w:ilvl w:val="1"/>
          <w:numId w:val="191"/>
        </w:numPr>
        <w:spacing w:line="360" w:lineRule="auto"/>
        <w:ind w:firstLine="424" w:firstLineChars="202"/>
        <w:rPr>
          <w:rFonts w:cs="仿宋" w:asciiTheme="minorEastAsia" w:hAnsiTheme="minorEastAsia" w:eastAsiaTheme="minorEastAsia"/>
          <w:szCs w:val="21"/>
          <w:shd w:val="clear" w:color="auto" w:fill="FFFFFF"/>
        </w:rPr>
      </w:pPr>
      <w:r>
        <w:rPr>
          <w:rFonts w:hint="eastAsia" w:cs="仿宋" w:asciiTheme="minorEastAsia" w:hAnsiTheme="minorEastAsia" w:eastAsiaTheme="minorEastAsia"/>
          <w:szCs w:val="21"/>
          <w:shd w:val="clear" w:color="auto" w:fill="FFFFFF"/>
        </w:rPr>
        <w:t>当桥墩基础内钢筋经过环氧树脂防护，且混凝土包覆在绝缘的防水层内时，应沿墩身周围增设厚度不小于</w:t>
      </w:r>
      <w:r>
        <w:rPr>
          <w:rFonts w:hint="eastAsia" w:cs="仿宋" w:asciiTheme="minorEastAsia" w:hAnsiTheme="minorEastAsia" w:eastAsiaTheme="minorEastAsia"/>
          <w:color w:val="000000"/>
          <w:szCs w:val="21"/>
          <w:shd w:val="clear" w:color="auto" w:fill="FFFFFF"/>
        </w:rPr>
        <w:t>5</w:t>
      </w:r>
      <w:r>
        <w:rPr>
          <w:rFonts w:hint="eastAsia" w:cs="仿宋" w:asciiTheme="minorEastAsia" w:hAnsiTheme="minorEastAsia" w:eastAsiaTheme="minorEastAsia"/>
          <w:color w:val="000000"/>
          <w:spacing w:val="0"/>
          <w:w w:val="15"/>
          <w:kern w:val="0"/>
          <w:szCs w:val="21"/>
          <w:fitText w:val="42" w:id="1870950820"/>
        </w:rPr>
        <w:t xml:space="preserve">　 </w:t>
      </w:r>
      <w:r>
        <w:rPr>
          <w:rFonts w:hint="eastAsia" w:cs="仿宋" w:asciiTheme="minorEastAsia" w:hAnsiTheme="minorEastAsia" w:eastAsiaTheme="minorEastAsia"/>
          <w:color w:val="000000"/>
          <w:spacing w:val="-17"/>
          <w:w w:val="15"/>
          <w:kern w:val="0"/>
          <w:szCs w:val="21"/>
          <w:fitText w:val="42" w:id="1870950820"/>
        </w:rPr>
        <w:t>　</w:t>
      </w:r>
      <w:r>
        <w:rPr>
          <w:rFonts w:hint="eastAsia" w:cs="仿宋" w:asciiTheme="minorEastAsia" w:hAnsiTheme="minorEastAsia" w:eastAsiaTheme="minorEastAsia"/>
          <w:color w:val="000000"/>
          <w:szCs w:val="21"/>
          <w:shd w:val="clear" w:color="auto" w:fill="FFFFFF"/>
        </w:rPr>
        <w:t>mm</w:t>
      </w:r>
      <w:r>
        <w:rPr>
          <w:rFonts w:hint="eastAsia" w:cs="仿宋" w:asciiTheme="minorEastAsia" w:hAnsiTheme="minorEastAsia" w:eastAsiaTheme="minorEastAsia"/>
          <w:szCs w:val="21"/>
          <w:shd w:val="clear" w:color="auto" w:fill="FFFFFF"/>
        </w:rPr>
        <w:t>的人工接地铜板，其面积和数量应根据设计接地电阻值确定，铜板与基础接地引下线之间用截面积不小于</w:t>
      </w:r>
      <w:r>
        <w:rPr>
          <w:rFonts w:hint="eastAsia" w:cs="仿宋" w:asciiTheme="minorEastAsia" w:hAnsiTheme="minorEastAsia" w:eastAsiaTheme="minorEastAsia"/>
          <w:color w:val="000000"/>
          <w:szCs w:val="21"/>
          <w:shd w:val="clear" w:color="auto" w:fill="FFFFFF"/>
        </w:rPr>
        <w:t>100</w:t>
      </w:r>
      <w:r>
        <w:rPr>
          <w:rFonts w:hint="eastAsia" w:cs="仿宋" w:asciiTheme="minorEastAsia" w:hAnsiTheme="minorEastAsia" w:eastAsiaTheme="minorEastAsia"/>
          <w:color w:val="000000"/>
          <w:spacing w:val="0"/>
          <w:w w:val="15"/>
          <w:kern w:val="0"/>
          <w:szCs w:val="21"/>
          <w:fitText w:val="42" w:id="806776190"/>
        </w:rPr>
        <w:t xml:space="preserve">　 </w:t>
      </w:r>
      <w:r>
        <w:rPr>
          <w:rFonts w:hint="eastAsia" w:cs="仿宋" w:asciiTheme="minorEastAsia" w:hAnsiTheme="minorEastAsia" w:eastAsiaTheme="minorEastAsia"/>
          <w:color w:val="000000"/>
          <w:spacing w:val="-17"/>
          <w:w w:val="15"/>
          <w:kern w:val="0"/>
          <w:szCs w:val="21"/>
          <w:fitText w:val="42" w:id="806776190"/>
        </w:rPr>
        <w:t>　</w:t>
      </w:r>
      <w:r>
        <w:rPr>
          <w:rFonts w:hint="eastAsia" w:cs="仿宋" w:asciiTheme="minorEastAsia" w:hAnsiTheme="minorEastAsia" w:eastAsiaTheme="minorEastAsia"/>
          <w:color w:val="000000"/>
          <w:szCs w:val="21"/>
          <w:shd w:val="clear" w:color="auto" w:fill="FFFFFF"/>
        </w:rPr>
        <w:t>mm²</w:t>
      </w:r>
      <w:r>
        <w:rPr>
          <w:rFonts w:hint="eastAsia" w:cs="仿宋" w:asciiTheme="minorEastAsia" w:hAnsiTheme="minorEastAsia" w:eastAsiaTheme="minorEastAsia"/>
          <w:szCs w:val="21"/>
          <w:shd w:val="clear" w:color="auto" w:fill="FFFFFF"/>
        </w:rPr>
        <w:t>铜质连接带连接，连接点不宜小于4处。</w:t>
      </w:r>
    </w:p>
    <w:p>
      <w:pPr>
        <w:pStyle w:val="41"/>
        <w:spacing w:line="360" w:lineRule="auto"/>
        <w:rPr>
          <w:rFonts w:cs="仿宋" w:asciiTheme="minorEastAsia" w:hAnsiTheme="minorEastAsia" w:eastAsiaTheme="minorEastAsia"/>
          <w:szCs w:val="21"/>
          <w:shd w:val="clear" w:color="auto" w:fill="FFFFFF"/>
        </w:rPr>
      </w:pPr>
      <w:r>
        <w:rPr>
          <w:rFonts w:hint="eastAsia" w:cs="仿宋" w:asciiTheme="minorEastAsia" w:hAnsiTheme="minorEastAsia" w:eastAsiaTheme="minorEastAsia"/>
          <w:szCs w:val="21"/>
          <w:shd w:val="clear" w:color="auto" w:fill="FFFFFF"/>
        </w:rPr>
        <w:t>检查数量：全数检查。</w:t>
      </w:r>
    </w:p>
    <w:p>
      <w:pPr>
        <w:pStyle w:val="41"/>
        <w:spacing w:line="360" w:lineRule="auto"/>
        <w:rPr>
          <w:rFonts w:cs="仿宋" w:asciiTheme="minorEastAsia" w:hAnsiTheme="minorEastAsia" w:eastAsiaTheme="minorEastAsia"/>
          <w:szCs w:val="21"/>
          <w:shd w:val="clear" w:color="auto" w:fill="FFFFFF"/>
        </w:rPr>
      </w:pPr>
      <w:r>
        <w:rPr>
          <w:rFonts w:hint="eastAsia" w:cs="仿宋" w:asciiTheme="minorEastAsia" w:hAnsiTheme="minorEastAsia" w:eastAsiaTheme="minorEastAsia"/>
          <w:szCs w:val="21"/>
          <w:shd w:val="clear" w:color="auto" w:fill="FFFFFF"/>
        </w:rPr>
        <w:t>检查方法：观察检查，检查施工记录，检查试验记录。</w:t>
      </w:r>
    </w:p>
    <w:p>
      <w:pPr>
        <w:pStyle w:val="41"/>
        <w:numPr>
          <w:ilvl w:val="1"/>
          <w:numId w:val="191"/>
        </w:numPr>
        <w:spacing w:line="360" w:lineRule="auto"/>
        <w:ind w:firstLine="424" w:firstLineChars="202"/>
        <w:rPr>
          <w:rFonts w:cs="仿宋" w:asciiTheme="minorEastAsia" w:hAnsiTheme="minorEastAsia" w:eastAsiaTheme="minorEastAsia"/>
          <w:szCs w:val="21"/>
          <w:shd w:val="clear" w:color="auto" w:fill="FFFFFF"/>
        </w:rPr>
      </w:pPr>
      <w:r>
        <w:rPr>
          <w:rFonts w:hint="eastAsia" w:cs="仿宋" w:asciiTheme="minorEastAsia" w:hAnsiTheme="minorEastAsia" w:eastAsiaTheme="minorEastAsia"/>
          <w:szCs w:val="21"/>
          <w:shd w:val="clear" w:color="auto" w:fill="FFFFFF"/>
        </w:rPr>
        <w:t>桥面布置与构造的等电位连接应符合下列规定：</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桥面纵向两侧应设置截面积不小于</w:t>
      </w:r>
      <w:r>
        <w:rPr>
          <w:rFonts w:hint="eastAsia" w:cs="仿宋" w:asciiTheme="minorEastAsia" w:hAnsiTheme="minorEastAsia" w:eastAsiaTheme="minorEastAsia"/>
          <w:color w:val="000000"/>
          <w:szCs w:val="21"/>
        </w:rPr>
        <w:t>100</w:t>
      </w:r>
      <w:r>
        <w:rPr>
          <w:rFonts w:hint="eastAsia" w:cs="仿宋" w:asciiTheme="minorEastAsia" w:hAnsiTheme="minorEastAsia" w:eastAsiaTheme="minorEastAsia"/>
          <w:color w:val="000000"/>
          <w:spacing w:val="0"/>
          <w:w w:val="15"/>
          <w:kern w:val="0"/>
          <w:szCs w:val="21"/>
          <w:fitText w:val="42" w:id="864628352"/>
        </w:rPr>
        <w:t xml:space="preserve">　 </w:t>
      </w:r>
      <w:r>
        <w:rPr>
          <w:rFonts w:hint="eastAsia" w:cs="仿宋" w:asciiTheme="minorEastAsia" w:hAnsiTheme="minorEastAsia" w:eastAsiaTheme="minorEastAsia"/>
          <w:color w:val="000000"/>
          <w:spacing w:val="-17"/>
          <w:w w:val="15"/>
          <w:kern w:val="0"/>
          <w:szCs w:val="21"/>
          <w:fitText w:val="42" w:id="864628352"/>
        </w:rPr>
        <w:t>　</w:t>
      </w:r>
      <w:r>
        <w:rPr>
          <w:rFonts w:hint="eastAsia" w:cs="仿宋" w:asciiTheme="minorEastAsia" w:hAnsiTheme="minorEastAsia" w:eastAsiaTheme="minorEastAsia"/>
          <w:color w:val="000000"/>
          <w:szCs w:val="21"/>
        </w:rPr>
        <w:t>mm²</w:t>
      </w:r>
      <w:r>
        <w:rPr>
          <w:rFonts w:hint="eastAsia" w:cs="仿宋" w:asciiTheme="minorEastAsia" w:hAnsiTheme="minorEastAsia" w:eastAsiaTheme="minorEastAsia"/>
          <w:szCs w:val="21"/>
        </w:rPr>
        <w:t>，厚度不小于</w:t>
      </w:r>
      <w:r>
        <w:rPr>
          <w:rFonts w:hint="eastAsia" w:cs="仿宋" w:asciiTheme="minorEastAsia" w:hAnsiTheme="minorEastAsia" w:eastAsiaTheme="minorEastAsia"/>
          <w:color w:val="000000"/>
          <w:szCs w:val="21"/>
        </w:rPr>
        <w:t>4</w:t>
      </w:r>
      <w:r>
        <w:rPr>
          <w:rFonts w:hint="eastAsia" w:cs="仿宋" w:asciiTheme="minorEastAsia" w:hAnsiTheme="minorEastAsia" w:eastAsiaTheme="minorEastAsia"/>
          <w:color w:val="000000"/>
          <w:spacing w:val="0"/>
          <w:w w:val="15"/>
          <w:kern w:val="0"/>
          <w:szCs w:val="21"/>
          <w:fitText w:val="42" w:id="744244332"/>
        </w:rPr>
        <w:t xml:space="preserve">　 </w:t>
      </w:r>
      <w:r>
        <w:rPr>
          <w:rFonts w:hint="eastAsia" w:cs="仿宋" w:asciiTheme="minorEastAsia" w:hAnsiTheme="minorEastAsia" w:eastAsiaTheme="minorEastAsia"/>
          <w:color w:val="000000"/>
          <w:spacing w:val="-17"/>
          <w:w w:val="15"/>
          <w:kern w:val="0"/>
          <w:szCs w:val="21"/>
          <w:fitText w:val="42" w:id="744244332"/>
        </w:rPr>
        <w:t>　</w:t>
      </w:r>
      <w:r>
        <w:rPr>
          <w:rFonts w:hint="eastAsia" w:cs="仿宋" w:asciiTheme="minorEastAsia" w:hAnsiTheme="minorEastAsia" w:eastAsiaTheme="minorEastAsia"/>
          <w:color w:val="000000"/>
          <w:szCs w:val="21"/>
        </w:rPr>
        <w:t>mm</w:t>
      </w:r>
      <w:r>
        <w:rPr>
          <w:rFonts w:hint="eastAsia" w:cs="仿宋" w:asciiTheme="minorEastAsia" w:hAnsiTheme="minorEastAsia" w:eastAsiaTheme="minorEastAsia"/>
          <w:szCs w:val="21"/>
        </w:rPr>
        <w:t>的热镀锌扁钢，作为桥面等电位连接带，并与桥墩引下线连接。两侧的等电位连接带之间应每隔</w:t>
      </w:r>
      <w:r>
        <w:rPr>
          <w:rFonts w:hint="eastAsia" w:cs="仿宋" w:asciiTheme="minorEastAsia" w:hAnsiTheme="minorEastAsia" w:eastAsiaTheme="minorEastAsia"/>
          <w:color w:val="000000"/>
          <w:szCs w:val="21"/>
        </w:rPr>
        <w:t>25</w:t>
      </w:r>
      <w:r>
        <w:rPr>
          <w:rFonts w:hint="eastAsia" w:cs="仿宋" w:asciiTheme="minorEastAsia" w:hAnsiTheme="minorEastAsia" w:eastAsiaTheme="minorEastAsia"/>
          <w:color w:val="000000"/>
          <w:spacing w:val="0"/>
          <w:w w:val="15"/>
          <w:kern w:val="0"/>
          <w:szCs w:val="21"/>
          <w:fitText w:val="42" w:id="1708790237"/>
        </w:rPr>
        <w:t xml:space="preserve">　 </w:t>
      </w:r>
      <w:r>
        <w:rPr>
          <w:rFonts w:hint="eastAsia" w:cs="仿宋" w:asciiTheme="minorEastAsia" w:hAnsiTheme="minorEastAsia" w:eastAsiaTheme="minorEastAsia"/>
          <w:color w:val="000000"/>
          <w:spacing w:val="-17"/>
          <w:w w:val="15"/>
          <w:kern w:val="0"/>
          <w:szCs w:val="21"/>
          <w:fitText w:val="42" w:id="1708790237"/>
        </w:rPr>
        <w:t>　</w:t>
      </w:r>
      <w:r>
        <w:rPr>
          <w:rFonts w:hint="eastAsia" w:cs="仿宋" w:asciiTheme="minorEastAsia" w:hAnsiTheme="minorEastAsia" w:eastAsiaTheme="minorEastAsia"/>
          <w:color w:val="000000"/>
          <w:szCs w:val="21"/>
        </w:rPr>
        <w:t>m</w:t>
      </w:r>
      <w:r>
        <w:rPr>
          <w:rFonts w:hint="eastAsia" w:cs="仿宋" w:asciiTheme="minorEastAsia" w:hAnsiTheme="minorEastAsia" w:eastAsiaTheme="minorEastAsia"/>
          <w:szCs w:val="21"/>
        </w:rPr>
        <w:t>采用截面积不小于</w:t>
      </w:r>
      <w:r>
        <w:rPr>
          <w:rFonts w:hint="eastAsia" w:cs="仿宋" w:asciiTheme="minorEastAsia" w:hAnsiTheme="minorEastAsia" w:eastAsiaTheme="minorEastAsia"/>
          <w:color w:val="000000"/>
          <w:szCs w:val="21"/>
        </w:rPr>
        <w:t>100</w:t>
      </w:r>
      <w:r>
        <w:rPr>
          <w:rFonts w:hint="eastAsia" w:cs="仿宋" w:asciiTheme="minorEastAsia" w:hAnsiTheme="minorEastAsia" w:eastAsiaTheme="minorEastAsia"/>
          <w:color w:val="000000"/>
          <w:spacing w:val="0"/>
          <w:w w:val="15"/>
          <w:kern w:val="0"/>
          <w:szCs w:val="21"/>
          <w:fitText w:val="42" w:id="1858086251"/>
        </w:rPr>
        <w:t xml:space="preserve">　 </w:t>
      </w:r>
      <w:r>
        <w:rPr>
          <w:rFonts w:hint="eastAsia" w:cs="仿宋" w:asciiTheme="minorEastAsia" w:hAnsiTheme="minorEastAsia" w:eastAsiaTheme="minorEastAsia"/>
          <w:color w:val="000000"/>
          <w:spacing w:val="-17"/>
          <w:w w:val="15"/>
          <w:kern w:val="0"/>
          <w:szCs w:val="21"/>
          <w:fitText w:val="42" w:id="1858086251"/>
        </w:rPr>
        <w:t>　</w:t>
      </w:r>
      <w:r>
        <w:rPr>
          <w:rFonts w:hint="eastAsia" w:cs="仿宋" w:asciiTheme="minorEastAsia" w:hAnsiTheme="minorEastAsia" w:eastAsiaTheme="minorEastAsia"/>
          <w:color w:val="000000"/>
          <w:szCs w:val="21"/>
        </w:rPr>
        <w:t>mm²</w:t>
      </w:r>
      <w:r>
        <w:rPr>
          <w:rFonts w:hint="eastAsia" w:cs="仿宋" w:asciiTheme="minorEastAsia" w:hAnsiTheme="minorEastAsia" w:eastAsiaTheme="minorEastAsia"/>
          <w:szCs w:val="21"/>
        </w:rPr>
        <w:t>，厚度不小于</w:t>
      </w:r>
      <w:r>
        <w:rPr>
          <w:rFonts w:hint="eastAsia" w:cs="仿宋" w:asciiTheme="minorEastAsia" w:hAnsiTheme="minorEastAsia" w:eastAsiaTheme="minorEastAsia"/>
          <w:color w:val="000000"/>
          <w:szCs w:val="21"/>
        </w:rPr>
        <w:t>4</w:t>
      </w:r>
      <w:r>
        <w:rPr>
          <w:rFonts w:hint="eastAsia" w:cs="仿宋" w:asciiTheme="minorEastAsia" w:hAnsiTheme="minorEastAsia" w:eastAsiaTheme="minorEastAsia"/>
          <w:color w:val="000000"/>
          <w:spacing w:val="0"/>
          <w:w w:val="15"/>
          <w:kern w:val="0"/>
          <w:szCs w:val="21"/>
          <w:fitText w:val="42" w:id="1914962314"/>
        </w:rPr>
        <w:t xml:space="preserve">　 </w:t>
      </w:r>
      <w:r>
        <w:rPr>
          <w:rFonts w:hint="eastAsia" w:cs="仿宋" w:asciiTheme="minorEastAsia" w:hAnsiTheme="minorEastAsia" w:eastAsiaTheme="minorEastAsia"/>
          <w:color w:val="000000"/>
          <w:spacing w:val="-17"/>
          <w:w w:val="15"/>
          <w:kern w:val="0"/>
          <w:szCs w:val="21"/>
          <w:fitText w:val="42" w:id="1914962314"/>
        </w:rPr>
        <w:t>　</w:t>
      </w:r>
      <w:r>
        <w:rPr>
          <w:rFonts w:hint="eastAsia" w:cs="仿宋" w:asciiTheme="minorEastAsia" w:hAnsiTheme="minorEastAsia" w:eastAsiaTheme="minorEastAsia"/>
          <w:color w:val="000000"/>
          <w:szCs w:val="21"/>
        </w:rPr>
        <w:t>mm</w:t>
      </w:r>
      <w:r>
        <w:rPr>
          <w:rFonts w:hint="eastAsia" w:cs="仿宋" w:asciiTheme="minorEastAsia" w:hAnsiTheme="minorEastAsia" w:eastAsiaTheme="minorEastAsia"/>
          <w:szCs w:val="21"/>
        </w:rPr>
        <w:t>的热镀锌扁钢作等电位连接，桥面伸缩缝两侧的等电位连接带应作 U 形自由变形处理。</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桥面上的灯杆、广告牌、爬梯、电梯架、交通指示牌等附属金属设施应与桥面等电位连接带连接。</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防撞护栏、桁架、金属栏杆、金属隔离带、行车架等纵向</w:t>
      </w:r>
      <w:r>
        <w:rPr>
          <w:rFonts w:hint="eastAsia" w:cs="仿宋" w:asciiTheme="minorEastAsia" w:hAnsiTheme="minorEastAsia" w:eastAsiaTheme="minorEastAsia"/>
          <w:color w:val="000000"/>
          <w:szCs w:val="21"/>
        </w:rPr>
        <w:t>通长</w:t>
      </w:r>
      <w:r>
        <w:rPr>
          <w:rFonts w:hint="eastAsia" w:cs="仿宋" w:asciiTheme="minorEastAsia" w:hAnsiTheme="minorEastAsia" w:eastAsiaTheme="minorEastAsia"/>
          <w:szCs w:val="21"/>
        </w:rPr>
        <w:t>金属物应沿桥面纵向每隔</w:t>
      </w:r>
      <w:r>
        <w:rPr>
          <w:rFonts w:hint="eastAsia" w:cs="仿宋" w:asciiTheme="minorEastAsia" w:hAnsiTheme="minorEastAsia" w:eastAsiaTheme="minorEastAsia"/>
          <w:color w:val="000000"/>
          <w:szCs w:val="21"/>
        </w:rPr>
        <w:t>25</w:t>
      </w:r>
      <w:r>
        <w:rPr>
          <w:rFonts w:hint="eastAsia" w:cs="仿宋" w:asciiTheme="minorEastAsia" w:hAnsiTheme="minorEastAsia" w:eastAsiaTheme="minorEastAsia"/>
          <w:color w:val="000000"/>
          <w:spacing w:val="0"/>
          <w:w w:val="15"/>
          <w:kern w:val="0"/>
          <w:szCs w:val="21"/>
          <w:fitText w:val="42" w:id="285738426"/>
        </w:rPr>
        <w:t xml:space="preserve">　 </w:t>
      </w:r>
      <w:r>
        <w:rPr>
          <w:rFonts w:hint="eastAsia" w:cs="仿宋" w:asciiTheme="minorEastAsia" w:hAnsiTheme="minorEastAsia" w:eastAsiaTheme="minorEastAsia"/>
          <w:color w:val="000000"/>
          <w:spacing w:val="-17"/>
          <w:w w:val="15"/>
          <w:kern w:val="0"/>
          <w:szCs w:val="21"/>
          <w:fitText w:val="42" w:id="285738426"/>
        </w:rPr>
        <w:t>　</w:t>
      </w:r>
      <w:r>
        <w:rPr>
          <w:rFonts w:hint="eastAsia" w:cs="仿宋" w:asciiTheme="minorEastAsia" w:hAnsiTheme="minorEastAsia" w:eastAsiaTheme="minorEastAsia"/>
          <w:color w:val="000000"/>
          <w:szCs w:val="21"/>
        </w:rPr>
        <w:t>m</w:t>
      </w:r>
      <w:r>
        <w:rPr>
          <w:rFonts w:hint="eastAsia" w:cs="仿宋" w:asciiTheme="minorEastAsia" w:hAnsiTheme="minorEastAsia" w:eastAsiaTheme="minorEastAsia"/>
          <w:szCs w:val="21"/>
        </w:rPr>
        <w:t>与等电位连接带连接，并应在首末端作接地处理。</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桥面</w:t>
      </w:r>
      <w:r>
        <w:rPr>
          <w:rFonts w:hint="eastAsia" w:cs="仿宋" w:asciiTheme="minorEastAsia" w:hAnsiTheme="minorEastAsia" w:eastAsiaTheme="minorEastAsia"/>
          <w:color w:val="000000"/>
          <w:szCs w:val="21"/>
        </w:rPr>
        <w:t>通长</w:t>
      </w:r>
      <w:r>
        <w:rPr>
          <w:rFonts w:hint="eastAsia" w:cs="仿宋" w:asciiTheme="minorEastAsia" w:hAnsiTheme="minorEastAsia" w:eastAsiaTheme="minorEastAsia"/>
          <w:szCs w:val="21"/>
        </w:rPr>
        <w:t>布设的各类电力、通信、信号等金属线缆或金属管道应与等电位连接带连接。</w:t>
      </w:r>
    </w:p>
    <w:p>
      <w:pPr>
        <w:pStyle w:val="41"/>
        <w:spacing w:line="360" w:lineRule="auto"/>
        <w:rPr>
          <w:rFonts w:cs="仿宋" w:asciiTheme="minorEastAsia" w:hAnsiTheme="minorEastAsia" w:eastAsiaTheme="minorEastAsia"/>
          <w:szCs w:val="21"/>
          <w:shd w:val="clear" w:color="auto" w:fill="FFFFFF"/>
        </w:rPr>
      </w:pPr>
      <w:r>
        <w:rPr>
          <w:rFonts w:hint="eastAsia" w:cs="仿宋" w:asciiTheme="minorEastAsia" w:hAnsiTheme="minorEastAsia" w:eastAsiaTheme="minorEastAsia"/>
          <w:szCs w:val="21"/>
          <w:shd w:val="clear" w:color="auto" w:fill="FFFFFF"/>
        </w:rPr>
        <w:t>检查数量：全数检查。</w:t>
      </w:r>
    </w:p>
    <w:p>
      <w:pPr>
        <w:pStyle w:val="41"/>
        <w:spacing w:line="360" w:lineRule="auto"/>
        <w:rPr>
          <w:rFonts w:cs="仿宋" w:asciiTheme="minorEastAsia" w:hAnsiTheme="minorEastAsia" w:eastAsiaTheme="minorEastAsia"/>
          <w:szCs w:val="21"/>
          <w:shd w:val="clear" w:color="auto" w:fill="FFFFFF"/>
        </w:rPr>
      </w:pPr>
      <w:r>
        <w:rPr>
          <w:rFonts w:hint="eastAsia" w:cs="仿宋" w:asciiTheme="minorEastAsia" w:hAnsiTheme="minorEastAsia" w:eastAsiaTheme="minorEastAsia"/>
          <w:szCs w:val="21"/>
          <w:shd w:val="clear" w:color="auto" w:fill="FFFFFF"/>
        </w:rPr>
        <w:t>检查方法：观察检查，检查施工记录。</w:t>
      </w:r>
    </w:p>
    <w:p>
      <w:pPr>
        <w:pStyle w:val="41"/>
        <w:numPr>
          <w:ilvl w:val="1"/>
          <w:numId w:val="191"/>
        </w:numPr>
        <w:spacing w:line="360" w:lineRule="auto"/>
        <w:ind w:firstLine="424" w:firstLineChars="202"/>
        <w:rPr>
          <w:rFonts w:cs="仿宋" w:asciiTheme="minorEastAsia" w:hAnsiTheme="minorEastAsia" w:eastAsiaTheme="minorEastAsia"/>
          <w:szCs w:val="21"/>
          <w:shd w:val="clear" w:color="auto" w:fill="FFFFFF"/>
        </w:rPr>
      </w:pPr>
      <w:r>
        <w:rPr>
          <w:rFonts w:hint="eastAsia" w:cs="仿宋" w:asciiTheme="minorEastAsia" w:hAnsiTheme="minorEastAsia" w:eastAsiaTheme="minorEastAsia"/>
          <w:szCs w:val="21"/>
          <w:shd w:val="clear" w:color="auto" w:fill="FFFFFF"/>
        </w:rPr>
        <w:t>主缆、斜拉索、吊杆与索塔或主梁锚固处的金属锚具应就近与已接地的桥梁金属体作可靠电气连接。</w:t>
      </w:r>
    </w:p>
    <w:p>
      <w:pPr>
        <w:pStyle w:val="41"/>
        <w:spacing w:line="360" w:lineRule="auto"/>
        <w:rPr>
          <w:rFonts w:cs="仿宋" w:asciiTheme="minorEastAsia" w:hAnsiTheme="minorEastAsia" w:eastAsiaTheme="minorEastAsia"/>
          <w:szCs w:val="21"/>
          <w:shd w:val="clear" w:color="auto" w:fill="FFFFFF"/>
        </w:rPr>
      </w:pPr>
      <w:r>
        <w:rPr>
          <w:rFonts w:hint="eastAsia" w:cs="仿宋" w:asciiTheme="minorEastAsia" w:hAnsiTheme="minorEastAsia" w:eastAsiaTheme="minorEastAsia"/>
          <w:szCs w:val="21"/>
          <w:shd w:val="clear" w:color="auto" w:fill="FFFFFF"/>
        </w:rPr>
        <w:t>检查数量：全数检查。</w:t>
      </w:r>
    </w:p>
    <w:p>
      <w:pPr>
        <w:pStyle w:val="41"/>
        <w:spacing w:line="360" w:lineRule="auto"/>
        <w:rPr>
          <w:rFonts w:cs="仿宋" w:asciiTheme="minorEastAsia" w:hAnsiTheme="minorEastAsia" w:eastAsiaTheme="minorEastAsia"/>
          <w:szCs w:val="21"/>
          <w:shd w:val="clear" w:color="auto" w:fill="FFFFFF"/>
        </w:rPr>
      </w:pPr>
      <w:r>
        <w:rPr>
          <w:rFonts w:hint="eastAsia" w:cs="仿宋" w:asciiTheme="minorEastAsia" w:hAnsiTheme="minorEastAsia" w:eastAsiaTheme="minorEastAsia"/>
          <w:szCs w:val="21"/>
          <w:shd w:val="clear" w:color="auto" w:fill="FFFFFF"/>
        </w:rPr>
        <w:t>检查方法：观察检查，检查施工记录。</w:t>
      </w:r>
    </w:p>
    <w:p>
      <w:pPr>
        <w:pStyle w:val="41"/>
        <w:numPr>
          <w:ilvl w:val="1"/>
          <w:numId w:val="191"/>
        </w:numPr>
        <w:spacing w:line="360" w:lineRule="auto"/>
        <w:ind w:firstLine="424" w:firstLineChars="202"/>
        <w:rPr>
          <w:rFonts w:cs="仿宋" w:asciiTheme="minorEastAsia" w:hAnsiTheme="minorEastAsia" w:eastAsiaTheme="minorEastAsia"/>
          <w:szCs w:val="21"/>
          <w:shd w:val="clear" w:color="auto" w:fill="FFFFFF"/>
        </w:rPr>
      </w:pPr>
      <w:r>
        <w:rPr>
          <w:rFonts w:hint="eastAsia" w:cs="仿宋" w:asciiTheme="minorEastAsia" w:hAnsiTheme="minorEastAsia" w:eastAsiaTheme="minorEastAsia"/>
          <w:szCs w:val="21"/>
          <w:shd w:val="clear" w:color="auto" w:fill="FFFFFF"/>
        </w:rPr>
        <w:t>桥面等电位连接带应在桥墩位置相应处和桥梁纵向每隔不大于</w:t>
      </w:r>
      <w:r>
        <w:rPr>
          <w:rFonts w:hint="eastAsia" w:cs="仿宋" w:asciiTheme="minorEastAsia" w:hAnsiTheme="minorEastAsia" w:eastAsiaTheme="minorEastAsia"/>
          <w:color w:val="000000"/>
          <w:szCs w:val="21"/>
          <w:shd w:val="clear" w:color="auto" w:fill="FFFFFF"/>
        </w:rPr>
        <w:t>30</w:t>
      </w:r>
      <w:r>
        <w:rPr>
          <w:rFonts w:hint="eastAsia" w:cs="仿宋" w:asciiTheme="minorEastAsia" w:hAnsiTheme="minorEastAsia" w:eastAsiaTheme="minorEastAsia"/>
          <w:color w:val="000000"/>
          <w:spacing w:val="0"/>
          <w:w w:val="15"/>
          <w:kern w:val="0"/>
          <w:szCs w:val="21"/>
          <w:fitText w:val="42" w:id="1359635631"/>
        </w:rPr>
        <w:t xml:space="preserve">　 </w:t>
      </w:r>
      <w:r>
        <w:rPr>
          <w:rFonts w:hint="eastAsia" w:cs="仿宋" w:asciiTheme="minorEastAsia" w:hAnsiTheme="minorEastAsia" w:eastAsiaTheme="minorEastAsia"/>
          <w:color w:val="000000"/>
          <w:spacing w:val="-17"/>
          <w:w w:val="15"/>
          <w:kern w:val="0"/>
          <w:szCs w:val="21"/>
          <w:fitText w:val="42" w:id="1359635631"/>
        </w:rPr>
        <w:t>　</w:t>
      </w:r>
      <w:r>
        <w:rPr>
          <w:rFonts w:hint="eastAsia" w:cs="仿宋" w:asciiTheme="minorEastAsia" w:hAnsiTheme="minorEastAsia" w:eastAsiaTheme="minorEastAsia"/>
          <w:color w:val="000000"/>
          <w:szCs w:val="21"/>
          <w:shd w:val="clear" w:color="auto" w:fill="FFFFFF"/>
        </w:rPr>
        <w:t>m</w:t>
      </w:r>
      <w:r>
        <w:rPr>
          <w:rFonts w:hint="eastAsia" w:cs="仿宋" w:asciiTheme="minorEastAsia" w:hAnsiTheme="minorEastAsia" w:eastAsiaTheme="minorEastAsia"/>
          <w:szCs w:val="21"/>
          <w:shd w:val="clear" w:color="auto" w:fill="FFFFFF"/>
        </w:rPr>
        <w:t>与主梁、钢筋混凝土箱梁、钢箱梁、钢桁梁作连接。</w:t>
      </w:r>
    </w:p>
    <w:p>
      <w:pPr>
        <w:pStyle w:val="41"/>
        <w:spacing w:line="360" w:lineRule="auto"/>
        <w:rPr>
          <w:rFonts w:cs="仿宋" w:asciiTheme="minorEastAsia" w:hAnsiTheme="minorEastAsia" w:eastAsiaTheme="minorEastAsia"/>
          <w:szCs w:val="21"/>
          <w:shd w:val="clear" w:color="auto" w:fill="FFFFFF"/>
        </w:rPr>
      </w:pPr>
      <w:r>
        <w:rPr>
          <w:rFonts w:hint="eastAsia" w:cs="仿宋" w:asciiTheme="minorEastAsia" w:hAnsiTheme="minorEastAsia" w:eastAsiaTheme="minorEastAsia"/>
          <w:szCs w:val="21"/>
          <w:shd w:val="clear" w:color="auto" w:fill="FFFFFF"/>
        </w:rPr>
        <w:t>检查数量：全数检查。</w:t>
      </w:r>
    </w:p>
    <w:p>
      <w:pPr>
        <w:pStyle w:val="41"/>
        <w:spacing w:line="360" w:lineRule="auto"/>
        <w:rPr>
          <w:rFonts w:cs="仿宋" w:asciiTheme="minorEastAsia" w:hAnsiTheme="minorEastAsia" w:eastAsiaTheme="minorEastAsia"/>
          <w:szCs w:val="21"/>
          <w:shd w:val="clear" w:color="auto" w:fill="FFFFFF"/>
        </w:rPr>
      </w:pPr>
      <w:r>
        <w:rPr>
          <w:rFonts w:hint="eastAsia" w:cs="仿宋" w:asciiTheme="minorEastAsia" w:hAnsiTheme="minorEastAsia" w:eastAsiaTheme="minorEastAsia"/>
          <w:szCs w:val="21"/>
          <w:shd w:val="clear" w:color="auto" w:fill="FFFFFF"/>
        </w:rPr>
        <w:t>检查方法：观察检查，检查施工记录。</w:t>
      </w:r>
    </w:p>
    <w:p>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208" w:name="_Toc137216260"/>
      <w:bookmarkStart w:id="209" w:name="_Toc136868066"/>
      <w:bookmarkStart w:id="210" w:name="_Toc136869101"/>
      <w:r>
        <w:rPr>
          <w:rFonts w:hint="eastAsia" w:asciiTheme="minorEastAsia" w:hAnsiTheme="minorEastAsia" w:eastAsiaTheme="minorEastAsia"/>
          <w:sz w:val="24"/>
          <w:szCs w:val="24"/>
        </w:rPr>
        <w:t>8</w:t>
      </w:r>
      <w:r>
        <w:rPr>
          <w:rFonts w:asciiTheme="minorEastAsia" w:hAnsiTheme="minorEastAsia" w:eastAsiaTheme="minorEastAsia"/>
          <w:sz w:val="24"/>
          <w:szCs w:val="24"/>
        </w:rPr>
        <w:t xml:space="preserve">.6 </w:t>
      </w:r>
      <w:r>
        <w:rPr>
          <w:rFonts w:hint="eastAsia" w:asciiTheme="minorEastAsia" w:hAnsiTheme="minorEastAsia" w:eastAsiaTheme="minorEastAsia"/>
          <w:sz w:val="24"/>
          <w:szCs w:val="24"/>
        </w:rPr>
        <w:t>轨道交通类项目防雷接地安装</w:t>
      </w:r>
      <w:bookmarkEnd w:id="208"/>
      <w:bookmarkEnd w:id="209"/>
      <w:bookmarkEnd w:id="210"/>
    </w:p>
    <w:p>
      <w:pPr>
        <w:pStyle w:val="4"/>
        <w:spacing w:before="120" w:beforeLines="50" w:after="120" w:afterLines="50"/>
        <w:rPr>
          <w:rFonts w:asciiTheme="minorEastAsia" w:hAnsiTheme="minorEastAsia" w:eastAsiaTheme="minorEastAsia"/>
          <w:sz w:val="21"/>
          <w:szCs w:val="21"/>
        </w:rPr>
      </w:pPr>
      <w:r>
        <w:t>I</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主控项目</w:t>
      </w:r>
    </w:p>
    <w:p>
      <w:pPr>
        <w:pStyle w:val="41"/>
        <w:numPr>
          <w:ilvl w:val="0"/>
          <w:numId w:val="192"/>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直流电源工作地应采用单点接地方式，并应就近从地线</w:t>
      </w:r>
      <w:r>
        <w:rPr>
          <w:rFonts w:hint="eastAsia" w:asciiTheme="minorEastAsia" w:hAnsiTheme="minorEastAsia" w:eastAsiaTheme="minorEastAsia"/>
          <w:strike/>
          <w:szCs w:val="21"/>
        </w:rPr>
        <w:t>盘</w:t>
      </w:r>
      <w:r>
        <w:rPr>
          <w:rFonts w:hint="eastAsia" w:asciiTheme="minorEastAsia" w:hAnsiTheme="minorEastAsia" w:eastAsiaTheme="minorEastAsia"/>
          <w:szCs w:val="21"/>
        </w:rPr>
        <w:t>上引入。</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检验数量：全部检查</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检验方法：观察检查。</w:t>
      </w:r>
    </w:p>
    <w:p>
      <w:pPr>
        <w:pStyle w:val="41"/>
        <w:numPr>
          <w:ilvl w:val="0"/>
          <w:numId w:val="192"/>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接地装置的接地电阻应符合下列规定：</w:t>
      </w:r>
    </w:p>
    <w:p>
      <w:pPr>
        <w:pStyle w:val="41"/>
        <w:numPr>
          <w:ilvl w:val="1"/>
          <w:numId w:val="19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独立设置接地装置的接地电阻值应符合设计要求。</w:t>
      </w:r>
    </w:p>
    <w:p>
      <w:pPr>
        <w:pStyle w:val="41"/>
        <w:numPr>
          <w:ilvl w:val="1"/>
          <w:numId w:val="193"/>
        </w:num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区间、车站综合接地网、室外综合接地体接地电阻应符合设计要求。</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检查数量：全部检查。</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检查方法：用接地电阻测试仪测试检验。</w:t>
      </w:r>
    </w:p>
    <w:p>
      <w:pPr>
        <w:pStyle w:val="4"/>
        <w:spacing w:before="120" w:beforeLines="50" w:after="120" w:afterLines="50"/>
        <w:rPr>
          <w:rFonts w:asciiTheme="minorEastAsia" w:hAnsiTheme="minorEastAsia" w:eastAsiaTheme="minorEastAsia"/>
          <w:sz w:val="21"/>
          <w:szCs w:val="21"/>
        </w:rPr>
      </w:pPr>
      <w:r>
        <w:t>Ⅱ</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一般项目</w:t>
      </w:r>
    </w:p>
    <w:p>
      <w:pPr>
        <w:pStyle w:val="41"/>
        <w:numPr>
          <w:ilvl w:val="0"/>
          <w:numId w:val="192"/>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走行轨回流系统或设置轨电位限制装置的系统，安装在地下铁道结构或高架桥梁上的金属预埋件应按地下铁道工程杂散电流腐蚀防护的设计文件要求，与结构钢筋电气绝缘。</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检验数量：全部检查</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检验方法：观察检查。</w:t>
      </w:r>
    </w:p>
    <w:p>
      <w:pPr>
        <w:pStyle w:val="41"/>
        <w:numPr>
          <w:ilvl w:val="0"/>
          <w:numId w:val="192"/>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站台屏蔽门系统在站台区域的不带电外露金属部分应进行等电位连接，单侧站台屏蔽门整体电阻值不应大于</w:t>
      </w:r>
      <w:r>
        <w:rPr>
          <w:rFonts w:hint="eastAsia" w:asciiTheme="minorEastAsia" w:hAnsiTheme="minorEastAsia" w:eastAsiaTheme="minorEastAsia"/>
          <w:color w:val="000000"/>
          <w:szCs w:val="21"/>
        </w:rPr>
        <w:t>0.4</w:t>
      </w:r>
      <w:r>
        <w:rPr>
          <w:rFonts w:hint="eastAsia" w:cs="仿宋" w:asciiTheme="minorEastAsia" w:hAnsiTheme="minorEastAsia" w:eastAsiaTheme="minorEastAsia"/>
          <w:color w:val="000000"/>
          <w:spacing w:val="0"/>
          <w:w w:val="15"/>
          <w:kern w:val="0"/>
          <w:szCs w:val="21"/>
          <w:fitText w:val="42" w:id="1268196864"/>
        </w:rPr>
        <w:t xml:space="preserve">　 </w:t>
      </w:r>
      <w:r>
        <w:rPr>
          <w:rFonts w:hint="eastAsia" w:cs="仿宋" w:asciiTheme="minorEastAsia" w:hAnsiTheme="minorEastAsia" w:eastAsiaTheme="minorEastAsia"/>
          <w:color w:val="000000"/>
          <w:spacing w:val="-17"/>
          <w:w w:val="15"/>
          <w:kern w:val="0"/>
          <w:szCs w:val="21"/>
          <w:fitText w:val="42" w:id="1268196864"/>
        </w:rPr>
        <w:t>　</w:t>
      </w:r>
      <w:r>
        <w:rPr>
          <w:rFonts w:hint="eastAsia" w:asciiTheme="minorEastAsia" w:hAnsiTheme="minorEastAsia" w:eastAsiaTheme="minorEastAsia"/>
          <w:color w:val="000000"/>
          <w:szCs w:val="21"/>
        </w:rPr>
        <w:t>Ω</w:t>
      </w:r>
      <w:r>
        <w:rPr>
          <w:rFonts w:hint="eastAsia" w:asciiTheme="minorEastAsia" w:hAnsiTheme="minorEastAsia" w:eastAsiaTheme="minorEastAsia"/>
          <w:szCs w:val="21"/>
        </w:rPr>
        <w:t>。</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检验数量：全部检查。</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检验方法：测试仪器测量检查。</w:t>
      </w:r>
    </w:p>
    <w:p>
      <w:pPr>
        <w:pStyle w:val="41"/>
        <w:numPr>
          <w:ilvl w:val="0"/>
          <w:numId w:val="192"/>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站台屏蔽门系统当采用钢轨作为回流轨时，站台屏蔽门应与钢轨进行可靠的等电位连接。</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检验数量：全部检查。</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检验方法：测试仪器测量检查。</w:t>
      </w:r>
    </w:p>
    <w:p>
      <w:pPr>
        <w:pStyle w:val="41"/>
        <w:numPr>
          <w:ilvl w:val="0"/>
          <w:numId w:val="192"/>
        </w:numPr>
        <w:spacing w:line="360" w:lineRule="auto"/>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自动售检票系统的防雷接地与交流工频接地、直流工作接地、安全保护接地必须共用综合接地体</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接地装置的接地电阻值必须按接入设备中要求的最小值确定，其接地电阻测试值严禁大于</w:t>
      </w:r>
      <w:r>
        <w:rPr>
          <w:rFonts w:hint="eastAsia" w:asciiTheme="minorEastAsia" w:hAnsiTheme="minorEastAsia" w:eastAsiaTheme="minorEastAsia"/>
          <w:color w:val="000000"/>
          <w:szCs w:val="21"/>
        </w:rPr>
        <w:t>1</w:t>
      </w:r>
      <w:r>
        <w:rPr>
          <w:rFonts w:hint="eastAsia" w:cs="仿宋" w:asciiTheme="minorEastAsia" w:hAnsiTheme="minorEastAsia" w:eastAsiaTheme="minorEastAsia"/>
          <w:color w:val="000000"/>
          <w:spacing w:val="0"/>
          <w:w w:val="15"/>
          <w:kern w:val="0"/>
          <w:szCs w:val="21"/>
          <w:fitText w:val="42" w:id="1503273101"/>
        </w:rPr>
        <w:t xml:space="preserve">　 </w:t>
      </w:r>
      <w:r>
        <w:rPr>
          <w:rFonts w:hint="eastAsia" w:cs="仿宋" w:asciiTheme="minorEastAsia" w:hAnsiTheme="minorEastAsia" w:eastAsiaTheme="minorEastAsia"/>
          <w:color w:val="000000"/>
          <w:spacing w:val="-17"/>
          <w:w w:val="15"/>
          <w:kern w:val="0"/>
          <w:szCs w:val="21"/>
          <w:fitText w:val="42" w:id="1503273101"/>
        </w:rPr>
        <w:t>　</w:t>
      </w:r>
      <w:r>
        <w:rPr>
          <w:rFonts w:hint="eastAsia" w:asciiTheme="minorEastAsia" w:hAnsiTheme="minorEastAsia" w:eastAsiaTheme="minorEastAsia"/>
          <w:color w:val="000000"/>
          <w:szCs w:val="21"/>
        </w:rPr>
        <w:t>Ω</w:t>
      </w:r>
      <w:r>
        <w:rPr>
          <w:rFonts w:hint="eastAsia" w:asciiTheme="minorEastAsia" w:hAnsiTheme="minorEastAsia" w:eastAsiaTheme="minorEastAsia"/>
          <w:szCs w:val="21"/>
        </w:rPr>
        <w:t>。</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检验数量：全部检查。</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检验方法：用接地电阻测试仪测试或检查接地电阻测试记录。</w:t>
      </w:r>
    </w:p>
    <w:p>
      <w:pPr>
        <w:pStyle w:val="41"/>
        <w:spacing w:line="360" w:lineRule="auto"/>
        <w:ind w:left="600" w:firstLine="0" w:firstLineChars="0"/>
        <w:rPr>
          <w:rFonts w:asciiTheme="minorEastAsia" w:hAnsiTheme="minorEastAsia" w:eastAsiaTheme="minorEastAsia"/>
          <w:szCs w:val="21"/>
        </w:rPr>
      </w:pPr>
    </w:p>
    <w:p>
      <w:pPr>
        <w:pStyle w:val="41"/>
        <w:spacing w:line="360" w:lineRule="auto"/>
        <w:ind w:left="600" w:firstLine="0" w:firstLineChars="0"/>
        <w:rPr>
          <w:rFonts w:asciiTheme="minorEastAsia" w:hAnsiTheme="minorEastAsia" w:eastAsiaTheme="minorEastAsia"/>
          <w:szCs w:val="21"/>
        </w:rPr>
      </w:pPr>
    </w:p>
    <w:p>
      <w:pPr>
        <w:pStyle w:val="41"/>
        <w:spacing w:line="360" w:lineRule="auto"/>
        <w:ind w:left="600" w:firstLine="0" w:firstLineChars="0"/>
        <w:rPr>
          <w:rFonts w:asciiTheme="minorEastAsia" w:hAnsiTheme="minorEastAsia" w:eastAsiaTheme="minorEastAsia"/>
          <w:szCs w:val="21"/>
        </w:rPr>
      </w:pPr>
    </w:p>
    <w:p>
      <w:pPr>
        <w:pStyle w:val="41"/>
        <w:spacing w:line="360" w:lineRule="auto"/>
        <w:ind w:left="600" w:firstLine="0" w:firstLineChars="0"/>
        <w:rPr>
          <w:rFonts w:asciiTheme="minorEastAsia" w:hAnsiTheme="minorEastAsia" w:eastAsiaTheme="minorEastAsia"/>
          <w:szCs w:val="21"/>
        </w:rPr>
      </w:pPr>
    </w:p>
    <w:p>
      <w:pPr>
        <w:pStyle w:val="41"/>
        <w:spacing w:line="360" w:lineRule="auto"/>
        <w:ind w:left="600" w:firstLine="0" w:firstLineChars="0"/>
        <w:rPr>
          <w:rFonts w:asciiTheme="minorEastAsia" w:hAnsiTheme="minorEastAsia" w:eastAsiaTheme="minorEastAsia"/>
          <w:szCs w:val="21"/>
        </w:rPr>
      </w:pPr>
    </w:p>
    <w:p>
      <w:pPr>
        <w:pStyle w:val="41"/>
        <w:spacing w:line="360" w:lineRule="auto"/>
        <w:ind w:left="600" w:firstLine="0" w:firstLineChars="0"/>
        <w:rPr>
          <w:rFonts w:asciiTheme="minorEastAsia" w:hAnsiTheme="minorEastAsia" w:eastAsiaTheme="minorEastAsia"/>
          <w:szCs w:val="21"/>
        </w:rPr>
      </w:pPr>
    </w:p>
    <w:p>
      <w:pPr>
        <w:pStyle w:val="41"/>
        <w:spacing w:line="360" w:lineRule="auto"/>
        <w:ind w:left="600" w:firstLine="0" w:firstLineChars="0"/>
        <w:rPr>
          <w:rFonts w:asciiTheme="minorEastAsia" w:hAnsiTheme="minorEastAsia" w:eastAsiaTheme="minorEastAsia"/>
          <w:szCs w:val="21"/>
        </w:rPr>
      </w:pPr>
    </w:p>
    <w:p>
      <w:pPr>
        <w:pStyle w:val="41"/>
        <w:spacing w:line="360" w:lineRule="auto"/>
        <w:ind w:left="600" w:firstLine="0" w:firstLineChars="0"/>
        <w:rPr>
          <w:rFonts w:asciiTheme="minorEastAsia" w:hAnsiTheme="minorEastAsia" w:eastAsiaTheme="minorEastAsia"/>
          <w:szCs w:val="21"/>
        </w:rPr>
      </w:pPr>
    </w:p>
    <w:p>
      <w:pPr>
        <w:pStyle w:val="41"/>
        <w:spacing w:line="360" w:lineRule="auto"/>
        <w:ind w:left="600" w:firstLine="0" w:firstLineChars="0"/>
        <w:rPr>
          <w:rFonts w:asciiTheme="minorEastAsia" w:hAnsiTheme="minorEastAsia" w:eastAsiaTheme="minorEastAsia"/>
          <w:szCs w:val="21"/>
        </w:rPr>
      </w:pPr>
    </w:p>
    <w:p>
      <w:pPr>
        <w:pStyle w:val="41"/>
        <w:spacing w:line="360" w:lineRule="auto"/>
        <w:ind w:left="600" w:firstLine="0" w:firstLineChars="0"/>
        <w:rPr>
          <w:rFonts w:asciiTheme="minorEastAsia" w:hAnsiTheme="minorEastAsia" w:eastAsiaTheme="minorEastAsia"/>
          <w:szCs w:val="21"/>
        </w:rPr>
      </w:pPr>
    </w:p>
    <w:p>
      <w:pPr>
        <w:pStyle w:val="41"/>
        <w:spacing w:line="360" w:lineRule="auto"/>
        <w:ind w:left="600" w:firstLine="0" w:firstLineChars="0"/>
        <w:rPr>
          <w:rFonts w:asciiTheme="minorEastAsia" w:hAnsiTheme="minorEastAsia" w:eastAsiaTheme="minorEastAsia"/>
          <w:szCs w:val="21"/>
        </w:rPr>
      </w:pPr>
    </w:p>
    <w:p>
      <w:pPr>
        <w:pStyle w:val="41"/>
        <w:spacing w:line="360" w:lineRule="auto"/>
        <w:ind w:left="600" w:firstLine="0" w:firstLineChars="0"/>
        <w:rPr>
          <w:rFonts w:asciiTheme="minorEastAsia" w:hAnsiTheme="minorEastAsia" w:eastAsiaTheme="minorEastAsia"/>
          <w:szCs w:val="21"/>
        </w:rPr>
      </w:pPr>
    </w:p>
    <w:p>
      <w:pPr>
        <w:pStyle w:val="41"/>
        <w:spacing w:line="360" w:lineRule="auto"/>
        <w:ind w:left="600" w:firstLine="0" w:firstLineChars="0"/>
        <w:rPr>
          <w:rFonts w:asciiTheme="minorEastAsia" w:hAnsiTheme="minorEastAsia" w:eastAsiaTheme="minorEastAsia"/>
          <w:szCs w:val="21"/>
        </w:rPr>
      </w:pPr>
    </w:p>
    <w:p>
      <w:pPr>
        <w:pStyle w:val="41"/>
        <w:spacing w:line="360" w:lineRule="auto"/>
        <w:ind w:left="600" w:firstLine="0" w:firstLineChars="0"/>
        <w:rPr>
          <w:rFonts w:asciiTheme="minorEastAsia" w:hAnsiTheme="minorEastAsia" w:eastAsiaTheme="minorEastAsia"/>
          <w:szCs w:val="21"/>
        </w:rPr>
      </w:pPr>
    </w:p>
    <w:p>
      <w:pPr>
        <w:pStyle w:val="41"/>
        <w:spacing w:line="360" w:lineRule="auto"/>
        <w:ind w:left="600" w:firstLine="0" w:firstLineChars="0"/>
        <w:rPr>
          <w:rFonts w:asciiTheme="minorEastAsia" w:hAnsiTheme="minorEastAsia" w:eastAsiaTheme="minorEastAsia"/>
          <w:szCs w:val="21"/>
        </w:rPr>
      </w:pPr>
    </w:p>
    <w:p>
      <w:pPr>
        <w:pStyle w:val="41"/>
        <w:spacing w:line="360" w:lineRule="auto"/>
        <w:ind w:left="600" w:firstLine="0" w:firstLineChars="0"/>
        <w:rPr>
          <w:rFonts w:asciiTheme="minorEastAsia" w:hAnsiTheme="minorEastAsia" w:eastAsiaTheme="minorEastAsia"/>
          <w:szCs w:val="21"/>
        </w:rPr>
      </w:pPr>
    </w:p>
    <w:p>
      <w:pPr>
        <w:pStyle w:val="41"/>
        <w:spacing w:line="360" w:lineRule="auto"/>
        <w:ind w:left="600" w:firstLine="0" w:firstLineChars="0"/>
        <w:rPr>
          <w:rFonts w:asciiTheme="minorEastAsia" w:hAnsiTheme="minorEastAsia" w:eastAsiaTheme="minorEastAsia"/>
          <w:szCs w:val="21"/>
        </w:rPr>
      </w:pPr>
    </w:p>
    <w:p>
      <w:pPr>
        <w:pStyle w:val="41"/>
        <w:spacing w:line="360" w:lineRule="auto"/>
        <w:ind w:left="600" w:firstLine="0" w:firstLineChars="0"/>
        <w:rPr>
          <w:rFonts w:asciiTheme="minorEastAsia" w:hAnsiTheme="minorEastAsia" w:eastAsiaTheme="minorEastAsia"/>
          <w:szCs w:val="21"/>
        </w:rPr>
      </w:pPr>
    </w:p>
    <w:p>
      <w:pPr>
        <w:pStyle w:val="41"/>
        <w:spacing w:line="360" w:lineRule="auto"/>
        <w:ind w:left="600" w:firstLine="0" w:firstLineChars="0"/>
        <w:rPr>
          <w:rFonts w:asciiTheme="minorEastAsia" w:hAnsiTheme="minorEastAsia" w:eastAsiaTheme="minorEastAsia"/>
          <w:szCs w:val="21"/>
        </w:rPr>
      </w:pPr>
    </w:p>
    <w:p>
      <w:pPr>
        <w:pStyle w:val="41"/>
        <w:spacing w:line="360" w:lineRule="auto"/>
        <w:ind w:left="600" w:firstLine="0" w:firstLineChars="0"/>
        <w:rPr>
          <w:rFonts w:asciiTheme="minorEastAsia" w:hAnsiTheme="minorEastAsia" w:eastAsiaTheme="minorEastAsia"/>
          <w:szCs w:val="21"/>
        </w:rPr>
      </w:pPr>
    </w:p>
    <w:p>
      <w:pPr>
        <w:widowControl/>
        <w:jc w:val="left"/>
        <w:rPr>
          <w:rFonts w:asciiTheme="minorEastAsia" w:hAnsiTheme="minorEastAsia" w:eastAsiaTheme="minorEastAsia"/>
          <w:b/>
          <w:bCs/>
          <w:kern w:val="44"/>
          <w:sz w:val="28"/>
          <w:szCs w:val="28"/>
        </w:rPr>
      </w:pPr>
      <w:bookmarkStart w:id="211" w:name="_Toc136868067"/>
      <w:bookmarkStart w:id="212" w:name="_Toc136869102"/>
      <w:r>
        <w:rPr>
          <w:rFonts w:asciiTheme="minorEastAsia" w:hAnsiTheme="minorEastAsia" w:eastAsiaTheme="minorEastAsia"/>
          <w:sz w:val="28"/>
          <w:szCs w:val="28"/>
        </w:rPr>
        <w:br w:type="page"/>
      </w:r>
    </w:p>
    <w:p>
      <w:pPr>
        <w:pStyle w:val="2"/>
        <w:numPr>
          <w:ilvl w:val="0"/>
          <w:numId w:val="194"/>
        </w:numPr>
        <w:spacing w:before="120" w:beforeLines="50" w:after="120" w:afterLines="50"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bookmarkStart w:id="213" w:name="_Toc137216261"/>
      <w:r>
        <w:rPr>
          <w:rFonts w:hint="eastAsia" w:asciiTheme="minorEastAsia" w:hAnsiTheme="minorEastAsia" w:eastAsiaTheme="minorEastAsia"/>
          <w:sz w:val="28"/>
          <w:szCs w:val="28"/>
        </w:rPr>
        <w:t>各子分部工程所含的分项工程和检验批</w:t>
      </w:r>
      <w:bookmarkEnd w:id="211"/>
      <w:bookmarkEnd w:id="212"/>
      <w:bookmarkEnd w:id="213"/>
    </w:p>
    <w:tbl>
      <w:tblPr>
        <w:tblStyle w:val="27"/>
        <w:tblW w:w="5000" w:type="pct"/>
        <w:jc w:val="center"/>
        <w:tblLayout w:type="autofit"/>
        <w:tblCellMar>
          <w:top w:w="0" w:type="dxa"/>
          <w:left w:w="108" w:type="dxa"/>
          <w:bottom w:w="0" w:type="dxa"/>
          <w:right w:w="108" w:type="dxa"/>
        </w:tblCellMar>
      </w:tblPr>
      <w:tblGrid>
        <w:gridCol w:w="698"/>
        <w:gridCol w:w="2596"/>
        <w:gridCol w:w="728"/>
        <w:gridCol w:w="728"/>
        <w:gridCol w:w="728"/>
        <w:gridCol w:w="728"/>
        <w:gridCol w:w="728"/>
        <w:gridCol w:w="729"/>
        <w:gridCol w:w="866"/>
      </w:tblGrid>
      <w:tr>
        <w:tblPrEx>
          <w:tblCellMar>
            <w:top w:w="0" w:type="dxa"/>
            <w:left w:w="108" w:type="dxa"/>
            <w:bottom w:w="0" w:type="dxa"/>
            <w:right w:w="108" w:type="dxa"/>
          </w:tblCellMar>
        </w:tblPrEx>
        <w:trPr>
          <w:jc w:val="center"/>
        </w:trPr>
        <w:tc>
          <w:tcPr>
            <w:tcW w:w="1931" w:type="pct"/>
            <w:gridSpan w:val="2"/>
            <w:vMerge w:val="restart"/>
            <w:tcBorders>
              <w:top w:val="single" w:color="auto" w:sz="4" w:space="0"/>
              <w:left w:val="single" w:color="auto" w:sz="4" w:space="0"/>
              <w:bottom w:val="single" w:color="auto" w:sz="4" w:space="0"/>
              <w:right w:val="single" w:color="000000" w:sz="4" w:space="0"/>
              <w:tl2br w:val="single" w:color="auto" w:sz="4" w:space="0"/>
            </w:tcBorders>
            <w:shd w:val="clear" w:color="000000" w:fill="FFFFFF"/>
            <w:vAlign w:val="center"/>
          </w:tcPr>
          <w:p>
            <w:pPr>
              <w:widowControl/>
              <w:ind w:right="220"/>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子分部工程</w:t>
            </w:r>
          </w:p>
          <w:p>
            <w:pPr>
              <w:widowControl/>
              <w:jc w:val="center"/>
              <w:rPr>
                <w:rFonts w:cs="宋体" w:asciiTheme="minorEastAsia" w:hAnsiTheme="minorEastAsia" w:eastAsiaTheme="minorEastAsia"/>
                <w:kern w:val="0"/>
                <w:szCs w:val="21"/>
              </w:rPr>
            </w:pPr>
          </w:p>
          <w:p>
            <w:pPr>
              <w:widowControl/>
              <w:jc w:val="center"/>
              <w:rPr>
                <w:rFonts w:cs="宋体" w:asciiTheme="minorEastAsia" w:hAnsiTheme="minorEastAsia" w:eastAsiaTheme="minorEastAsia"/>
                <w:kern w:val="0"/>
                <w:szCs w:val="21"/>
              </w:rPr>
            </w:pPr>
          </w:p>
          <w:p>
            <w:pPr>
              <w:widowControl/>
              <w:ind w:firstLine="420" w:firstLineChars="2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分项工程</w:t>
            </w:r>
          </w:p>
        </w:tc>
        <w:tc>
          <w:tcPr>
            <w:tcW w:w="427"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427"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427"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p>
        </w:tc>
        <w:tc>
          <w:tcPr>
            <w:tcW w:w="427"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427"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427"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w:t>
            </w:r>
          </w:p>
        </w:tc>
        <w:tc>
          <w:tcPr>
            <w:tcW w:w="508"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w:t>
            </w:r>
          </w:p>
        </w:tc>
      </w:tr>
      <w:tr>
        <w:tblPrEx>
          <w:tblCellMar>
            <w:top w:w="0" w:type="dxa"/>
            <w:left w:w="108" w:type="dxa"/>
            <w:bottom w:w="0" w:type="dxa"/>
            <w:right w:w="108" w:type="dxa"/>
          </w:tblCellMar>
        </w:tblPrEx>
        <w:trPr>
          <w:trHeight w:val="1120" w:hRule="atLeast"/>
          <w:jc w:val="center"/>
        </w:trPr>
        <w:tc>
          <w:tcPr>
            <w:tcW w:w="1931" w:type="pct"/>
            <w:gridSpan w:val="2"/>
            <w:vMerge w:val="continue"/>
            <w:tcBorders>
              <w:top w:val="single" w:color="000000" w:sz="4" w:space="0"/>
              <w:left w:val="single" w:color="auto" w:sz="4" w:space="0"/>
              <w:bottom w:val="single" w:color="auto" w:sz="4" w:space="0"/>
              <w:right w:val="single" w:color="000000" w:sz="4" w:space="0"/>
              <w:tl2br w:val="single" w:color="auto" w:sz="4" w:space="0"/>
            </w:tcBorders>
            <w:vAlign w:val="center"/>
          </w:tcPr>
          <w:p>
            <w:pPr>
              <w:widowControl/>
              <w:jc w:val="left"/>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室外电气安装工程</w:t>
            </w: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变配电室安装工程</w:t>
            </w: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供电干线安装工程</w:t>
            </w: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电气动力安装工程</w:t>
            </w: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电气照明安装工程</w:t>
            </w: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自备电源安装工程</w:t>
            </w:r>
          </w:p>
        </w:tc>
        <w:tc>
          <w:tcPr>
            <w:tcW w:w="508"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防雷及接地装置安装工程</w:t>
            </w:r>
          </w:p>
        </w:tc>
      </w:tr>
      <w:tr>
        <w:tblPrEx>
          <w:tblCellMar>
            <w:top w:w="0" w:type="dxa"/>
            <w:left w:w="108" w:type="dxa"/>
            <w:bottom w:w="0" w:type="dxa"/>
            <w:right w:w="108" w:type="dxa"/>
          </w:tblCellMar>
        </w:tblPrEx>
        <w:trPr>
          <w:trHeight w:val="567" w:hRule="atLeast"/>
          <w:jc w:val="center"/>
        </w:trPr>
        <w:tc>
          <w:tcPr>
            <w:tcW w:w="409"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序号</w:t>
            </w:r>
          </w:p>
        </w:tc>
        <w:tc>
          <w:tcPr>
            <w:tcW w:w="1522"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名 称</w:t>
            </w:r>
          </w:p>
        </w:tc>
        <w:tc>
          <w:tcPr>
            <w:tcW w:w="427" w:type="pct"/>
            <w:tcBorders>
              <w:top w:val="single" w:color="auto" w:sz="4" w:space="0"/>
              <w:left w:val="nil"/>
              <w:bottom w:val="single" w:color="auto" w:sz="4" w:space="0"/>
              <w:right w:val="single" w:color="auto" w:sz="4" w:space="0"/>
            </w:tcBorders>
            <w:shd w:val="clear" w:color="000000" w:fill="FFFFFF"/>
            <w:vAlign w:val="center"/>
          </w:tcPr>
          <w:p>
            <w:pPr>
              <w:widowControl/>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427" w:type="pct"/>
            <w:tcBorders>
              <w:top w:val="single" w:color="auto" w:sz="4" w:space="0"/>
              <w:left w:val="nil"/>
              <w:bottom w:val="single" w:color="auto" w:sz="4" w:space="0"/>
              <w:right w:val="single" w:color="auto" w:sz="4" w:space="0"/>
            </w:tcBorders>
            <w:shd w:val="clear" w:color="000000" w:fill="FFFFFF"/>
            <w:vAlign w:val="center"/>
          </w:tcPr>
          <w:p>
            <w:pPr>
              <w:widowControl/>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427" w:type="pct"/>
            <w:tcBorders>
              <w:top w:val="single" w:color="auto" w:sz="4" w:space="0"/>
              <w:left w:val="nil"/>
              <w:bottom w:val="single" w:color="auto" w:sz="4" w:space="0"/>
              <w:right w:val="single" w:color="auto" w:sz="4" w:space="0"/>
            </w:tcBorders>
            <w:shd w:val="clear" w:color="000000" w:fill="FFFFFF"/>
            <w:vAlign w:val="center"/>
          </w:tcPr>
          <w:p>
            <w:pPr>
              <w:widowControl/>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427" w:type="pct"/>
            <w:tcBorders>
              <w:top w:val="single" w:color="auto" w:sz="4" w:space="0"/>
              <w:left w:val="nil"/>
              <w:bottom w:val="single" w:color="auto" w:sz="4" w:space="0"/>
              <w:right w:val="single" w:color="auto" w:sz="4" w:space="0"/>
            </w:tcBorders>
            <w:shd w:val="clear" w:color="000000" w:fill="FFFFFF"/>
            <w:vAlign w:val="center"/>
          </w:tcPr>
          <w:p>
            <w:pPr>
              <w:widowControl/>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427" w:type="pct"/>
            <w:tcBorders>
              <w:top w:val="single" w:color="auto" w:sz="4" w:space="0"/>
              <w:left w:val="nil"/>
              <w:bottom w:val="single" w:color="auto" w:sz="4" w:space="0"/>
              <w:right w:val="single" w:color="auto" w:sz="4" w:space="0"/>
            </w:tcBorders>
            <w:shd w:val="clear" w:color="000000" w:fill="FFFFFF"/>
            <w:vAlign w:val="center"/>
          </w:tcPr>
          <w:p>
            <w:pPr>
              <w:widowControl/>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427" w:type="pct"/>
            <w:tcBorders>
              <w:top w:val="single" w:color="auto" w:sz="4" w:space="0"/>
              <w:left w:val="nil"/>
              <w:bottom w:val="single" w:color="auto" w:sz="4" w:space="0"/>
              <w:right w:val="single" w:color="auto" w:sz="4" w:space="0"/>
            </w:tcBorders>
            <w:shd w:val="clear" w:color="000000" w:fill="FFFFFF"/>
            <w:vAlign w:val="center"/>
          </w:tcPr>
          <w:p>
            <w:pPr>
              <w:widowControl/>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508" w:type="pct"/>
            <w:tcBorders>
              <w:top w:val="single" w:color="auto" w:sz="4" w:space="0"/>
              <w:left w:val="nil"/>
              <w:bottom w:val="single" w:color="auto" w:sz="4" w:space="0"/>
              <w:right w:val="single" w:color="auto" w:sz="4" w:space="0"/>
            </w:tcBorders>
            <w:shd w:val="clear" w:color="000000" w:fill="FFFFFF"/>
            <w:vAlign w:val="center"/>
          </w:tcPr>
          <w:p>
            <w:pPr>
              <w:widowControl/>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r>
      <w:tr>
        <w:tblPrEx>
          <w:tblCellMar>
            <w:top w:w="0" w:type="dxa"/>
            <w:left w:w="108" w:type="dxa"/>
            <w:bottom w:w="0" w:type="dxa"/>
            <w:right w:w="108" w:type="dxa"/>
          </w:tblCellMar>
        </w:tblPrEx>
        <w:trPr>
          <w:trHeight w:val="567" w:hRule="atLeast"/>
          <w:jc w:val="center"/>
        </w:trPr>
        <w:tc>
          <w:tcPr>
            <w:tcW w:w="40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0</w:t>
            </w:r>
            <w:r>
              <w:rPr>
                <w:rFonts w:hint="eastAsia" w:cs="宋体" w:asciiTheme="minorEastAsia" w:hAnsiTheme="minorEastAsia" w:eastAsiaTheme="minorEastAsia"/>
                <w:kern w:val="0"/>
                <w:szCs w:val="21"/>
              </w:rPr>
              <w:t>4</w:t>
            </w:r>
          </w:p>
        </w:tc>
        <w:tc>
          <w:tcPr>
            <w:tcW w:w="1522"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变压器、箱式变电所安装</w:t>
            </w: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508"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567" w:hRule="atLeast"/>
          <w:jc w:val="center"/>
        </w:trPr>
        <w:tc>
          <w:tcPr>
            <w:tcW w:w="40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0</w:t>
            </w:r>
            <w:r>
              <w:rPr>
                <w:rFonts w:hint="eastAsia" w:cs="宋体" w:asciiTheme="minorEastAsia" w:hAnsiTheme="minorEastAsia" w:eastAsiaTheme="minorEastAsia"/>
                <w:kern w:val="0"/>
                <w:szCs w:val="21"/>
              </w:rPr>
              <w:t>5</w:t>
            </w:r>
          </w:p>
        </w:tc>
        <w:tc>
          <w:tcPr>
            <w:tcW w:w="1522"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成套配电柜、控制柜（台、 箱）和配电箱（盘）安装</w:t>
            </w: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pPr>
              <w:jc w:val="center"/>
              <w:rPr>
                <w:szCs w:val="21"/>
              </w:rPr>
            </w:pPr>
            <w:r>
              <w:rPr>
                <w:rFonts w:hint="eastAsia" w:cs="宋体" w:asciiTheme="minorEastAsia" w:hAnsiTheme="minorEastAsia" w:eastAsiaTheme="minorEastAsia"/>
                <w:kern w:val="0"/>
                <w:szCs w:val="21"/>
              </w:rPr>
              <w:t>●</w:t>
            </w:r>
          </w:p>
        </w:tc>
        <w:tc>
          <w:tcPr>
            <w:tcW w:w="508" w:type="pct"/>
            <w:tcBorders>
              <w:top w:val="nil"/>
              <w:left w:val="nil"/>
              <w:bottom w:val="single" w:color="auto" w:sz="4" w:space="0"/>
              <w:right w:val="single" w:color="auto" w:sz="4" w:space="0"/>
            </w:tcBorders>
            <w:shd w:val="clear" w:color="000000" w:fill="FFFFFF"/>
            <w:vAlign w:val="center"/>
          </w:tcPr>
          <w:p>
            <w:pPr>
              <w:widowControl/>
              <w:jc w:val="center"/>
              <w:rPr>
                <w:rFonts w:cs="微软雅黑" w:asciiTheme="minorEastAsia" w:hAnsiTheme="minorEastAsia" w:eastAsiaTheme="minorEastAsia"/>
                <w:kern w:val="0"/>
                <w:szCs w:val="21"/>
              </w:rPr>
            </w:pPr>
          </w:p>
        </w:tc>
      </w:tr>
      <w:tr>
        <w:tblPrEx>
          <w:tblCellMar>
            <w:top w:w="0" w:type="dxa"/>
            <w:left w:w="108" w:type="dxa"/>
            <w:bottom w:w="0" w:type="dxa"/>
            <w:right w:w="108" w:type="dxa"/>
          </w:tblCellMar>
        </w:tblPrEx>
        <w:trPr>
          <w:trHeight w:val="567" w:hRule="atLeast"/>
          <w:jc w:val="center"/>
        </w:trPr>
        <w:tc>
          <w:tcPr>
            <w:tcW w:w="40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0</w:t>
            </w:r>
            <w:r>
              <w:rPr>
                <w:rFonts w:hint="eastAsia" w:cs="宋体" w:asciiTheme="minorEastAsia" w:hAnsiTheme="minorEastAsia" w:eastAsiaTheme="minorEastAsia"/>
                <w:kern w:val="0"/>
                <w:szCs w:val="21"/>
              </w:rPr>
              <w:t>6</w:t>
            </w:r>
          </w:p>
        </w:tc>
        <w:tc>
          <w:tcPr>
            <w:tcW w:w="1522"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电动机、电加热器及电动 执行机构检查接线</w:t>
            </w: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508" w:type="pct"/>
            <w:tcBorders>
              <w:top w:val="nil"/>
              <w:left w:val="nil"/>
              <w:bottom w:val="single" w:color="auto" w:sz="4" w:space="0"/>
              <w:right w:val="single" w:color="auto" w:sz="4" w:space="0"/>
            </w:tcBorders>
            <w:shd w:val="clear" w:color="000000" w:fill="FFFFFF"/>
            <w:vAlign w:val="center"/>
          </w:tcPr>
          <w:p>
            <w:pPr>
              <w:widowControl/>
              <w:jc w:val="center"/>
              <w:rPr>
                <w:rFonts w:cs="微软雅黑" w:asciiTheme="minorEastAsia" w:hAnsiTheme="minorEastAsia" w:eastAsiaTheme="minorEastAsia"/>
                <w:kern w:val="0"/>
                <w:szCs w:val="21"/>
              </w:rPr>
            </w:pPr>
          </w:p>
        </w:tc>
      </w:tr>
      <w:tr>
        <w:tblPrEx>
          <w:tblCellMar>
            <w:top w:w="0" w:type="dxa"/>
            <w:left w:w="108" w:type="dxa"/>
            <w:bottom w:w="0" w:type="dxa"/>
            <w:right w:w="108" w:type="dxa"/>
          </w:tblCellMar>
        </w:tblPrEx>
        <w:trPr>
          <w:trHeight w:val="567" w:hRule="atLeast"/>
          <w:jc w:val="center"/>
        </w:trPr>
        <w:tc>
          <w:tcPr>
            <w:tcW w:w="40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0</w:t>
            </w:r>
            <w:r>
              <w:rPr>
                <w:rFonts w:hint="eastAsia" w:cs="宋体" w:asciiTheme="minorEastAsia" w:hAnsiTheme="minorEastAsia" w:eastAsiaTheme="minorEastAsia"/>
                <w:kern w:val="0"/>
                <w:szCs w:val="21"/>
              </w:rPr>
              <w:t>7</w:t>
            </w:r>
          </w:p>
        </w:tc>
        <w:tc>
          <w:tcPr>
            <w:tcW w:w="1522"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柴油发电机组安装</w:t>
            </w: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pPr>
              <w:jc w:val="center"/>
              <w:rPr>
                <w:szCs w:val="21"/>
              </w:rPr>
            </w:pPr>
            <w:r>
              <w:rPr>
                <w:rFonts w:hint="eastAsia" w:cs="宋体" w:asciiTheme="minorEastAsia" w:hAnsiTheme="minorEastAsia" w:eastAsiaTheme="minorEastAsia"/>
                <w:kern w:val="0"/>
                <w:szCs w:val="21"/>
              </w:rPr>
              <w:t>●</w:t>
            </w:r>
          </w:p>
        </w:tc>
        <w:tc>
          <w:tcPr>
            <w:tcW w:w="508" w:type="pct"/>
            <w:tcBorders>
              <w:top w:val="nil"/>
              <w:left w:val="nil"/>
              <w:bottom w:val="single" w:color="auto" w:sz="4" w:space="0"/>
              <w:right w:val="single" w:color="auto" w:sz="4" w:space="0"/>
            </w:tcBorders>
            <w:shd w:val="clear" w:color="000000" w:fill="FFFFFF"/>
            <w:vAlign w:val="center"/>
          </w:tcPr>
          <w:p>
            <w:pPr>
              <w:widowControl/>
              <w:jc w:val="center"/>
              <w:rPr>
                <w:rFonts w:cs="微软雅黑" w:asciiTheme="minorEastAsia" w:hAnsiTheme="minorEastAsia" w:eastAsiaTheme="minorEastAsia"/>
                <w:kern w:val="0"/>
                <w:szCs w:val="21"/>
              </w:rPr>
            </w:pPr>
          </w:p>
        </w:tc>
      </w:tr>
      <w:tr>
        <w:tblPrEx>
          <w:tblCellMar>
            <w:top w:w="0" w:type="dxa"/>
            <w:left w:w="108" w:type="dxa"/>
            <w:bottom w:w="0" w:type="dxa"/>
            <w:right w:w="108" w:type="dxa"/>
          </w:tblCellMar>
        </w:tblPrEx>
        <w:trPr>
          <w:trHeight w:val="567" w:hRule="atLeast"/>
          <w:jc w:val="center"/>
        </w:trPr>
        <w:tc>
          <w:tcPr>
            <w:tcW w:w="40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0</w:t>
            </w:r>
            <w:r>
              <w:rPr>
                <w:rFonts w:hint="eastAsia" w:cs="宋体" w:asciiTheme="minorEastAsia" w:hAnsiTheme="minorEastAsia" w:eastAsiaTheme="minorEastAsia"/>
                <w:kern w:val="0"/>
                <w:szCs w:val="21"/>
              </w:rPr>
              <w:t>8</w:t>
            </w:r>
          </w:p>
        </w:tc>
        <w:tc>
          <w:tcPr>
            <w:tcW w:w="1522"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UPS及EPS安装</w:t>
            </w: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pPr>
              <w:jc w:val="center"/>
              <w:rPr>
                <w:szCs w:val="21"/>
              </w:rPr>
            </w:pPr>
            <w:r>
              <w:rPr>
                <w:rFonts w:hint="eastAsia" w:cs="宋体" w:asciiTheme="minorEastAsia" w:hAnsiTheme="minorEastAsia" w:eastAsiaTheme="minorEastAsia"/>
                <w:kern w:val="0"/>
                <w:szCs w:val="21"/>
              </w:rPr>
              <w:t>●</w:t>
            </w:r>
          </w:p>
        </w:tc>
        <w:tc>
          <w:tcPr>
            <w:tcW w:w="508" w:type="pct"/>
            <w:tcBorders>
              <w:top w:val="nil"/>
              <w:left w:val="nil"/>
              <w:bottom w:val="single" w:color="auto" w:sz="4" w:space="0"/>
              <w:right w:val="single" w:color="auto" w:sz="4" w:space="0"/>
            </w:tcBorders>
            <w:shd w:val="clear" w:color="000000" w:fill="FFFFFF"/>
            <w:vAlign w:val="center"/>
          </w:tcPr>
          <w:p>
            <w:pPr>
              <w:widowControl/>
              <w:jc w:val="center"/>
              <w:rPr>
                <w:rFonts w:cs="微软雅黑" w:asciiTheme="minorEastAsia" w:hAnsiTheme="minorEastAsia" w:eastAsiaTheme="minorEastAsia"/>
                <w:kern w:val="0"/>
                <w:szCs w:val="21"/>
              </w:rPr>
            </w:pPr>
          </w:p>
        </w:tc>
      </w:tr>
      <w:tr>
        <w:tblPrEx>
          <w:tblCellMar>
            <w:top w:w="0" w:type="dxa"/>
            <w:left w:w="108" w:type="dxa"/>
            <w:bottom w:w="0" w:type="dxa"/>
            <w:right w:w="108" w:type="dxa"/>
          </w:tblCellMar>
        </w:tblPrEx>
        <w:trPr>
          <w:trHeight w:val="567" w:hRule="atLeast"/>
          <w:jc w:val="center"/>
        </w:trPr>
        <w:tc>
          <w:tcPr>
            <w:tcW w:w="40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0</w:t>
            </w:r>
            <w:r>
              <w:rPr>
                <w:rFonts w:hint="eastAsia" w:cs="宋体" w:asciiTheme="minorEastAsia" w:hAnsiTheme="minorEastAsia" w:eastAsiaTheme="minorEastAsia"/>
                <w:kern w:val="0"/>
                <w:szCs w:val="21"/>
              </w:rPr>
              <w:t>9</w:t>
            </w:r>
          </w:p>
        </w:tc>
        <w:tc>
          <w:tcPr>
            <w:tcW w:w="1522"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电气设备试验和试运行</w:t>
            </w: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508" w:type="pct"/>
            <w:tcBorders>
              <w:top w:val="nil"/>
              <w:left w:val="nil"/>
              <w:bottom w:val="single" w:color="auto" w:sz="4" w:space="0"/>
              <w:right w:val="single" w:color="auto" w:sz="4" w:space="0"/>
            </w:tcBorders>
            <w:shd w:val="clear" w:color="000000" w:fill="FFFFFF"/>
            <w:vAlign w:val="center"/>
          </w:tcPr>
          <w:p>
            <w:pPr>
              <w:widowControl/>
              <w:jc w:val="center"/>
              <w:rPr>
                <w:rFonts w:cs="微软雅黑" w:asciiTheme="minorEastAsia" w:hAnsiTheme="minorEastAsia" w:eastAsiaTheme="minorEastAsia"/>
                <w:kern w:val="0"/>
                <w:szCs w:val="21"/>
              </w:rPr>
            </w:pPr>
          </w:p>
        </w:tc>
      </w:tr>
      <w:tr>
        <w:tblPrEx>
          <w:tblCellMar>
            <w:top w:w="0" w:type="dxa"/>
            <w:left w:w="108" w:type="dxa"/>
            <w:bottom w:w="0" w:type="dxa"/>
            <w:right w:w="108" w:type="dxa"/>
          </w:tblCellMar>
        </w:tblPrEx>
        <w:trPr>
          <w:trHeight w:val="567" w:hRule="atLeast"/>
          <w:jc w:val="center"/>
        </w:trPr>
        <w:tc>
          <w:tcPr>
            <w:tcW w:w="40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1522"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母线槽安装</w:t>
            </w: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508" w:type="pct"/>
            <w:tcBorders>
              <w:top w:val="nil"/>
              <w:left w:val="nil"/>
              <w:bottom w:val="single" w:color="auto" w:sz="4" w:space="0"/>
              <w:right w:val="single" w:color="auto" w:sz="4" w:space="0"/>
            </w:tcBorders>
            <w:shd w:val="clear" w:color="000000" w:fill="FFFFFF"/>
            <w:vAlign w:val="center"/>
          </w:tcPr>
          <w:p>
            <w:pPr>
              <w:widowControl/>
              <w:jc w:val="center"/>
              <w:rPr>
                <w:rFonts w:cs="微软雅黑" w:asciiTheme="minorEastAsia" w:hAnsiTheme="minorEastAsia" w:eastAsiaTheme="minorEastAsia"/>
                <w:kern w:val="0"/>
                <w:szCs w:val="21"/>
              </w:rPr>
            </w:pPr>
          </w:p>
        </w:tc>
      </w:tr>
      <w:tr>
        <w:tblPrEx>
          <w:tblCellMar>
            <w:top w:w="0" w:type="dxa"/>
            <w:left w:w="108" w:type="dxa"/>
            <w:bottom w:w="0" w:type="dxa"/>
            <w:right w:w="108" w:type="dxa"/>
          </w:tblCellMar>
        </w:tblPrEx>
        <w:trPr>
          <w:trHeight w:val="567" w:hRule="atLeast"/>
          <w:jc w:val="center"/>
        </w:trPr>
        <w:tc>
          <w:tcPr>
            <w:tcW w:w="40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w:t>
            </w:r>
          </w:p>
        </w:tc>
        <w:tc>
          <w:tcPr>
            <w:tcW w:w="1522"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梯架、托盘和槽盒安装</w:t>
            </w:r>
          </w:p>
        </w:tc>
        <w:tc>
          <w:tcPr>
            <w:tcW w:w="427" w:type="pct"/>
            <w:tcBorders>
              <w:top w:val="nil"/>
              <w:left w:val="nil"/>
              <w:bottom w:val="single" w:color="auto" w:sz="4" w:space="0"/>
              <w:right w:val="single" w:color="auto" w:sz="4" w:space="0"/>
            </w:tcBorders>
            <w:shd w:val="clear" w:color="000000" w:fill="FFFFFF"/>
            <w:vAlign w:val="center"/>
          </w:tcPr>
          <w:p>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508" w:type="pct"/>
            <w:tcBorders>
              <w:top w:val="nil"/>
              <w:left w:val="nil"/>
              <w:bottom w:val="single" w:color="auto" w:sz="4" w:space="0"/>
              <w:right w:val="single" w:color="auto" w:sz="4" w:space="0"/>
            </w:tcBorders>
            <w:shd w:val="clear" w:color="000000" w:fill="FFFFFF"/>
            <w:vAlign w:val="center"/>
          </w:tcPr>
          <w:p>
            <w:pPr>
              <w:widowControl/>
              <w:jc w:val="center"/>
              <w:rPr>
                <w:rFonts w:cs="微软雅黑" w:asciiTheme="minorEastAsia" w:hAnsiTheme="minorEastAsia" w:eastAsiaTheme="minorEastAsia"/>
                <w:kern w:val="0"/>
                <w:szCs w:val="21"/>
              </w:rPr>
            </w:pPr>
          </w:p>
        </w:tc>
      </w:tr>
      <w:tr>
        <w:tblPrEx>
          <w:tblCellMar>
            <w:top w:w="0" w:type="dxa"/>
            <w:left w:w="108" w:type="dxa"/>
            <w:bottom w:w="0" w:type="dxa"/>
            <w:right w:w="108" w:type="dxa"/>
          </w:tblCellMar>
        </w:tblPrEx>
        <w:trPr>
          <w:trHeight w:val="567" w:hRule="atLeast"/>
          <w:jc w:val="center"/>
        </w:trPr>
        <w:tc>
          <w:tcPr>
            <w:tcW w:w="40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w:t>
            </w:r>
          </w:p>
        </w:tc>
        <w:tc>
          <w:tcPr>
            <w:tcW w:w="1522"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导管敷设</w:t>
            </w:r>
          </w:p>
        </w:tc>
        <w:tc>
          <w:tcPr>
            <w:tcW w:w="427" w:type="pct"/>
            <w:tcBorders>
              <w:top w:val="nil"/>
              <w:left w:val="nil"/>
              <w:bottom w:val="single" w:color="auto" w:sz="4" w:space="0"/>
              <w:right w:val="single" w:color="auto" w:sz="4" w:space="0"/>
            </w:tcBorders>
            <w:shd w:val="clear" w:color="000000" w:fill="FFFFFF"/>
            <w:vAlign w:val="center"/>
          </w:tcPr>
          <w:p>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pPr>
              <w:jc w:val="center"/>
              <w:rPr>
                <w:szCs w:val="21"/>
              </w:rPr>
            </w:pPr>
          </w:p>
        </w:tc>
        <w:tc>
          <w:tcPr>
            <w:tcW w:w="427" w:type="pct"/>
            <w:tcBorders>
              <w:top w:val="nil"/>
              <w:left w:val="nil"/>
              <w:bottom w:val="single" w:color="auto" w:sz="4" w:space="0"/>
              <w:right w:val="single" w:color="auto" w:sz="4" w:space="0"/>
            </w:tcBorders>
            <w:shd w:val="clear" w:color="000000" w:fill="FFFFFF"/>
            <w:vAlign w:val="center"/>
          </w:tcPr>
          <w:p>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pPr>
              <w:jc w:val="center"/>
              <w:rPr>
                <w:szCs w:val="21"/>
              </w:rPr>
            </w:pPr>
            <w:r>
              <w:rPr>
                <w:rFonts w:hint="eastAsia" w:cs="宋体" w:asciiTheme="minorEastAsia" w:hAnsiTheme="minorEastAsia" w:eastAsiaTheme="minorEastAsia"/>
                <w:kern w:val="0"/>
                <w:szCs w:val="21"/>
              </w:rPr>
              <w:t>●</w:t>
            </w:r>
          </w:p>
        </w:tc>
        <w:tc>
          <w:tcPr>
            <w:tcW w:w="508" w:type="pct"/>
            <w:tcBorders>
              <w:top w:val="nil"/>
              <w:left w:val="nil"/>
              <w:bottom w:val="single" w:color="auto" w:sz="4" w:space="0"/>
              <w:right w:val="single" w:color="auto" w:sz="4" w:space="0"/>
            </w:tcBorders>
            <w:shd w:val="clear" w:color="000000" w:fill="FFFFFF"/>
            <w:vAlign w:val="center"/>
          </w:tcPr>
          <w:p>
            <w:pPr>
              <w:widowControl/>
              <w:jc w:val="center"/>
              <w:rPr>
                <w:rFonts w:cs="微软雅黑" w:asciiTheme="minorEastAsia" w:hAnsiTheme="minorEastAsia" w:eastAsiaTheme="minorEastAsia"/>
                <w:kern w:val="0"/>
                <w:szCs w:val="21"/>
              </w:rPr>
            </w:pPr>
          </w:p>
        </w:tc>
      </w:tr>
      <w:tr>
        <w:tblPrEx>
          <w:tblCellMar>
            <w:top w:w="0" w:type="dxa"/>
            <w:left w:w="108" w:type="dxa"/>
            <w:bottom w:w="0" w:type="dxa"/>
            <w:right w:w="108" w:type="dxa"/>
          </w:tblCellMar>
        </w:tblPrEx>
        <w:trPr>
          <w:trHeight w:val="567" w:hRule="atLeast"/>
          <w:jc w:val="center"/>
        </w:trPr>
        <w:tc>
          <w:tcPr>
            <w:tcW w:w="40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13</w:t>
            </w:r>
          </w:p>
        </w:tc>
        <w:tc>
          <w:tcPr>
            <w:tcW w:w="1522"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电缆敷设</w:t>
            </w:r>
          </w:p>
        </w:tc>
        <w:tc>
          <w:tcPr>
            <w:tcW w:w="427" w:type="pct"/>
            <w:tcBorders>
              <w:top w:val="nil"/>
              <w:left w:val="nil"/>
              <w:bottom w:val="single" w:color="auto" w:sz="4" w:space="0"/>
              <w:right w:val="single" w:color="auto" w:sz="4" w:space="0"/>
            </w:tcBorders>
            <w:shd w:val="clear" w:color="000000" w:fill="FFFFFF"/>
            <w:vAlign w:val="center"/>
          </w:tcPr>
          <w:p>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pPr>
              <w:jc w:val="center"/>
              <w:rPr>
                <w:szCs w:val="21"/>
              </w:rPr>
            </w:pPr>
            <w:r>
              <w:rPr>
                <w:rFonts w:hint="eastAsia" w:cs="宋体" w:asciiTheme="minorEastAsia" w:hAnsiTheme="minorEastAsia" w:eastAsiaTheme="minorEastAsia"/>
                <w:kern w:val="0"/>
                <w:szCs w:val="21"/>
              </w:rPr>
              <w:t>●</w:t>
            </w:r>
          </w:p>
        </w:tc>
        <w:tc>
          <w:tcPr>
            <w:tcW w:w="508"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567" w:hRule="atLeast"/>
          <w:jc w:val="center"/>
        </w:trPr>
        <w:tc>
          <w:tcPr>
            <w:tcW w:w="40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14</w:t>
            </w:r>
          </w:p>
        </w:tc>
        <w:tc>
          <w:tcPr>
            <w:tcW w:w="1522"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管内穿线和槽盒内敷线</w:t>
            </w:r>
          </w:p>
        </w:tc>
        <w:tc>
          <w:tcPr>
            <w:tcW w:w="427" w:type="pct"/>
            <w:tcBorders>
              <w:top w:val="nil"/>
              <w:left w:val="nil"/>
              <w:bottom w:val="single" w:color="auto" w:sz="4" w:space="0"/>
              <w:right w:val="single" w:color="auto" w:sz="4" w:space="0"/>
            </w:tcBorders>
            <w:shd w:val="clear" w:color="000000" w:fill="FFFFFF"/>
            <w:vAlign w:val="center"/>
          </w:tcPr>
          <w:p>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pPr>
              <w:jc w:val="center"/>
              <w:rPr>
                <w:szCs w:val="21"/>
              </w:rPr>
            </w:pPr>
          </w:p>
        </w:tc>
        <w:tc>
          <w:tcPr>
            <w:tcW w:w="427" w:type="pct"/>
            <w:tcBorders>
              <w:top w:val="nil"/>
              <w:left w:val="nil"/>
              <w:bottom w:val="single" w:color="auto" w:sz="4" w:space="0"/>
              <w:right w:val="single" w:color="auto" w:sz="4" w:space="0"/>
            </w:tcBorders>
            <w:shd w:val="clear" w:color="000000" w:fill="FFFFFF"/>
            <w:vAlign w:val="center"/>
          </w:tcPr>
          <w:p>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pPr>
              <w:jc w:val="center"/>
              <w:rPr>
                <w:szCs w:val="21"/>
              </w:rPr>
            </w:pPr>
            <w:r>
              <w:rPr>
                <w:rFonts w:hint="eastAsia" w:cs="宋体" w:asciiTheme="minorEastAsia" w:hAnsiTheme="minorEastAsia" w:eastAsiaTheme="minorEastAsia"/>
                <w:kern w:val="0"/>
                <w:szCs w:val="21"/>
              </w:rPr>
              <w:t>●</w:t>
            </w:r>
          </w:p>
        </w:tc>
        <w:tc>
          <w:tcPr>
            <w:tcW w:w="508"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567" w:hRule="atLeast"/>
          <w:jc w:val="center"/>
        </w:trPr>
        <w:tc>
          <w:tcPr>
            <w:tcW w:w="40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w:t>
            </w:r>
          </w:p>
        </w:tc>
        <w:tc>
          <w:tcPr>
            <w:tcW w:w="1522"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塑料护套线直敷布线</w:t>
            </w: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508"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567" w:hRule="atLeast"/>
          <w:jc w:val="center"/>
        </w:trPr>
        <w:tc>
          <w:tcPr>
            <w:tcW w:w="40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16</w:t>
            </w:r>
          </w:p>
        </w:tc>
        <w:tc>
          <w:tcPr>
            <w:tcW w:w="1522"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钢索配线</w:t>
            </w: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508"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567" w:hRule="atLeast"/>
          <w:jc w:val="center"/>
        </w:trPr>
        <w:tc>
          <w:tcPr>
            <w:tcW w:w="40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17</w:t>
            </w:r>
          </w:p>
        </w:tc>
        <w:tc>
          <w:tcPr>
            <w:tcW w:w="1522"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电缆头制作、导线连接和 线路绝缘测试</w:t>
            </w:r>
          </w:p>
        </w:tc>
        <w:tc>
          <w:tcPr>
            <w:tcW w:w="427" w:type="pct"/>
            <w:tcBorders>
              <w:top w:val="nil"/>
              <w:left w:val="nil"/>
              <w:bottom w:val="single" w:color="auto" w:sz="4" w:space="0"/>
              <w:right w:val="single" w:color="auto" w:sz="4" w:space="0"/>
            </w:tcBorders>
            <w:shd w:val="clear" w:color="000000" w:fill="FFFFFF"/>
            <w:vAlign w:val="center"/>
          </w:tcPr>
          <w:p>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pPr>
              <w:jc w:val="center"/>
              <w:rPr>
                <w:szCs w:val="21"/>
              </w:rPr>
            </w:pPr>
            <w:r>
              <w:rPr>
                <w:rFonts w:hint="eastAsia" w:cs="宋体" w:asciiTheme="minorEastAsia" w:hAnsiTheme="minorEastAsia" w:eastAsiaTheme="minorEastAsia"/>
                <w:kern w:val="0"/>
                <w:szCs w:val="21"/>
              </w:rPr>
              <w:t>●</w:t>
            </w:r>
          </w:p>
        </w:tc>
        <w:tc>
          <w:tcPr>
            <w:tcW w:w="508"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567" w:hRule="atLeast"/>
          <w:jc w:val="center"/>
        </w:trPr>
        <w:tc>
          <w:tcPr>
            <w:tcW w:w="40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8</w:t>
            </w:r>
          </w:p>
        </w:tc>
        <w:tc>
          <w:tcPr>
            <w:tcW w:w="1522"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普通灯具安装</w:t>
            </w:r>
          </w:p>
        </w:tc>
        <w:tc>
          <w:tcPr>
            <w:tcW w:w="427" w:type="pct"/>
            <w:tcBorders>
              <w:top w:val="nil"/>
              <w:left w:val="nil"/>
              <w:bottom w:val="single" w:color="auto" w:sz="4" w:space="0"/>
              <w:right w:val="single" w:color="auto" w:sz="4" w:space="0"/>
            </w:tcBorders>
            <w:shd w:val="clear" w:color="000000" w:fill="FFFFFF"/>
            <w:vAlign w:val="center"/>
          </w:tcPr>
          <w:p>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508"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567" w:hRule="atLeast"/>
          <w:jc w:val="center"/>
        </w:trPr>
        <w:tc>
          <w:tcPr>
            <w:tcW w:w="40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9</w:t>
            </w:r>
          </w:p>
        </w:tc>
        <w:tc>
          <w:tcPr>
            <w:tcW w:w="1522"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专用灯具安装</w:t>
            </w:r>
          </w:p>
        </w:tc>
        <w:tc>
          <w:tcPr>
            <w:tcW w:w="427" w:type="pct"/>
            <w:tcBorders>
              <w:top w:val="nil"/>
              <w:left w:val="nil"/>
              <w:bottom w:val="single" w:color="auto" w:sz="4" w:space="0"/>
              <w:right w:val="single" w:color="auto" w:sz="4" w:space="0"/>
            </w:tcBorders>
            <w:shd w:val="clear" w:color="000000" w:fill="FFFFFF"/>
            <w:vAlign w:val="center"/>
          </w:tcPr>
          <w:p>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508"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567" w:hRule="atLeast"/>
          <w:jc w:val="center"/>
        </w:trPr>
        <w:tc>
          <w:tcPr>
            <w:tcW w:w="40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0</w:t>
            </w:r>
          </w:p>
        </w:tc>
        <w:tc>
          <w:tcPr>
            <w:tcW w:w="1522"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开关、插座、风扇安装</w:t>
            </w: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508"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567" w:hRule="atLeast"/>
          <w:jc w:val="center"/>
        </w:trPr>
        <w:tc>
          <w:tcPr>
            <w:tcW w:w="40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1</w:t>
            </w:r>
          </w:p>
        </w:tc>
        <w:tc>
          <w:tcPr>
            <w:tcW w:w="1522"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建筑物照明通电试运行</w:t>
            </w: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508"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567" w:hRule="atLeast"/>
          <w:jc w:val="center"/>
        </w:trPr>
        <w:tc>
          <w:tcPr>
            <w:tcW w:w="40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2</w:t>
            </w:r>
          </w:p>
        </w:tc>
        <w:tc>
          <w:tcPr>
            <w:tcW w:w="1522"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接地装置安装</w:t>
            </w:r>
          </w:p>
        </w:tc>
        <w:tc>
          <w:tcPr>
            <w:tcW w:w="427" w:type="pct"/>
            <w:tcBorders>
              <w:top w:val="nil"/>
              <w:left w:val="nil"/>
              <w:bottom w:val="single" w:color="auto" w:sz="4" w:space="0"/>
              <w:right w:val="single" w:color="auto" w:sz="4" w:space="0"/>
            </w:tcBorders>
            <w:shd w:val="clear" w:color="000000" w:fill="FFFFFF"/>
            <w:vAlign w:val="center"/>
          </w:tcPr>
          <w:p>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pPr>
              <w:jc w:val="center"/>
              <w:rPr>
                <w:szCs w:val="21"/>
              </w:rPr>
            </w:pPr>
            <w:r>
              <w:rPr>
                <w:rFonts w:hint="eastAsia" w:cs="宋体" w:asciiTheme="minorEastAsia" w:hAnsiTheme="minorEastAsia" w:eastAsiaTheme="minorEastAsia"/>
                <w:kern w:val="0"/>
                <w:szCs w:val="21"/>
              </w:rPr>
              <w:t>●</w:t>
            </w:r>
          </w:p>
        </w:tc>
        <w:tc>
          <w:tcPr>
            <w:tcW w:w="508" w:type="pct"/>
            <w:tcBorders>
              <w:top w:val="nil"/>
              <w:left w:val="nil"/>
              <w:bottom w:val="single" w:color="auto" w:sz="4" w:space="0"/>
              <w:right w:val="single" w:color="auto" w:sz="4" w:space="0"/>
            </w:tcBorders>
            <w:shd w:val="clear" w:color="000000" w:fill="FFFFFF"/>
            <w:vAlign w:val="center"/>
          </w:tcPr>
          <w:p>
            <w:pPr>
              <w:jc w:val="center"/>
              <w:rPr>
                <w:szCs w:val="21"/>
              </w:rPr>
            </w:pPr>
            <w:r>
              <w:rPr>
                <w:rFonts w:hint="eastAsia" w:cs="宋体" w:asciiTheme="minorEastAsia" w:hAnsiTheme="minorEastAsia" w:eastAsiaTheme="minorEastAsia"/>
                <w:kern w:val="0"/>
                <w:szCs w:val="21"/>
              </w:rPr>
              <w:t>●</w:t>
            </w:r>
          </w:p>
        </w:tc>
      </w:tr>
      <w:tr>
        <w:tblPrEx>
          <w:tblCellMar>
            <w:top w:w="0" w:type="dxa"/>
            <w:left w:w="108" w:type="dxa"/>
            <w:bottom w:w="0" w:type="dxa"/>
            <w:right w:w="108" w:type="dxa"/>
          </w:tblCellMar>
        </w:tblPrEx>
        <w:trPr>
          <w:trHeight w:val="567" w:hRule="atLeast"/>
          <w:jc w:val="center"/>
        </w:trPr>
        <w:tc>
          <w:tcPr>
            <w:tcW w:w="40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3</w:t>
            </w:r>
          </w:p>
        </w:tc>
        <w:tc>
          <w:tcPr>
            <w:tcW w:w="1522"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变配电室及电气竖井</w:t>
            </w:r>
            <w:r>
              <w:rPr>
                <w:rFonts w:cs="宋体" w:asciiTheme="minorEastAsia" w:hAnsiTheme="minorEastAsia" w:eastAsiaTheme="minorEastAsia"/>
                <w:kern w:val="0"/>
                <w:szCs w:val="21"/>
              </w:rPr>
              <w:t>接地干线敷设</w:t>
            </w: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pPr>
              <w:jc w:val="center"/>
              <w:rPr>
                <w:szCs w:val="21"/>
              </w:rPr>
            </w:pPr>
            <w:r>
              <w:rPr>
                <w:rFonts w:hint="eastAsia" w:cs="宋体" w:asciiTheme="minorEastAsia" w:hAnsiTheme="minorEastAsia" w:eastAsiaTheme="minorEastAsia"/>
                <w:kern w:val="0"/>
                <w:szCs w:val="21"/>
              </w:rPr>
              <w:t>●</w:t>
            </w: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508"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567" w:hRule="atLeast"/>
          <w:jc w:val="center"/>
        </w:trPr>
        <w:tc>
          <w:tcPr>
            <w:tcW w:w="40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4</w:t>
            </w:r>
          </w:p>
        </w:tc>
        <w:tc>
          <w:tcPr>
            <w:tcW w:w="1522"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防雷引下线及接闪器安装</w:t>
            </w: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508" w:type="pct"/>
            <w:tcBorders>
              <w:top w:val="nil"/>
              <w:left w:val="nil"/>
              <w:bottom w:val="single" w:color="auto" w:sz="4" w:space="0"/>
              <w:right w:val="single" w:color="auto" w:sz="4" w:space="0"/>
            </w:tcBorders>
            <w:shd w:val="clear" w:color="000000" w:fill="FFFFFF"/>
            <w:vAlign w:val="center"/>
          </w:tcPr>
          <w:p>
            <w:pPr>
              <w:jc w:val="center"/>
              <w:rPr>
                <w:szCs w:val="21"/>
              </w:rPr>
            </w:pPr>
            <w:r>
              <w:rPr>
                <w:rFonts w:hint="eastAsia" w:cs="宋体" w:asciiTheme="minorEastAsia" w:hAnsiTheme="minorEastAsia" w:eastAsiaTheme="minorEastAsia"/>
                <w:kern w:val="0"/>
                <w:szCs w:val="21"/>
              </w:rPr>
              <w:t>●</w:t>
            </w:r>
          </w:p>
        </w:tc>
      </w:tr>
      <w:tr>
        <w:tblPrEx>
          <w:tblCellMar>
            <w:top w:w="0" w:type="dxa"/>
            <w:left w:w="108" w:type="dxa"/>
            <w:bottom w:w="0" w:type="dxa"/>
            <w:right w:w="108" w:type="dxa"/>
          </w:tblCellMar>
        </w:tblPrEx>
        <w:trPr>
          <w:trHeight w:val="567" w:hRule="atLeast"/>
          <w:jc w:val="center"/>
        </w:trPr>
        <w:tc>
          <w:tcPr>
            <w:tcW w:w="40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5</w:t>
            </w:r>
          </w:p>
        </w:tc>
        <w:tc>
          <w:tcPr>
            <w:tcW w:w="1522"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建筑物等电位联结</w:t>
            </w: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427" w:type="pct"/>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p>
        </w:tc>
        <w:tc>
          <w:tcPr>
            <w:tcW w:w="508" w:type="pct"/>
            <w:tcBorders>
              <w:top w:val="nil"/>
              <w:left w:val="nil"/>
              <w:bottom w:val="single" w:color="auto" w:sz="4" w:space="0"/>
              <w:right w:val="single" w:color="auto" w:sz="4" w:space="0"/>
            </w:tcBorders>
            <w:shd w:val="clear" w:color="000000" w:fill="FFFFFF"/>
            <w:vAlign w:val="center"/>
          </w:tcPr>
          <w:p>
            <w:pPr>
              <w:jc w:val="center"/>
              <w:rPr>
                <w:szCs w:val="21"/>
              </w:rPr>
            </w:pPr>
            <w:r>
              <w:rPr>
                <w:rFonts w:hint="eastAsia" w:cs="宋体" w:asciiTheme="minorEastAsia" w:hAnsiTheme="minorEastAsia" w:eastAsiaTheme="minorEastAsia"/>
                <w:kern w:val="0"/>
                <w:szCs w:val="21"/>
              </w:rPr>
              <w:t>●</w:t>
            </w:r>
          </w:p>
        </w:tc>
      </w:tr>
    </w:tbl>
    <w:p>
      <w:pPr>
        <w:widowControl/>
        <w:spacing w:before="120" w:beforeLines="50" w:after="120" w:afterLines="50"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注</w:t>
      </w:r>
      <w:r>
        <w:rPr>
          <w:rFonts w:hint="eastAsia" w:cs="宋体" w:asciiTheme="minorEastAsia" w:hAnsiTheme="minorEastAsia" w:eastAsiaTheme="minorEastAsia"/>
          <w:color w:val="000000"/>
          <w:kern w:val="0"/>
          <w:szCs w:val="21"/>
        </w:rPr>
        <w:t>：</w:t>
      </w:r>
      <w:r>
        <w:rPr>
          <w:rFonts w:cs="宋体" w:asciiTheme="minorEastAsia" w:hAnsiTheme="minorEastAsia" w:eastAsiaTheme="minorEastAsia"/>
          <w:kern w:val="0"/>
          <w:szCs w:val="21"/>
        </w:rPr>
        <w:t>1本表有</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符号者为该子分部工程所含的分项工程</w:t>
      </w:r>
      <w:r>
        <w:rPr>
          <w:rFonts w:hint="eastAsia" w:cs="宋体" w:asciiTheme="minorEastAsia" w:hAnsiTheme="minorEastAsia" w:eastAsiaTheme="minorEastAsia"/>
          <w:color w:val="000000"/>
          <w:kern w:val="0"/>
          <w:szCs w:val="21"/>
        </w:rPr>
        <w:t>；</w:t>
      </w:r>
    </w:p>
    <w:p>
      <w:pPr>
        <w:widowControl/>
        <w:spacing w:before="120" w:beforeLines="50" w:after="120" w:afterLines="50" w:line="360" w:lineRule="auto"/>
        <w:ind w:firstLine="283" w:firstLineChars="135"/>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2每个分项工程</w:t>
      </w:r>
      <w:r>
        <w:rPr>
          <w:rFonts w:cs="宋体" w:asciiTheme="minorEastAsia" w:hAnsiTheme="minorEastAsia" w:eastAsiaTheme="minorEastAsia"/>
          <w:color w:val="000000"/>
          <w:kern w:val="0"/>
          <w:szCs w:val="21"/>
        </w:rPr>
        <w:t>至少含1个</w:t>
      </w:r>
      <w:r>
        <w:rPr>
          <w:rFonts w:cs="宋体" w:asciiTheme="minorEastAsia" w:hAnsiTheme="minorEastAsia" w:eastAsiaTheme="minorEastAsia"/>
          <w:kern w:val="0"/>
          <w:szCs w:val="21"/>
        </w:rPr>
        <w:t>检验批。</w:t>
      </w:r>
    </w:p>
    <w:p>
      <w:pPr>
        <w:widowControl/>
        <w:spacing w:line="280" w:lineRule="exact"/>
        <w:ind w:firstLine="283" w:firstLineChars="135"/>
        <w:jc w:val="left"/>
        <w:rPr>
          <w:rFonts w:cs="宋体" w:asciiTheme="minorEastAsia" w:hAnsiTheme="minorEastAsia" w:eastAsiaTheme="minorEastAsia"/>
          <w:kern w:val="0"/>
          <w:szCs w:val="21"/>
        </w:rPr>
      </w:pPr>
    </w:p>
    <w:p>
      <w:pPr>
        <w:widowControl/>
        <w:spacing w:line="280" w:lineRule="exact"/>
        <w:ind w:firstLine="283" w:firstLineChars="135"/>
        <w:jc w:val="left"/>
        <w:rPr>
          <w:rFonts w:cs="宋体" w:asciiTheme="minorEastAsia" w:hAnsiTheme="minorEastAsia" w:eastAsiaTheme="minorEastAsia"/>
          <w:kern w:val="0"/>
          <w:szCs w:val="21"/>
        </w:rPr>
      </w:pPr>
    </w:p>
    <w:p>
      <w:pPr>
        <w:widowControl/>
        <w:spacing w:line="280" w:lineRule="exact"/>
        <w:ind w:firstLine="283" w:firstLineChars="135"/>
        <w:jc w:val="left"/>
        <w:rPr>
          <w:rFonts w:cs="宋体" w:asciiTheme="minorEastAsia" w:hAnsiTheme="minorEastAsia" w:eastAsiaTheme="minorEastAsia"/>
          <w:kern w:val="0"/>
          <w:szCs w:val="21"/>
        </w:rPr>
      </w:pPr>
    </w:p>
    <w:p>
      <w:pPr>
        <w:widowControl/>
        <w:spacing w:line="280" w:lineRule="exact"/>
        <w:ind w:firstLine="283" w:firstLineChars="135"/>
        <w:jc w:val="left"/>
        <w:rPr>
          <w:rFonts w:cs="宋体" w:asciiTheme="minorEastAsia" w:hAnsiTheme="minorEastAsia" w:eastAsiaTheme="minorEastAsia"/>
          <w:kern w:val="0"/>
          <w:szCs w:val="21"/>
        </w:rPr>
      </w:pPr>
    </w:p>
    <w:p>
      <w:pPr>
        <w:widowControl/>
        <w:spacing w:line="280" w:lineRule="exact"/>
        <w:ind w:firstLine="283" w:firstLineChars="135"/>
        <w:jc w:val="left"/>
        <w:rPr>
          <w:rFonts w:cs="宋体" w:asciiTheme="minorEastAsia" w:hAnsiTheme="minorEastAsia" w:eastAsiaTheme="minorEastAsia"/>
          <w:kern w:val="0"/>
          <w:szCs w:val="21"/>
        </w:rPr>
      </w:pPr>
    </w:p>
    <w:p>
      <w:pPr>
        <w:widowControl/>
        <w:spacing w:line="280" w:lineRule="exact"/>
        <w:ind w:firstLine="283" w:firstLineChars="135"/>
        <w:jc w:val="left"/>
        <w:rPr>
          <w:rFonts w:cs="宋体" w:asciiTheme="minorEastAsia" w:hAnsiTheme="minorEastAsia" w:eastAsiaTheme="minorEastAsia"/>
          <w:kern w:val="0"/>
          <w:szCs w:val="21"/>
        </w:rPr>
      </w:pPr>
    </w:p>
    <w:p>
      <w:pPr>
        <w:widowControl/>
        <w:spacing w:line="280" w:lineRule="exact"/>
        <w:ind w:firstLine="283" w:firstLineChars="135"/>
        <w:jc w:val="left"/>
        <w:rPr>
          <w:rFonts w:cs="宋体" w:asciiTheme="minorEastAsia" w:hAnsiTheme="minorEastAsia" w:eastAsiaTheme="minorEastAsia"/>
          <w:kern w:val="0"/>
          <w:szCs w:val="21"/>
        </w:rPr>
      </w:pPr>
    </w:p>
    <w:p>
      <w:pPr>
        <w:widowControl/>
        <w:spacing w:line="280" w:lineRule="exact"/>
        <w:ind w:firstLine="283" w:firstLineChars="135"/>
        <w:jc w:val="left"/>
        <w:rPr>
          <w:rFonts w:cs="宋体" w:asciiTheme="minorEastAsia" w:hAnsiTheme="minorEastAsia" w:eastAsiaTheme="minorEastAsia"/>
          <w:kern w:val="0"/>
          <w:szCs w:val="21"/>
        </w:rPr>
      </w:pPr>
    </w:p>
    <w:p>
      <w:pPr>
        <w:widowControl/>
        <w:spacing w:line="280" w:lineRule="exact"/>
        <w:ind w:firstLine="283" w:firstLineChars="135"/>
        <w:jc w:val="left"/>
        <w:rPr>
          <w:rFonts w:cs="宋体" w:asciiTheme="minorEastAsia" w:hAnsiTheme="minorEastAsia" w:eastAsiaTheme="minorEastAsia"/>
          <w:kern w:val="0"/>
          <w:szCs w:val="21"/>
        </w:rPr>
      </w:pPr>
    </w:p>
    <w:p>
      <w:pPr>
        <w:widowControl/>
        <w:spacing w:line="280" w:lineRule="exact"/>
        <w:ind w:firstLine="283" w:firstLineChars="135"/>
        <w:jc w:val="left"/>
        <w:rPr>
          <w:rFonts w:cs="宋体" w:asciiTheme="minorEastAsia" w:hAnsiTheme="minorEastAsia" w:eastAsiaTheme="minorEastAsia"/>
          <w:kern w:val="0"/>
          <w:szCs w:val="21"/>
        </w:rPr>
      </w:pPr>
    </w:p>
    <w:p>
      <w:pPr>
        <w:widowControl/>
        <w:spacing w:line="280" w:lineRule="exact"/>
        <w:ind w:firstLine="283" w:firstLineChars="135"/>
        <w:jc w:val="left"/>
        <w:rPr>
          <w:rFonts w:cs="宋体" w:asciiTheme="minorEastAsia" w:hAnsiTheme="minorEastAsia" w:eastAsiaTheme="minorEastAsia"/>
          <w:kern w:val="0"/>
          <w:szCs w:val="21"/>
        </w:rPr>
      </w:pPr>
    </w:p>
    <w:p>
      <w:pPr>
        <w:widowControl/>
        <w:spacing w:line="280" w:lineRule="exact"/>
        <w:ind w:firstLine="283" w:firstLineChars="135"/>
        <w:jc w:val="left"/>
        <w:rPr>
          <w:rFonts w:cs="宋体" w:asciiTheme="minorEastAsia" w:hAnsiTheme="minorEastAsia" w:eastAsiaTheme="minorEastAsia"/>
          <w:kern w:val="0"/>
          <w:szCs w:val="21"/>
        </w:rPr>
      </w:pPr>
    </w:p>
    <w:p>
      <w:pPr>
        <w:widowControl/>
        <w:spacing w:line="280" w:lineRule="exact"/>
        <w:ind w:firstLine="283" w:firstLineChars="135"/>
        <w:jc w:val="left"/>
        <w:rPr>
          <w:rFonts w:cs="宋体" w:asciiTheme="minorEastAsia" w:hAnsiTheme="minorEastAsia" w:eastAsiaTheme="minorEastAsia"/>
          <w:kern w:val="0"/>
          <w:szCs w:val="21"/>
        </w:rPr>
      </w:pPr>
    </w:p>
    <w:p>
      <w:pPr>
        <w:widowControl/>
        <w:spacing w:line="280" w:lineRule="exact"/>
        <w:ind w:firstLine="283" w:firstLineChars="135"/>
        <w:jc w:val="left"/>
        <w:rPr>
          <w:rFonts w:cs="宋体" w:asciiTheme="minorEastAsia" w:hAnsiTheme="minorEastAsia" w:eastAsiaTheme="minorEastAsia"/>
          <w:kern w:val="0"/>
          <w:szCs w:val="21"/>
        </w:rPr>
      </w:pPr>
    </w:p>
    <w:p>
      <w:pPr>
        <w:widowControl/>
        <w:spacing w:line="280" w:lineRule="exact"/>
        <w:ind w:firstLine="283" w:firstLineChars="135"/>
        <w:jc w:val="left"/>
        <w:rPr>
          <w:rFonts w:cs="宋体" w:asciiTheme="minorEastAsia" w:hAnsiTheme="minorEastAsia" w:eastAsiaTheme="minorEastAsia"/>
          <w:kern w:val="0"/>
          <w:szCs w:val="21"/>
        </w:rPr>
      </w:pPr>
    </w:p>
    <w:p>
      <w:pPr>
        <w:widowControl/>
        <w:spacing w:line="280" w:lineRule="exact"/>
        <w:ind w:firstLine="283" w:firstLineChars="135"/>
        <w:jc w:val="left"/>
        <w:rPr>
          <w:rFonts w:cs="宋体" w:asciiTheme="minorEastAsia" w:hAnsiTheme="minorEastAsia" w:eastAsiaTheme="minorEastAsia"/>
          <w:kern w:val="0"/>
          <w:szCs w:val="21"/>
        </w:rPr>
      </w:pPr>
    </w:p>
    <w:p>
      <w:pPr>
        <w:widowControl/>
        <w:spacing w:line="280" w:lineRule="exact"/>
        <w:ind w:firstLine="283" w:firstLineChars="135"/>
        <w:jc w:val="left"/>
        <w:rPr>
          <w:rFonts w:cs="宋体" w:asciiTheme="minorEastAsia" w:hAnsiTheme="minorEastAsia" w:eastAsiaTheme="minorEastAsia"/>
          <w:kern w:val="0"/>
          <w:szCs w:val="21"/>
        </w:rPr>
      </w:pPr>
    </w:p>
    <w:p>
      <w:pPr>
        <w:widowControl/>
        <w:spacing w:line="280" w:lineRule="exact"/>
        <w:ind w:firstLine="283" w:firstLineChars="135"/>
        <w:jc w:val="left"/>
        <w:rPr>
          <w:rFonts w:cs="宋体" w:asciiTheme="minorEastAsia" w:hAnsiTheme="minorEastAsia" w:eastAsiaTheme="minorEastAsia"/>
          <w:kern w:val="0"/>
          <w:szCs w:val="21"/>
        </w:rPr>
      </w:pPr>
    </w:p>
    <w:p>
      <w:pPr>
        <w:widowControl/>
        <w:spacing w:line="280" w:lineRule="exact"/>
        <w:ind w:firstLine="283" w:firstLineChars="135"/>
        <w:jc w:val="left"/>
        <w:rPr>
          <w:rFonts w:cs="宋体" w:asciiTheme="minorEastAsia" w:hAnsiTheme="minorEastAsia" w:eastAsiaTheme="minorEastAsia"/>
          <w:kern w:val="0"/>
          <w:szCs w:val="21"/>
        </w:rPr>
      </w:pPr>
    </w:p>
    <w:p>
      <w:pPr>
        <w:widowControl/>
        <w:spacing w:line="280" w:lineRule="exact"/>
        <w:ind w:firstLine="283" w:firstLineChars="135"/>
        <w:jc w:val="left"/>
        <w:rPr>
          <w:rFonts w:cs="宋体" w:asciiTheme="minorEastAsia" w:hAnsiTheme="minorEastAsia" w:eastAsiaTheme="minorEastAsia"/>
          <w:kern w:val="0"/>
          <w:szCs w:val="21"/>
        </w:rPr>
      </w:pPr>
    </w:p>
    <w:p>
      <w:pPr>
        <w:widowControl/>
        <w:spacing w:line="280" w:lineRule="exact"/>
        <w:ind w:firstLine="283" w:firstLineChars="135"/>
        <w:jc w:val="left"/>
        <w:rPr>
          <w:rFonts w:cs="宋体" w:asciiTheme="minorEastAsia" w:hAnsiTheme="minorEastAsia" w:eastAsiaTheme="minorEastAsia"/>
          <w:kern w:val="0"/>
          <w:szCs w:val="21"/>
        </w:rPr>
      </w:pPr>
    </w:p>
    <w:p>
      <w:pPr>
        <w:widowControl/>
        <w:spacing w:line="280" w:lineRule="exact"/>
        <w:ind w:firstLine="283" w:firstLineChars="135"/>
        <w:jc w:val="left"/>
        <w:rPr>
          <w:rFonts w:cs="宋体" w:asciiTheme="minorEastAsia" w:hAnsiTheme="minorEastAsia" w:eastAsiaTheme="minorEastAsia"/>
          <w:kern w:val="0"/>
          <w:szCs w:val="21"/>
        </w:rPr>
      </w:pPr>
    </w:p>
    <w:p>
      <w:pPr>
        <w:widowControl/>
        <w:spacing w:line="280" w:lineRule="exact"/>
        <w:ind w:firstLine="283" w:firstLineChars="135"/>
        <w:jc w:val="left"/>
        <w:rPr>
          <w:rFonts w:cs="宋体" w:asciiTheme="minorEastAsia" w:hAnsiTheme="minorEastAsia" w:eastAsiaTheme="minorEastAsia"/>
          <w:kern w:val="0"/>
          <w:szCs w:val="21"/>
        </w:rPr>
      </w:pPr>
    </w:p>
    <w:p>
      <w:pPr>
        <w:widowControl/>
        <w:spacing w:line="280" w:lineRule="exact"/>
        <w:ind w:firstLine="283" w:firstLineChars="135"/>
        <w:jc w:val="left"/>
        <w:rPr>
          <w:rFonts w:cs="宋体" w:asciiTheme="minorEastAsia" w:hAnsiTheme="minorEastAsia" w:eastAsiaTheme="minorEastAsia"/>
          <w:kern w:val="0"/>
          <w:szCs w:val="21"/>
        </w:rPr>
      </w:pPr>
    </w:p>
    <w:p>
      <w:pPr>
        <w:widowControl/>
        <w:spacing w:line="280" w:lineRule="exact"/>
        <w:ind w:firstLine="283" w:firstLineChars="135"/>
        <w:jc w:val="left"/>
        <w:rPr>
          <w:rFonts w:cs="宋体" w:asciiTheme="minorEastAsia" w:hAnsiTheme="minorEastAsia" w:eastAsiaTheme="minorEastAsia"/>
          <w:kern w:val="0"/>
          <w:szCs w:val="21"/>
        </w:rPr>
      </w:pPr>
    </w:p>
    <w:p>
      <w:pPr>
        <w:widowControl/>
        <w:spacing w:line="280" w:lineRule="exact"/>
        <w:ind w:firstLine="283" w:firstLineChars="135"/>
        <w:jc w:val="left"/>
        <w:rPr>
          <w:rFonts w:cs="宋体" w:asciiTheme="minorEastAsia" w:hAnsiTheme="minorEastAsia" w:eastAsiaTheme="minorEastAsia"/>
          <w:kern w:val="0"/>
          <w:szCs w:val="21"/>
        </w:rPr>
      </w:pPr>
    </w:p>
    <w:p>
      <w:pPr>
        <w:widowControl/>
        <w:spacing w:line="280" w:lineRule="exact"/>
        <w:ind w:firstLine="283" w:firstLineChars="135"/>
        <w:jc w:val="left"/>
        <w:rPr>
          <w:rFonts w:cs="宋体" w:asciiTheme="minorEastAsia" w:hAnsiTheme="minorEastAsia" w:eastAsiaTheme="minorEastAsia"/>
          <w:kern w:val="0"/>
          <w:szCs w:val="21"/>
        </w:rPr>
      </w:pPr>
    </w:p>
    <w:p>
      <w:pPr>
        <w:widowControl/>
        <w:spacing w:line="280" w:lineRule="exact"/>
        <w:ind w:firstLine="283" w:firstLineChars="135"/>
        <w:jc w:val="left"/>
        <w:rPr>
          <w:rFonts w:cs="宋体" w:asciiTheme="minorEastAsia" w:hAnsiTheme="minorEastAsia" w:eastAsiaTheme="minorEastAsia"/>
          <w:kern w:val="0"/>
          <w:szCs w:val="21"/>
        </w:rPr>
      </w:pPr>
    </w:p>
    <w:p>
      <w:pPr>
        <w:widowControl/>
        <w:spacing w:line="280" w:lineRule="exact"/>
        <w:ind w:firstLine="283" w:firstLineChars="135"/>
        <w:jc w:val="left"/>
        <w:rPr>
          <w:rFonts w:cs="宋体" w:asciiTheme="minorEastAsia" w:hAnsiTheme="minorEastAsia" w:eastAsiaTheme="minorEastAsia"/>
          <w:kern w:val="0"/>
          <w:szCs w:val="21"/>
        </w:rPr>
      </w:pPr>
    </w:p>
    <w:p>
      <w:pPr>
        <w:widowControl/>
        <w:spacing w:line="280" w:lineRule="exact"/>
        <w:ind w:firstLine="283" w:firstLineChars="135"/>
        <w:jc w:val="left"/>
        <w:rPr>
          <w:rFonts w:cs="宋体" w:asciiTheme="minorEastAsia" w:hAnsiTheme="minorEastAsia" w:eastAsiaTheme="minorEastAsia"/>
          <w:kern w:val="0"/>
          <w:szCs w:val="21"/>
        </w:rPr>
      </w:pPr>
    </w:p>
    <w:p>
      <w:pPr>
        <w:widowControl/>
        <w:spacing w:line="280" w:lineRule="exact"/>
        <w:ind w:firstLine="283" w:firstLineChars="135"/>
        <w:jc w:val="left"/>
        <w:rPr>
          <w:rFonts w:cs="宋体" w:asciiTheme="minorEastAsia" w:hAnsiTheme="minorEastAsia" w:eastAsiaTheme="minorEastAsia"/>
          <w:kern w:val="0"/>
          <w:szCs w:val="21"/>
        </w:rPr>
      </w:pPr>
    </w:p>
    <w:p>
      <w:pPr>
        <w:widowControl/>
        <w:spacing w:line="280" w:lineRule="exact"/>
        <w:ind w:firstLine="283" w:firstLineChars="135"/>
        <w:jc w:val="left"/>
        <w:rPr>
          <w:rFonts w:cs="宋体" w:asciiTheme="minorEastAsia" w:hAnsiTheme="minorEastAsia" w:eastAsiaTheme="minorEastAsia"/>
          <w:kern w:val="0"/>
          <w:szCs w:val="21"/>
        </w:rPr>
      </w:pPr>
    </w:p>
    <w:p>
      <w:pPr>
        <w:widowControl/>
        <w:spacing w:line="280" w:lineRule="exact"/>
        <w:ind w:firstLine="283" w:firstLineChars="135"/>
        <w:jc w:val="left"/>
        <w:rPr>
          <w:rFonts w:cs="宋体" w:asciiTheme="minorEastAsia" w:hAnsiTheme="minorEastAsia" w:eastAsiaTheme="minorEastAsia"/>
          <w:kern w:val="0"/>
          <w:szCs w:val="21"/>
        </w:rPr>
      </w:pPr>
    </w:p>
    <w:p>
      <w:pPr>
        <w:widowControl/>
        <w:spacing w:line="280" w:lineRule="exact"/>
        <w:ind w:firstLine="283" w:firstLineChars="135"/>
        <w:jc w:val="left"/>
        <w:rPr>
          <w:rFonts w:cs="宋体" w:asciiTheme="minorEastAsia" w:hAnsiTheme="minorEastAsia" w:eastAsiaTheme="minorEastAsia"/>
          <w:kern w:val="0"/>
          <w:szCs w:val="21"/>
        </w:rPr>
      </w:pPr>
    </w:p>
    <w:p>
      <w:pPr>
        <w:widowControl/>
        <w:spacing w:line="280" w:lineRule="exact"/>
        <w:ind w:firstLine="283" w:firstLineChars="135"/>
        <w:jc w:val="left"/>
        <w:rPr>
          <w:rFonts w:cs="宋体" w:asciiTheme="minorEastAsia" w:hAnsiTheme="minorEastAsia" w:eastAsiaTheme="minorEastAsia"/>
          <w:kern w:val="0"/>
          <w:szCs w:val="21"/>
        </w:rPr>
      </w:pPr>
    </w:p>
    <w:p>
      <w:pPr>
        <w:widowControl/>
        <w:jc w:val="left"/>
        <w:rPr>
          <w:rFonts w:asciiTheme="minorEastAsia" w:hAnsiTheme="minorEastAsia" w:eastAsiaTheme="minorEastAsia"/>
          <w:b/>
          <w:bCs/>
          <w:kern w:val="44"/>
          <w:sz w:val="28"/>
          <w:szCs w:val="28"/>
        </w:rPr>
      </w:pPr>
      <w:r>
        <w:rPr>
          <w:rFonts w:asciiTheme="minorEastAsia" w:hAnsiTheme="minorEastAsia" w:eastAsiaTheme="minorEastAsia"/>
          <w:sz w:val="28"/>
          <w:szCs w:val="28"/>
        </w:rPr>
        <w:br w:type="page"/>
      </w:r>
    </w:p>
    <w:p>
      <w:pPr>
        <w:pStyle w:val="2"/>
        <w:numPr>
          <w:ilvl w:val="0"/>
          <w:numId w:val="194"/>
        </w:numPr>
        <w:spacing w:before="120" w:beforeLines="50" w:after="120" w:afterLines="50"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bookmarkStart w:id="214" w:name="_Toc136868068"/>
      <w:bookmarkStart w:id="215" w:name="_Toc137216262"/>
      <w:bookmarkStart w:id="216" w:name="_Toc136869103"/>
      <w:r>
        <w:rPr>
          <w:rFonts w:hint="eastAsia" w:asciiTheme="minorEastAsia" w:hAnsiTheme="minorEastAsia" w:eastAsiaTheme="minorEastAsia"/>
          <w:sz w:val="28"/>
          <w:szCs w:val="28"/>
        </w:rPr>
        <w:t>发电机交接试验</w:t>
      </w:r>
      <w:bookmarkEnd w:id="214"/>
      <w:bookmarkEnd w:id="215"/>
      <w:bookmarkEnd w:id="216"/>
    </w:p>
    <w:tbl>
      <w:tblPr>
        <w:tblStyle w:val="27"/>
        <w:tblW w:w="5057" w:type="pct"/>
        <w:jc w:val="center"/>
        <w:tblLayout w:type="autofit"/>
        <w:tblCellMar>
          <w:top w:w="0" w:type="dxa"/>
          <w:left w:w="108" w:type="dxa"/>
          <w:bottom w:w="0" w:type="dxa"/>
          <w:right w:w="108" w:type="dxa"/>
        </w:tblCellMar>
      </w:tblPr>
      <w:tblGrid>
        <w:gridCol w:w="1063"/>
        <w:gridCol w:w="673"/>
        <w:gridCol w:w="675"/>
        <w:gridCol w:w="2232"/>
        <w:gridCol w:w="3928"/>
        <w:gridCol w:w="55"/>
      </w:tblGrid>
      <w:tr>
        <w:tblPrEx>
          <w:tblCellMar>
            <w:top w:w="0" w:type="dxa"/>
            <w:left w:w="108" w:type="dxa"/>
            <w:bottom w:w="0" w:type="dxa"/>
            <w:right w:w="108" w:type="dxa"/>
          </w:tblCellMar>
        </w:tblPrEx>
        <w:trPr>
          <w:trHeight w:val="720" w:hRule="atLeast"/>
          <w:jc w:val="center"/>
        </w:trPr>
        <w:tc>
          <w:tcPr>
            <w:tcW w:w="616" w:type="pct"/>
            <w:tcBorders>
              <w:top w:val="single" w:color="auto" w:sz="4" w:space="0"/>
              <w:left w:val="single" w:color="auto" w:sz="4" w:space="0"/>
              <w:bottom w:val="single" w:color="auto" w:sz="4" w:space="0"/>
              <w:right w:val="single" w:color="000000" w:sz="4" w:space="0"/>
            </w:tcBorders>
            <w:shd w:val="clear" w:color="000000" w:fill="FFFFFF"/>
            <w:vAlign w:val="center"/>
          </w:tcPr>
          <w:p>
            <w:pPr>
              <w:widowControl/>
              <w:spacing w:line="360" w:lineRule="auto"/>
              <w:ind w:right="22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序号</w:t>
            </w:r>
          </w:p>
        </w:tc>
        <w:tc>
          <w:tcPr>
            <w:tcW w:w="781" w:type="pct"/>
            <w:gridSpan w:val="2"/>
            <w:tcBorders>
              <w:top w:val="single" w:color="auto" w:sz="4" w:space="0"/>
              <w:left w:val="single" w:color="auto" w:sz="4" w:space="0"/>
              <w:bottom w:val="single" w:color="auto" w:sz="4" w:space="0"/>
              <w:right w:val="single" w:color="000000" w:sz="4" w:space="0"/>
              <w:tl2br w:val="single" w:color="auto" w:sz="4" w:space="0"/>
            </w:tcBorders>
            <w:shd w:val="clear" w:color="000000" w:fill="FFFFFF"/>
            <w:vAlign w:val="center"/>
          </w:tcPr>
          <w:p>
            <w:pPr>
              <w:widowControl/>
              <w:spacing w:line="360" w:lineRule="auto"/>
              <w:ind w:right="60"/>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内容</w:t>
            </w:r>
          </w:p>
          <w:p>
            <w:pPr>
              <w:widowControl/>
              <w:spacing w:line="360" w:lineRule="auto"/>
              <w:jc w:val="center"/>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部位</w:t>
            </w:r>
          </w:p>
        </w:tc>
        <w:tc>
          <w:tcPr>
            <w:tcW w:w="1294" w:type="pct"/>
            <w:tcBorders>
              <w:top w:val="single" w:color="auto" w:sz="4" w:space="0"/>
              <w:left w:val="nil"/>
              <w:bottom w:val="single" w:color="000000" w:themeColor="text1"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试验内容</w:t>
            </w:r>
          </w:p>
        </w:tc>
        <w:tc>
          <w:tcPr>
            <w:tcW w:w="2309" w:type="pct"/>
            <w:gridSpan w:val="2"/>
            <w:tcBorders>
              <w:top w:val="single" w:color="auto" w:sz="4" w:space="0"/>
              <w:left w:val="nil"/>
              <w:bottom w:val="single" w:color="000000" w:themeColor="text1" w:sz="4" w:space="0"/>
              <w:right w:val="single" w:color="auto" w:sz="4" w:space="0"/>
            </w:tcBorders>
            <w:shd w:val="clear" w:color="000000" w:fill="FFFFFF"/>
            <w:vAlign w:val="center"/>
          </w:tcPr>
          <w:p>
            <w:pPr>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试验结果</w:t>
            </w:r>
          </w:p>
        </w:tc>
      </w:tr>
      <w:tr>
        <w:tblPrEx>
          <w:tblCellMar>
            <w:top w:w="0" w:type="dxa"/>
            <w:left w:w="108" w:type="dxa"/>
            <w:bottom w:w="0" w:type="dxa"/>
            <w:right w:w="108" w:type="dxa"/>
          </w:tblCellMar>
        </w:tblPrEx>
        <w:trPr>
          <w:jc w:val="center"/>
        </w:trPr>
        <w:tc>
          <w:tcPr>
            <w:tcW w:w="616" w:type="pct"/>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390" w:type="pct"/>
            <w:vMerge w:val="restart"/>
            <w:tcBorders>
              <w:top w:val="nil"/>
              <w:left w:val="nil"/>
              <w:right w:val="single" w:color="auto" w:sz="4" w:space="0"/>
            </w:tcBorders>
            <w:shd w:val="clear" w:color="000000" w:fill="FFFFFF"/>
            <w:vAlign w:val="center"/>
          </w:tcPr>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静态试验</w:t>
            </w:r>
          </w:p>
        </w:tc>
        <w:tc>
          <w:tcPr>
            <w:tcW w:w="391" w:type="pct"/>
            <w:vMerge w:val="restart"/>
            <w:tcBorders>
              <w:top w:val="nil"/>
              <w:left w:val="nil"/>
              <w:right w:val="single" w:color="auto" w:sz="4" w:space="0"/>
            </w:tcBorders>
            <w:shd w:val="clear" w:color="000000" w:fill="FFFFFF"/>
            <w:vAlign w:val="center"/>
          </w:tcPr>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定子电路</w:t>
            </w:r>
          </w:p>
        </w:tc>
        <w:tc>
          <w:tcPr>
            <w:tcW w:w="1294" w:type="pct"/>
            <w:tcBorders>
              <w:top w:val="single" w:color="000000" w:themeColor="text1" w:sz="4" w:space="0"/>
              <w:left w:val="nil"/>
              <w:bottom w:val="single" w:color="auto" w:sz="4" w:space="0"/>
              <w:right w:val="single" w:color="auto" w:sz="4" w:space="0"/>
            </w:tcBorders>
            <w:shd w:val="clear" w:color="000000" w:fill="FFFFFF"/>
            <w:vAlign w:val="center"/>
          </w:tcPr>
          <w:p>
            <w:pPr>
              <w:widowControl/>
              <w:spacing w:line="360" w:lineRule="auto"/>
              <w:ind w:firstLine="94" w:firstLineChars="45"/>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测量定子绕组的绝缘电阻和吸收比</w:t>
            </w:r>
          </w:p>
        </w:tc>
        <w:tc>
          <w:tcPr>
            <w:tcW w:w="2309" w:type="pct"/>
            <w:gridSpan w:val="2"/>
            <w:tcBorders>
              <w:top w:val="single" w:color="000000" w:themeColor="text1" w:sz="4" w:space="0"/>
              <w:left w:val="nil"/>
              <w:bottom w:val="single" w:color="auto" w:sz="4" w:space="0"/>
              <w:right w:val="single" w:color="auto" w:sz="4" w:space="0"/>
            </w:tcBorders>
            <w:shd w:val="clear" w:color="000000" w:fill="FFFFFF"/>
            <w:vAlign w:val="center"/>
          </w:tcPr>
          <w:p>
            <w:pPr>
              <w:pStyle w:val="64"/>
              <w:spacing w:line="360" w:lineRule="auto"/>
              <w:ind w:firstLine="260"/>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400</w:t>
            </w:r>
            <w:r>
              <w:rPr>
                <w:rFonts w:hint="eastAsia" w:cs="仿宋" w:asciiTheme="minorEastAsia" w:hAnsiTheme="minorEastAsia" w:eastAsiaTheme="minorEastAsia"/>
                <w:color w:val="000000"/>
                <w:spacing w:val="0"/>
                <w:w w:val="15"/>
                <w:kern w:val="0"/>
                <w:sz w:val="21"/>
                <w:szCs w:val="21"/>
                <w:fitText w:val="42" w:id="742334280"/>
              </w:rPr>
              <w:t>　</w:t>
            </w:r>
            <w:r>
              <w:rPr>
                <w:rFonts w:hint="eastAsia" w:cs="仿宋" w:asciiTheme="minorEastAsia" w:hAnsiTheme="minorEastAsia" w:eastAsiaTheme="minorEastAsia"/>
                <w:color w:val="000000"/>
                <w:spacing w:val="0"/>
                <w:w w:val="15"/>
                <w:kern w:val="0"/>
                <w:szCs w:val="21"/>
                <w:fitText w:val="42" w:id="742334280"/>
              </w:rPr>
              <w:t xml:space="preserve"> </w:t>
            </w:r>
            <w:r>
              <w:rPr>
                <w:rFonts w:hint="eastAsia" w:cs="仿宋" w:asciiTheme="minorEastAsia" w:hAnsiTheme="minorEastAsia" w:eastAsiaTheme="minorEastAsia"/>
                <w:color w:val="000000"/>
                <w:spacing w:val="-17"/>
                <w:w w:val="15"/>
                <w:kern w:val="0"/>
                <w:sz w:val="21"/>
                <w:szCs w:val="21"/>
                <w:fitText w:val="42" w:id="742334280"/>
              </w:rPr>
              <w:t>　</w:t>
            </w:r>
            <w:r>
              <w:rPr>
                <w:rFonts w:hint="eastAsia" w:asciiTheme="minorEastAsia" w:hAnsiTheme="minorEastAsia" w:eastAsiaTheme="minorEastAsia"/>
                <w:color w:val="000000"/>
                <w:sz w:val="21"/>
                <w:szCs w:val="21"/>
              </w:rPr>
              <w:t>V</w:t>
            </w:r>
            <w:r>
              <w:rPr>
                <w:rFonts w:asciiTheme="minorEastAsia" w:hAnsiTheme="minorEastAsia" w:eastAsiaTheme="minorEastAsia"/>
                <w:sz w:val="21"/>
                <w:szCs w:val="21"/>
              </w:rPr>
              <w:t>发电机绝缘电阻值大于</w:t>
            </w:r>
            <w:r>
              <w:rPr>
                <w:rFonts w:asciiTheme="minorEastAsia" w:hAnsiTheme="minorEastAsia" w:eastAsiaTheme="minorEastAsia"/>
                <w:color w:val="000000"/>
                <w:sz w:val="21"/>
                <w:szCs w:val="21"/>
              </w:rPr>
              <w:t>0.</w:t>
            </w:r>
            <w:r>
              <w:rPr>
                <w:rFonts w:hint="eastAsia" w:asciiTheme="minorEastAsia" w:hAnsiTheme="minorEastAsia" w:eastAsiaTheme="minorEastAsia"/>
                <w:color w:val="000000"/>
                <w:sz w:val="21"/>
                <w:szCs w:val="21"/>
              </w:rPr>
              <w:t>5</w:t>
            </w:r>
            <w:r>
              <w:rPr>
                <w:rFonts w:hint="eastAsia" w:cs="仿宋" w:asciiTheme="minorEastAsia" w:hAnsiTheme="minorEastAsia" w:eastAsiaTheme="minorEastAsia"/>
                <w:color w:val="000000"/>
                <w:spacing w:val="0"/>
                <w:w w:val="15"/>
                <w:kern w:val="0"/>
                <w:sz w:val="21"/>
                <w:szCs w:val="21"/>
                <w:fitText w:val="42" w:id="1849840202"/>
              </w:rPr>
              <w:t>　</w:t>
            </w:r>
            <w:r>
              <w:rPr>
                <w:rFonts w:hint="eastAsia" w:cs="仿宋" w:asciiTheme="minorEastAsia" w:hAnsiTheme="minorEastAsia" w:eastAsiaTheme="minorEastAsia"/>
                <w:color w:val="000000"/>
                <w:spacing w:val="0"/>
                <w:w w:val="15"/>
                <w:kern w:val="0"/>
                <w:szCs w:val="21"/>
                <w:fitText w:val="42" w:id="1849840202"/>
              </w:rPr>
              <w:t xml:space="preserve"> </w:t>
            </w:r>
            <w:r>
              <w:rPr>
                <w:rFonts w:hint="eastAsia" w:cs="仿宋" w:asciiTheme="minorEastAsia" w:hAnsiTheme="minorEastAsia" w:eastAsiaTheme="minorEastAsia"/>
                <w:color w:val="000000"/>
                <w:spacing w:val="-17"/>
                <w:w w:val="15"/>
                <w:kern w:val="0"/>
                <w:sz w:val="21"/>
                <w:szCs w:val="21"/>
                <w:fitText w:val="42" w:id="1849840202"/>
              </w:rPr>
              <w:t>　</w:t>
            </w:r>
            <w:r>
              <w:rPr>
                <w:rFonts w:hint="eastAsia" w:asciiTheme="minorEastAsia" w:hAnsiTheme="minorEastAsia" w:eastAsiaTheme="minorEastAsia"/>
                <w:color w:val="000000"/>
                <w:sz w:val="21"/>
                <w:szCs w:val="21"/>
              </w:rPr>
              <w:t>M</w:t>
            </w:r>
            <w:r>
              <w:rPr>
                <w:rFonts w:asciiTheme="minorEastAsia" w:hAnsiTheme="minorEastAsia" w:eastAsiaTheme="minorEastAsia"/>
                <w:color w:val="000000"/>
                <w:sz w:val="21"/>
                <w:szCs w:val="21"/>
              </w:rPr>
              <w:t>Ω</w:t>
            </w:r>
            <w:r>
              <w:rPr>
                <w:rFonts w:hint="eastAsia" w:asciiTheme="minorEastAsia" w:hAnsiTheme="minorEastAsia" w:eastAsiaTheme="minorEastAsia"/>
                <w:sz w:val="21"/>
                <w:szCs w:val="21"/>
              </w:rPr>
              <w:t>，</w:t>
            </w:r>
            <w:r>
              <w:rPr>
                <w:rFonts w:asciiTheme="minorEastAsia" w:hAnsiTheme="minorEastAsia" w:eastAsiaTheme="minorEastAsia"/>
                <w:sz w:val="21"/>
                <w:szCs w:val="21"/>
              </w:rPr>
              <w:t>其他高压发电机绝缘电阻不低于其额定电压</w:t>
            </w:r>
            <w:r>
              <w:rPr>
                <w:rFonts w:asciiTheme="minorEastAsia" w:hAnsiTheme="minorEastAsia" w:eastAsiaTheme="minorEastAsia"/>
                <w:color w:val="000000"/>
                <w:sz w:val="21"/>
                <w:szCs w:val="21"/>
              </w:rPr>
              <w:t>1 MΩ/kV</w:t>
            </w:r>
          </w:p>
          <w:p>
            <w:pPr>
              <w:pStyle w:val="64"/>
              <w:spacing w:line="360" w:lineRule="auto"/>
              <w:ind w:firstLine="260"/>
              <w:rPr>
                <w:rFonts w:asciiTheme="minorEastAsia" w:hAnsiTheme="minorEastAsia" w:eastAsiaTheme="minorEastAsia"/>
                <w:sz w:val="21"/>
                <w:szCs w:val="21"/>
              </w:rPr>
            </w:pPr>
            <w:r>
              <w:rPr>
                <w:rFonts w:asciiTheme="minorEastAsia" w:hAnsiTheme="minorEastAsia" w:eastAsiaTheme="minorEastAsia"/>
                <w:sz w:val="21"/>
                <w:szCs w:val="21"/>
              </w:rPr>
              <w:t>沥青浸胶及烘卷云母绝缘吸收比大于1.3</w:t>
            </w:r>
          </w:p>
          <w:p>
            <w:pPr>
              <w:pStyle w:val="64"/>
              <w:spacing w:line="360" w:lineRule="auto"/>
              <w:ind w:firstLine="260"/>
              <w:rPr>
                <w:rFonts w:asciiTheme="minorEastAsia" w:hAnsiTheme="minorEastAsia" w:eastAsiaTheme="minorEastAsia"/>
                <w:sz w:val="21"/>
                <w:szCs w:val="21"/>
              </w:rPr>
            </w:pPr>
            <w:r>
              <w:rPr>
                <w:rFonts w:asciiTheme="minorEastAsia" w:hAnsiTheme="minorEastAsia" w:eastAsiaTheme="minorEastAsia"/>
                <w:sz w:val="21"/>
                <w:szCs w:val="21"/>
              </w:rPr>
              <w:t>环氧粉云母绝缘吸收比大于1.6</w:t>
            </w:r>
          </w:p>
        </w:tc>
      </w:tr>
      <w:tr>
        <w:tblPrEx>
          <w:tblCellMar>
            <w:top w:w="0" w:type="dxa"/>
            <w:left w:w="108" w:type="dxa"/>
            <w:bottom w:w="0" w:type="dxa"/>
            <w:right w:w="108" w:type="dxa"/>
          </w:tblCellMar>
        </w:tblPrEx>
        <w:trPr>
          <w:jc w:val="center"/>
        </w:trPr>
        <w:tc>
          <w:tcPr>
            <w:tcW w:w="616" w:type="pct"/>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390" w:type="pct"/>
            <w:vMerge w:val="continue"/>
            <w:tcBorders>
              <w:left w:val="nil"/>
              <w:right w:val="single" w:color="auto" w:sz="4" w:space="0"/>
            </w:tcBorders>
            <w:shd w:val="clear" w:color="000000" w:fill="FFFFFF"/>
            <w:vAlign w:val="center"/>
          </w:tcPr>
          <w:p>
            <w:pPr>
              <w:widowControl/>
              <w:spacing w:line="360" w:lineRule="auto"/>
              <w:jc w:val="left"/>
              <w:rPr>
                <w:rFonts w:cs="宋体" w:asciiTheme="minorEastAsia" w:hAnsiTheme="minorEastAsia" w:eastAsiaTheme="minorEastAsia"/>
                <w:kern w:val="0"/>
                <w:szCs w:val="21"/>
              </w:rPr>
            </w:pPr>
          </w:p>
        </w:tc>
        <w:tc>
          <w:tcPr>
            <w:tcW w:w="391" w:type="pct"/>
            <w:vMerge w:val="continue"/>
            <w:tcBorders>
              <w:left w:val="nil"/>
              <w:right w:val="single" w:color="auto" w:sz="4" w:space="0"/>
            </w:tcBorders>
            <w:shd w:val="clear" w:color="000000" w:fill="FFFFFF"/>
            <w:vAlign w:val="center"/>
          </w:tcPr>
          <w:p>
            <w:pPr>
              <w:widowControl/>
              <w:spacing w:line="360" w:lineRule="auto"/>
              <w:jc w:val="left"/>
              <w:rPr>
                <w:rFonts w:cs="宋体" w:asciiTheme="minorEastAsia" w:hAnsiTheme="minorEastAsia" w:eastAsiaTheme="minorEastAsia"/>
                <w:kern w:val="0"/>
                <w:szCs w:val="21"/>
              </w:rPr>
            </w:pPr>
          </w:p>
        </w:tc>
        <w:tc>
          <w:tcPr>
            <w:tcW w:w="1294" w:type="pct"/>
            <w:tcBorders>
              <w:top w:val="nil"/>
              <w:left w:val="nil"/>
              <w:bottom w:val="single" w:color="auto" w:sz="4" w:space="0"/>
              <w:right w:val="single" w:color="auto" w:sz="4" w:space="0"/>
            </w:tcBorders>
            <w:shd w:val="clear" w:color="000000" w:fill="FFFFFF"/>
            <w:vAlign w:val="center"/>
          </w:tcPr>
          <w:p>
            <w:pPr>
              <w:widowControl/>
              <w:spacing w:line="360" w:lineRule="auto"/>
              <w:ind w:firstLine="94" w:firstLineChars="45"/>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在常温下</w:t>
            </w:r>
            <w:r>
              <w:rPr>
                <w:rFonts w:hint="eastAsia" w:cs="宋体" w:asciiTheme="minorEastAsia" w:hAnsiTheme="minorEastAsia" w:eastAsiaTheme="minorEastAsia"/>
                <w:color w:val="000000"/>
                <w:kern w:val="0"/>
                <w:szCs w:val="21"/>
              </w:rPr>
              <w:t>，</w:t>
            </w:r>
            <w:r>
              <w:rPr>
                <w:rFonts w:cs="宋体" w:asciiTheme="minorEastAsia" w:hAnsiTheme="minorEastAsia" w:eastAsiaTheme="minorEastAsia"/>
                <w:kern w:val="0"/>
                <w:szCs w:val="21"/>
              </w:rPr>
              <w:t>绕组表面温度与空气温度差在</w:t>
            </w:r>
            <w:r>
              <w:rPr>
                <w:rFonts w:hint="eastAsia" w:cs="宋体" w:asciiTheme="minorEastAsia" w:hAnsiTheme="minorEastAsia" w:eastAsiaTheme="minorEastAsia"/>
                <w:kern w:val="0"/>
                <w:szCs w:val="21"/>
              </w:rPr>
              <w:t>±</w:t>
            </w:r>
            <w:r>
              <w:rPr>
                <w:rFonts w:hint="eastAsia" w:cs="宋体" w:asciiTheme="minorEastAsia" w:hAnsiTheme="minorEastAsia" w:eastAsiaTheme="minorEastAsia"/>
                <w:color w:val="000000"/>
                <w:kern w:val="0"/>
                <w:szCs w:val="21"/>
              </w:rPr>
              <w:t>3 ℃</w:t>
            </w:r>
            <w:r>
              <w:rPr>
                <w:rFonts w:cs="宋体" w:asciiTheme="minorEastAsia" w:hAnsiTheme="minorEastAsia" w:eastAsiaTheme="minorEastAsia"/>
                <w:kern w:val="0"/>
                <w:szCs w:val="21"/>
              </w:rPr>
              <w:t>范围内测量各相直流电阻</w:t>
            </w:r>
          </w:p>
        </w:tc>
        <w:tc>
          <w:tcPr>
            <w:tcW w:w="2309" w:type="pct"/>
            <w:gridSpan w:val="2"/>
            <w:tcBorders>
              <w:top w:val="nil"/>
              <w:left w:val="nil"/>
              <w:bottom w:val="single" w:color="auto" w:sz="4" w:space="0"/>
              <w:right w:val="single" w:color="auto" w:sz="4" w:space="0"/>
            </w:tcBorders>
            <w:shd w:val="clear" w:color="000000" w:fill="FFFFFF"/>
            <w:vAlign w:val="center"/>
          </w:tcPr>
          <w:p>
            <w:pPr>
              <w:pStyle w:val="64"/>
              <w:spacing w:line="360" w:lineRule="auto"/>
              <w:ind w:firstLine="260"/>
              <w:rPr>
                <w:rFonts w:asciiTheme="minorEastAsia" w:hAnsiTheme="minorEastAsia" w:eastAsiaTheme="minorEastAsia"/>
                <w:sz w:val="21"/>
                <w:szCs w:val="21"/>
              </w:rPr>
            </w:pPr>
            <w:r>
              <w:rPr>
                <w:rFonts w:asciiTheme="minorEastAsia" w:hAnsiTheme="minorEastAsia" w:eastAsiaTheme="minorEastAsia"/>
                <w:sz w:val="21"/>
                <w:szCs w:val="21"/>
              </w:rPr>
              <w:t>各相宜流电阻值相互间差值不大于最小值的2</w:t>
            </w:r>
            <w:r>
              <w:rPr>
                <w:rFonts w:hint="eastAsia" w:asciiTheme="minorEastAsia" w:hAnsiTheme="minorEastAsia" w:eastAsiaTheme="minorEastAsia"/>
                <w:sz w:val="21"/>
                <w:szCs w:val="21"/>
              </w:rPr>
              <w:t>%，</w:t>
            </w:r>
            <w:r>
              <w:rPr>
                <w:rFonts w:asciiTheme="minorEastAsia" w:hAnsiTheme="minorEastAsia" w:eastAsiaTheme="minorEastAsia"/>
                <w:sz w:val="21"/>
                <w:szCs w:val="21"/>
              </w:rPr>
              <w:t>与出厂值在同温度下比差值不大于2</w:t>
            </w:r>
            <w:r>
              <w:rPr>
                <w:rFonts w:hint="eastAsia" w:asciiTheme="minorEastAsia" w:hAnsiTheme="minorEastAsia" w:eastAsiaTheme="minorEastAsia"/>
                <w:sz w:val="21"/>
                <w:szCs w:val="21"/>
              </w:rPr>
              <w:t>%</w:t>
            </w:r>
          </w:p>
        </w:tc>
      </w:tr>
      <w:tr>
        <w:tblPrEx>
          <w:tblCellMar>
            <w:top w:w="0" w:type="dxa"/>
            <w:left w:w="108" w:type="dxa"/>
            <w:bottom w:w="0" w:type="dxa"/>
            <w:right w:w="108" w:type="dxa"/>
          </w:tblCellMar>
        </w:tblPrEx>
        <w:trPr>
          <w:jc w:val="center"/>
        </w:trPr>
        <w:tc>
          <w:tcPr>
            <w:tcW w:w="616" w:type="pct"/>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p>
        </w:tc>
        <w:tc>
          <w:tcPr>
            <w:tcW w:w="390" w:type="pct"/>
            <w:vMerge w:val="continue"/>
            <w:tcBorders>
              <w:left w:val="nil"/>
              <w:right w:val="single" w:color="auto" w:sz="4" w:space="0"/>
            </w:tcBorders>
            <w:shd w:val="clear" w:color="000000" w:fill="FFFFFF"/>
            <w:vAlign w:val="center"/>
          </w:tcPr>
          <w:p>
            <w:pPr>
              <w:widowControl/>
              <w:spacing w:line="360" w:lineRule="auto"/>
              <w:jc w:val="left"/>
              <w:rPr>
                <w:rFonts w:cs="宋体" w:asciiTheme="minorEastAsia" w:hAnsiTheme="minorEastAsia" w:eastAsiaTheme="minorEastAsia"/>
                <w:kern w:val="0"/>
                <w:szCs w:val="21"/>
              </w:rPr>
            </w:pPr>
          </w:p>
        </w:tc>
        <w:tc>
          <w:tcPr>
            <w:tcW w:w="391" w:type="pct"/>
            <w:vMerge w:val="continue"/>
            <w:tcBorders>
              <w:left w:val="nil"/>
              <w:bottom w:val="single" w:color="auto" w:sz="4" w:space="0"/>
              <w:right w:val="single" w:color="auto" w:sz="4" w:space="0"/>
            </w:tcBorders>
            <w:shd w:val="clear" w:color="000000" w:fill="FFFFFF"/>
            <w:vAlign w:val="center"/>
          </w:tcPr>
          <w:p>
            <w:pPr>
              <w:widowControl/>
              <w:spacing w:line="360" w:lineRule="auto"/>
              <w:jc w:val="left"/>
              <w:rPr>
                <w:rFonts w:cs="宋体" w:asciiTheme="minorEastAsia" w:hAnsiTheme="minorEastAsia" w:eastAsiaTheme="minorEastAsia"/>
                <w:kern w:val="0"/>
                <w:szCs w:val="21"/>
              </w:rPr>
            </w:pPr>
          </w:p>
        </w:tc>
        <w:tc>
          <w:tcPr>
            <w:tcW w:w="1294" w:type="pct"/>
            <w:tcBorders>
              <w:top w:val="nil"/>
              <w:left w:val="nil"/>
              <w:bottom w:val="single" w:color="auto" w:sz="4" w:space="0"/>
              <w:right w:val="single" w:color="auto" w:sz="4" w:space="0"/>
            </w:tcBorders>
            <w:shd w:val="clear" w:color="000000" w:fill="FFFFFF"/>
            <w:vAlign w:val="center"/>
          </w:tcPr>
          <w:p>
            <w:pPr>
              <w:widowControl/>
              <w:spacing w:line="360" w:lineRule="auto"/>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1 k</w:t>
            </w:r>
            <w:r>
              <w:rPr>
                <w:rFonts w:cs="宋体" w:asciiTheme="minorEastAsia" w:hAnsiTheme="minorEastAsia" w:eastAsiaTheme="minorEastAsia"/>
                <w:color w:val="000000"/>
                <w:kern w:val="0"/>
                <w:szCs w:val="21"/>
              </w:rPr>
              <w:t>V</w:t>
            </w:r>
            <w:r>
              <w:rPr>
                <w:rFonts w:cs="宋体" w:asciiTheme="minorEastAsia" w:hAnsiTheme="minorEastAsia" w:eastAsiaTheme="minorEastAsia"/>
                <w:kern w:val="0"/>
                <w:szCs w:val="21"/>
              </w:rPr>
              <w:t>以上发电机定子绕组直流耐压试验和泄漏电流测量</w:t>
            </w:r>
          </w:p>
        </w:tc>
        <w:tc>
          <w:tcPr>
            <w:tcW w:w="2309" w:type="pct"/>
            <w:gridSpan w:val="2"/>
            <w:tcBorders>
              <w:top w:val="nil"/>
              <w:left w:val="nil"/>
              <w:bottom w:val="single" w:color="auto" w:sz="4" w:space="0"/>
              <w:right w:val="single" w:color="auto" w:sz="4" w:space="0"/>
            </w:tcBorders>
            <w:shd w:val="clear" w:color="000000" w:fill="FFFFFF"/>
            <w:vAlign w:val="center"/>
          </w:tcPr>
          <w:p>
            <w:pPr>
              <w:pStyle w:val="64"/>
              <w:spacing w:line="360" w:lineRule="auto"/>
              <w:ind w:firstLine="260"/>
              <w:rPr>
                <w:rFonts w:asciiTheme="minorEastAsia" w:hAnsiTheme="minorEastAsia" w:eastAsiaTheme="minorEastAsia"/>
                <w:sz w:val="21"/>
                <w:szCs w:val="21"/>
              </w:rPr>
            </w:pPr>
            <w:r>
              <w:rPr>
                <w:rFonts w:asciiTheme="minorEastAsia" w:hAnsiTheme="minorEastAsia" w:eastAsiaTheme="minorEastAsia"/>
                <w:sz w:val="21"/>
                <w:szCs w:val="21"/>
              </w:rPr>
              <w:t>试验电压为电机额定电压的3 倍。试验电压按每级50</w:t>
            </w:r>
            <w:r>
              <w:rPr>
                <w:rFonts w:hint="eastAsia" w:asciiTheme="minorEastAsia" w:hAnsiTheme="minorEastAsia" w:eastAsiaTheme="minorEastAsia"/>
                <w:sz w:val="21"/>
                <w:szCs w:val="21"/>
              </w:rPr>
              <w:t>%</w:t>
            </w:r>
            <w:r>
              <w:rPr>
                <w:rFonts w:asciiTheme="minorEastAsia" w:hAnsiTheme="minorEastAsia" w:eastAsiaTheme="minorEastAsia"/>
                <w:sz w:val="21"/>
                <w:szCs w:val="21"/>
              </w:rPr>
              <w:t>的额定电压分阶段升高</w:t>
            </w:r>
            <w:r>
              <w:rPr>
                <w:rFonts w:hint="eastAsia" w:asciiTheme="minorEastAsia" w:hAnsiTheme="minorEastAsia" w:eastAsiaTheme="minorEastAsia"/>
                <w:color w:val="000000"/>
                <w:sz w:val="21"/>
                <w:szCs w:val="21"/>
              </w:rPr>
              <w:t>，</w:t>
            </w:r>
            <w:r>
              <w:rPr>
                <w:rFonts w:asciiTheme="minorEastAsia" w:hAnsiTheme="minorEastAsia" w:eastAsiaTheme="minorEastAsia"/>
                <w:sz w:val="21"/>
                <w:szCs w:val="21"/>
              </w:rPr>
              <w:t>每阶段停留</w:t>
            </w:r>
            <w:r>
              <w:rPr>
                <w:rFonts w:hint="eastAsia" w:asciiTheme="minorEastAsia" w:hAnsiTheme="minorEastAsia" w:eastAsiaTheme="minorEastAsia"/>
                <w:color w:val="000000"/>
                <w:sz w:val="21"/>
                <w:szCs w:val="21"/>
              </w:rPr>
              <w:t>1 m</w:t>
            </w:r>
            <w:r>
              <w:rPr>
                <w:rFonts w:asciiTheme="minorEastAsia" w:hAnsiTheme="minorEastAsia" w:eastAsiaTheme="minorEastAsia"/>
                <w:color w:val="000000"/>
                <w:sz w:val="21"/>
                <w:szCs w:val="21"/>
              </w:rPr>
              <w:t>in</w:t>
            </w:r>
            <w:r>
              <w:rPr>
                <w:rFonts w:hint="eastAsia" w:asciiTheme="minorEastAsia" w:hAnsiTheme="minorEastAsia" w:eastAsiaTheme="minorEastAsia"/>
                <w:color w:val="000000"/>
                <w:sz w:val="21"/>
                <w:szCs w:val="21"/>
              </w:rPr>
              <w:t>，</w:t>
            </w:r>
            <w:r>
              <w:rPr>
                <w:rFonts w:asciiTheme="minorEastAsia" w:hAnsiTheme="minorEastAsia" w:eastAsiaTheme="minorEastAsia"/>
                <w:sz w:val="21"/>
                <w:szCs w:val="21"/>
              </w:rPr>
              <w:t>并记录泄漏电流</w:t>
            </w:r>
            <w:r>
              <w:rPr>
                <w:rFonts w:hint="eastAsia" w:asciiTheme="minorEastAsia" w:hAnsiTheme="minorEastAsia" w:eastAsiaTheme="minorEastAsia"/>
                <w:color w:val="000000"/>
                <w:sz w:val="21"/>
                <w:szCs w:val="21"/>
              </w:rPr>
              <w:t>；</w:t>
            </w:r>
            <w:r>
              <w:rPr>
                <w:rFonts w:asciiTheme="minorEastAsia" w:hAnsiTheme="minorEastAsia" w:eastAsiaTheme="minorEastAsia"/>
                <w:sz w:val="21"/>
                <w:szCs w:val="21"/>
              </w:rPr>
              <w:t>在规定的试验电压下</w:t>
            </w:r>
            <w:r>
              <w:rPr>
                <w:rFonts w:hint="eastAsia" w:asciiTheme="minorEastAsia" w:hAnsiTheme="minorEastAsia" w:eastAsiaTheme="minorEastAsia"/>
                <w:color w:val="000000"/>
                <w:sz w:val="21"/>
                <w:szCs w:val="21"/>
              </w:rPr>
              <w:t>，</w:t>
            </w:r>
            <w:r>
              <w:rPr>
                <w:rFonts w:asciiTheme="minorEastAsia" w:hAnsiTheme="minorEastAsia" w:eastAsiaTheme="minorEastAsia"/>
                <w:sz w:val="21"/>
                <w:szCs w:val="21"/>
              </w:rPr>
              <w:t>泄漏电流应符合下列规定</w:t>
            </w:r>
            <w:r>
              <w:rPr>
                <w:rFonts w:hint="eastAsia" w:asciiTheme="minorEastAsia" w:hAnsiTheme="minorEastAsia" w:eastAsiaTheme="minorEastAsia"/>
                <w:color w:val="000000"/>
                <w:sz w:val="21"/>
                <w:szCs w:val="21"/>
              </w:rPr>
              <w:t>：</w:t>
            </w:r>
          </w:p>
          <w:p>
            <w:pPr>
              <w:pStyle w:val="64"/>
              <w:spacing w:line="360" w:lineRule="auto"/>
              <w:ind w:firstLine="260"/>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.各相泄漏电流的差别不应大于最小值的100</w:t>
            </w:r>
            <w:r>
              <w:rPr>
                <w:rFonts w:hint="eastAsia" w:asciiTheme="minorEastAsia" w:hAnsiTheme="minorEastAsia" w:eastAsiaTheme="minorEastAsia"/>
                <w:sz w:val="21"/>
                <w:szCs w:val="21"/>
              </w:rPr>
              <w:t>%，</w:t>
            </w:r>
            <w:r>
              <w:rPr>
                <w:rFonts w:asciiTheme="minorEastAsia" w:hAnsiTheme="minorEastAsia" w:eastAsiaTheme="minorEastAsia"/>
                <w:sz w:val="21"/>
                <w:szCs w:val="21"/>
              </w:rPr>
              <w:t>当</w:t>
            </w:r>
            <w:r>
              <w:rPr>
                <w:rFonts w:asciiTheme="minorEastAsia" w:hAnsiTheme="minorEastAsia" w:eastAsiaTheme="minorEastAsia"/>
                <w:color w:val="000000"/>
                <w:sz w:val="21"/>
                <w:szCs w:val="21"/>
              </w:rPr>
              <w:t>最大泄漏电流在20</w:t>
            </w:r>
            <w:r>
              <w:rPr>
                <w:rFonts w:hint="eastAsia" w:asciiTheme="minorEastAsia" w:hAnsiTheme="minorEastAsia" w:eastAsiaTheme="minorEastAsia"/>
                <w:color w:val="000000"/>
                <w:sz w:val="21"/>
                <w:szCs w:val="21"/>
              </w:rPr>
              <w:t>μ</w:t>
            </w:r>
            <w:r>
              <w:rPr>
                <w:rFonts w:asciiTheme="minorEastAsia" w:hAnsiTheme="minorEastAsia" w:eastAsiaTheme="minorEastAsia"/>
                <w:color w:val="000000"/>
                <w:sz w:val="21"/>
                <w:szCs w:val="21"/>
              </w:rPr>
              <w:t>A以下</w:t>
            </w:r>
            <w:r>
              <w:rPr>
                <w:rFonts w:hint="eastAsia" w:asciiTheme="minorEastAsia" w:hAnsiTheme="minorEastAsia" w:eastAsiaTheme="minorEastAsia"/>
                <w:color w:val="000000"/>
                <w:sz w:val="21"/>
                <w:szCs w:val="21"/>
              </w:rPr>
              <w:t>，</w:t>
            </w:r>
            <w:r>
              <w:rPr>
                <w:rFonts w:asciiTheme="minorEastAsia" w:hAnsiTheme="minorEastAsia" w:eastAsiaTheme="minorEastAsia"/>
                <w:sz w:val="21"/>
                <w:szCs w:val="21"/>
              </w:rPr>
              <w:t>各相间的差值可不考虑。</w:t>
            </w:r>
          </w:p>
          <w:p>
            <w:pPr>
              <w:pStyle w:val="64"/>
              <w:spacing w:line="360" w:lineRule="auto"/>
              <w:ind w:firstLine="260"/>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.泄漏电流不应随时间延长而增大。</w:t>
            </w:r>
          </w:p>
          <w:p>
            <w:pPr>
              <w:pStyle w:val="64"/>
              <w:spacing w:line="360" w:lineRule="auto"/>
              <w:ind w:firstLine="260"/>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.泄漏电流不应随电压不成比 例显著增长</w:t>
            </w:r>
            <w:r>
              <w:rPr>
                <w:rFonts w:hint="eastAsia" w:asciiTheme="minorEastAsia" w:hAnsiTheme="minorEastAsia" w:eastAsiaTheme="minorEastAsia"/>
                <w:sz w:val="21"/>
                <w:szCs w:val="21"/>
              </w:rPr>
              <w:t>。</w:t>
            </w:r>
          </w:p>
        </w:tc>
      </w:tr>
      <w:tr>
        <w:tblPrEx>
          <w:tblCellMar>
            <w:top w:w="0" w:type="dxa"/>
            <w:left w:w="108" w:type="dxa"/>
            <w:bottom w:w="0" w:type="dxa"/>
            <w:right w:w="108" w:type="dxa"/>
          </w:tblCellMar>
        </w:tblPrEx>
        <w:trPr>
          <w:jc w:val="center"/>
        </w:trPr>
        <w:tc>
          <w:tcPr>
            <w:tcW w:w="616" w:type="pct"/>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390" w:type="pct"/>
            <w:vMerge w:val="continue"/>
            <w:tcBorders>
              <w:left w:val="nil"/>
              <w:right w:val="single" w:color="auto" w:sz="4" w:space="0"/>
            </w:tcBorders>
            <w:shd w:val="clear" w:color="000000" w:fill="FFFFFF"/>
            <w:vAlign w:val="center"/>
          </w:tcPr>
          <w:p>
            <w:pPr>
              <w:widowControl/>
              <w:spacing w:line="360" w:lineRule="auto"/>
              <w:jc w:val="left"/>
              <w:rPr>
                <w:rFonts w:cs="宋体" w:asciiTheme="minorEastAsia" w:hAnsiTheme="minorEastAsia" w:eastAsiaTheme="minorEastAsia"/>
                <w:kern w:val="0"/>
                <w:szCs w:val="21"/>
              </w:rPr>
            </w:pPr>
          </w:p>
        </w:tc>
        <w:tc>
          <w:tcPr>
            <w:tcW w:w="391" w:type="pct"/>
            <w:vMerge w:val="continue"/>
            <w:tcBorders>
              <w:top w:val="nil"/>
              <w:left w:val="nil"/>
              <w:bottom w:val="single" w:color="000000" w:themeColor="text1" w:sz="4" w:space="0"/>
              <w:right w:val="single" w:color="auto" w:sz="4" w:space="0"/>
            </w:tcBorders>
            <w:shd w:val="clear" w:color="000000" w:fill="FFFFFF"/>
            <w:vAlign w:val="center"/>
          </w:tcPr>
          <w:p>
            <w:pPr>
              <w:widowControl/>
              <w:spacing w:line="360" w:lineRule="auto"/>
              <w:jc w:val="left"/>
              <w:rPr>
                <w:rFonts w:cs="宋体" w:asciiTheme="minorEastAsia" w:hAnsiTheme="minorEastAsia" w:eastAsiaTheme="minorEastAsia"/>
                <w:kern w:val="0"/>
                <w:szCs w:val="21"/>
              </w:rPr>
            </w:pPr>
          </w:p>
        </w:tc>
        <w:tc>
          <w:tcPr>
            <w:tcW w:w="1294" w:type="pct"/>
            <w:tcBorders>
              <w:top w:val="nil"/>
              <w:left w:val="nil"/>
              <w:bottom w:val="single" w:color="auto" w:sz="4" w:space="0"/>
              <w:right w:val="single" w:color="auto" w:sz="4" w:space="0"/>
            </w:tcBorders>
            <w:shd w:val="clear" w:color="000000" w:fill="FFFFFF"/>
            <w:vAlign w:val="center"/>
          </w:tcPr>
          <w:p>
            <w:pPr>
              <w:widowControl/>
              <w:spacing w:line="360" w:lineRule="auto"/>
              <w:ind w:firstLine="94" w:firstLineChars="45"/>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交流工频耐压试</w:t>
            </w:r>
            <w:r>
              <w:rPr>
                <w:rFonts w:hint="eastAsia" w:cs="宋体" w:asciiTheme="minorEastAsia" w:hAnsiTheme="minorEastAsia" w:eastAsiaTheme="minorEastAsia"/>
                <w:color w:val="000000"/>
                <w:kern w:val="0"/>
                <w:szCs w:val="21"/>
              </w:rPr>
              <w:t>1</w:t>
            </w:r>
            <w:r>
              <w:rPr>
                <w:rFonts w:hint="eastAsia" w:cs="仿宋" w:asciiTheme="minorEastAsia" w:hAnsiTheme="minorEastAsia" w:eastAsiaTheme="minorEastAsia"/>
                <w:color w:val="000000"/>
                <w:spacing w:val="0"/>
                <w:w w:val="15"/>
                <w:kern w:val="0"/>
                <w:szCs w:val="21"/>
                <w:fitText w:val="42" w:id="320489715"/>
              </w:rPr>
              <w:t xml:space="preserve">　 </w:t>
            </w:r>
            <w:r>
              <w:rPr>
                <w:rFonts w:hint="eastAsia" w:cs="仿宋" w:asciiTheme="minorEastAsia" w:hAnsiTheme="minorEastAsia" w:eastAsiaTheme="minorEastAsia"/>
                <w:color w:val="000000"/>
                <w:spacing w:val="-17"/>
                <w:w w:val="15"/>
                <w:kern w:val="0"/>
                <w:szCs w:val="21"/>
                <w:fitText w:val="42" w:id="320489715"/>
              </w:rPr>
              <w:t>　</w:t>
            </w:r>
            <w:r>
              <w:rPr>
                <w:rFonts w:hint="eastAsia" w:cs="宋体" w:asciiTheme="minorEastAsia" w:hAnsiTheme="minorEastAsia" w:eastAsiaTheme="minorEastAsia"/>
                <w:color w:val="000000"/>
                <w:kern w:val="0"/>
                <w:szCs w:val="21"/>
              </w:rPr>
              <w:t>m</w:t>
            </w:r>
            <w:r>
              <w:rPr>
                <w:rFonts w:cs="宋体" w:asciiTheme="minorEastAsia" w:hAnsiTheme="minorEastAsia" w:eastAsiaTheme="minorEastAsia"/>
                <w:color w:val="000000"/>
                <w:kern w:val="0"/>
                <w:szCs w:val="21"/>
              </w:rPr>
              <w:t>in</w:t>
            </w:r>
          </w:p>
        </w:tc>
        <w:tc>
          <w:tcPr>
            <w:tcW w:w="2309" w:type="pct"/>
            <w:gridSpan w:val="2"/>
            <w:tcBorders>
              <w:top w:val="nil"/>
              <w:left w:val="nil"/>
              <w:bottom w:val="single" w:color="auto" w:sz="4" w:space="0"/>
              <w:right w:val="single" w:color="auto" w:sz="4" w:space="0"/>
            </w:tcBorders>
            <w:shd w:val="clear" w:color="000000" w:fill="FFFFFF"/>
            <w:vAlign w:val="center"/>
          </w:tcPr>
          <w:p>
            <w:pPr>
              <w:pStyle w:val="64"/>
              <w:spacing w:line="360" w:lineRule="auto"/>
              <w:ind w:firstLine="260"/>
              <w:rPr>
                <w:rFonts w:asciiTheme="minorEastAsia" w:hAnsiTheme="minorEastAsia" w:eastAsiaTheme="minorEastAsia"/>
                <w:sz w:val="21"/>
                <w:szCs w:val="21"/>
              </w:rPr>
            </w:pPr>
            <w:r>
              <w:rPr>
                <w:rFonts w:asciiTheme="minorEastAsia" w:hAnsiTheme="minorEastAsia" w:eastAsiaTheme="minorEastAsia"/>
                <w:sz w:val="21"/>
                <w:szCs w:val="21"/>
              </w:rPr>
              <w:t>试验电压为</w:t>
            </w:r>
            <w:r>
              <w:rPr>
                <w:rFonts w:asciiTheme="minorEastAsia" w:hAnsiTheme="minorEastAsia" w:eastAsiaTheme="minorEastAsia"/>
                <w:color w:val="000000"/>
                <w:sz w:val="21"/>
                <w:szCs w:val="21"/>
              </w:rPr>
              <w:t>1.</w:t>
            </w:r>
            <w:r>
              <w:rPr>
                <w:rFonts w:hint="eastAsia" w:asciiTheme="minorEastAsia" w:hAnsiTheme="minorEastAsia" w:eastAsiaTheme="minorEastAsia"/>
                <w:color w:val="000000"/>
                <w:sz w:val="21"/>
                <w:szCs w:val="21"/>
              </w:rPr>
              <w:t>6</w:t>
            </w:r>
            <w:r>
              <w:rPr>
                <w:rFonts w:hint="eastAsia" w:cs="仿宋" w:asciiTheme="minorEastAsia" w:hAnsiTheme="minorEastAsia" w:eastAsiaTheme="minorEastAsia"/>
                <w:color w:val="000000"/>
                <w:spacing w:val="0"/>
                <w:w w:val="15"/>
                <w:kern w:val="0"/>
                <w:sz w:val="21"/>
                <w:szCs w:val="21"/>
                <w:fitText w:val="42" w:id="897785402"/>
              </w:rPr>
              <w:t>　</w:t>
            </w:r>
            <w:r>
              <w:rPr>
                <w:rFonts w:hint="eastAsia" w:cs="仿宋" w:asciiTheme="minorEastAsia" w:hAnsiTheme="minorEastAsia" w:eastAsiaTheme="minorEastAsia"/>
                <w:color w:val="000000"/>
                <w:spacing w:val="0"/>
                <w:w w:val="15"/>
                <w:kern w:val="0"/>
                <w:szCs w:val="21"/>
                <w:fitText w:val="42" w:id="897785402"/>
              </w:rPr>
              <w:t xml:space="preserve"> </w:t>
            </w:r>
            <w:r>
              <w:rPr>
                <w:rFonts w:hint="eastAsia" w:cs="仿宋" w:asciiTheme="minorEastAsia" w:hAnsiTheme="minorEastAsia" w:eastAsiaTheme="minorEastAsia"/>
                <w:color w:val="000000"/>
                <w:spacing w:val="-17"/>
                <w:w w:val="15"/>
                <w:kern w:val="0"/>
                <w:sz w:val="21"/>
                <w:szCs w:val="21"/>
                <w:fitText w:val="42" w:id="897785402"/>
              </w:rPr>
              <w:t>　</w:t>
            </w:r>
            <w:r>
              <w:rPr>
                <w:rFonts w:hint="eastAsia" w:asciiTheme="minorEastAsia" w:hAnsiTheme="minorEastAsia" w:eastAsiaTheme="minorEastAsia"/>
                <w:color w:val="000000"/>
                <w:sz w:val="21"/>
                <w:szCs w:val="21"/>
              </w:rPr>
              <w:t>Un</w:t>
            </w:r>
            <w:r>
              <w:rPr>
                <w:rFonts w:asciiTheme="minorEastAsia" w:hAnsiTheme="minorEastAsia" w:eastAsiaTheme="minorEastAsia"/>
                <w:sz w:val="21"/>
                <w:szCs w:val="21"/>
              </w:rPr>
              <w:t>+</w:t>
            </w:r>
            <w:r>
              <w:rPr>
                <w:rFonts w:hint="eastAsia" w:asciiTheme="minorEastAsia" w:hAnsiTheme="minorEastAsia" w:eastAsiaTheme="minorEastAsia"/>
                <w:sz w:val="21"/>
                <w:szCs w:val="21"/>
              </w:rPr>
              <w:t>800</w:t>
            </w:r>
            <w:r>
              <w:rPr>
                <w:rFonts w:hint="eastAsia" w:cs="仿宋" w:asciiTheme="minorEastAsia" w:hAnsiTheme="minorEastAsia" w:eastAsiaTheme="minorEastAsia"/>
                <w:color w:val="000000"/>
                <w:spacing w:val="0"/>
                <w:w w:val="15"/>
                <w:kern w:val="0"/>
                <w:sz w:val="21"/>
                <w:szCs w:val="21"/>
                <w:fitText w:val="42" w:id="1003435329"/>
              </w:rPr>
              <w:t>　</w:t>
            </w:r>
            <w:r>
              <w:rPr>
                <w:rFonts w:hint="eastAsia" w:cs="仿宋" w:asciiTheme="minorEastAsia" w:hAnsiTheme="minorEastAsia" w:eastAsiaTheme="minorEastAsia"/>
                <w:color w:val="000000"/>
                <w:spacing w:val="0"/>
                <w:w w:val="15"/>
                <w:kern w:val="0"/>
                <w:szCs w:val="21"/>
                <w:fitText w:val="42" w:id="1003435329"/>
              </w:rPr>
              <w:t xml:space="preserve"> </w:t>
            </w:r>
            <w:r>
              <w:rPr>
                <w:rFonts w:hint="eastAsia" w:cs="仿宋" w:asciiTheme="minorEastAsia" w:hAnsiTheme="minorEastAsia" w:eastAsiaTheme="minorEastAsia"/>
                <w:color w:val="000000"/>
                <w:spacing w:val="-17"/>
                <w:w w:val="15"/>
                <w:kern w:val="0"/>
                <w:sz w:val="21"/>
                <w:szCs w:val="21"/>
                <w:fitText w:val="42" w:id="1003435329"/>
              </w:rPr>
              <w:t>　</w:t>
            </w:r>
            <w:r>
              <w:rPr>
                <w:rFonts w:hint="eastAsia" w:asciiTheme="minorEastAsia" w:hAnsiTheme="minorEastAsia" w:eastAsiaTheme="minorEastAsia"/>
                <w:sz w:val="21"/>
                <w:szCs w:val="21"/>
              </w:rPr>
              <w:t>V，</w:t>
            </w:r>
            <w:r>
              <w:rPr>
                <w:rFonts w:asciiTheme="minorEastAsia" w:hAnsiTheme="minorEastAsia" w:eastAsiaTheme="minorEastAsia"/>
                <w:sz w:val="21"/>
                <w:szCs w:val="21"/>
              </w:rPr>
              <w:t>无闪络击穿现象</w:t>
            </w:r>
            <w:r>
              <w:rPr>
                <w:rFonts w:hint="eastAsia" w:asciiTheme="minorEastAsia" w:hAnsiTheme="minorEastAsia" w:eastAsiaTheme="minorEastAsia"/>
                <w:color w:val="000000"/>
                <w:sz w:val="21"/>
                <w:szCs w:val="21"/>
              </w:rPr>
              <w:t>，</w:t>
            </w:r>
            <w:r>
              <w:rPr>
                <w:rFonts w:asciiTheme="minorEastAsia" w:hAnsiTheme="minorEastAsia" w:eastAsiaTheme="minorEastAsia"/>
                <w:sz w:val="21"/>
                <w:szCs w:val="21"/>
              </w:rPr>
              <w:t>Un为发电机额定电压</w:t>
            </w:r>
          </w:p>
        </w:tc>
      </w:tr>
      <w:tr>
        <w:tblPrEx>
          <w:tblCellMar>
            <w:top w:w="0" w:type="dxa"/>
            <w:left w:w="108" w:type="dxa"/>
            <w:bottom w:w="0" w:type="dxa"/>
            <w:right w:w="108" w:type="dxa"/>
          </w:tblCellMar>
        </w:tblPrEx>
        <w:trPr>
          <w:jc w:val="center"/>
        </w:trPr>
        <w:tc>
          <w:tcPr>
            <w:tcW w:w="616" w:type="pct"/>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390" w:type="pct"/>
            <w:vMerge w:val="continue"/>
            <w:tcBorders>
              <w:left w:val="nil"/>
              <w:right w:val="single" w:color="auto" w:sz="4" w:space="0"/>
            </w:tcBorders>
            <w:shd w:val="clear" w:color="000000" w:fill="FFFFFF"/>
            <w:vAlign w:val="center"/>
          </w:tcPr>
          <w:p>
            <w:pPr>
              <w:widowControl/>
              <w:spacing w:line="360" w:lineRule="auto"/>
              <w:jc w:val="left"/>
              <w:rPr>
                <w:rFonts w:cs="宋体" w:asciiTheme="minorEastAsia" w:hAnsiTheme="minorEastAsia" w:eastAsiaTheme="minorEastAsia"/>
                <w:kern w:val="0"/>
                <w:szCs w:val="21"/>
              </w:rPr>
            </w:pPr>
          </w:p>
        </w:tc>
        <w:tc>
          <w:tcPr>
            <w:tcW w:w="391" w:type="pct"/>
            <w:vMerge w:val="restart"/>
            <w:tcBorders>
              <w:top w:val="single" w:color="000000" w:themeColor="text1" w:sz="4" w:space="0"/>
              <w:left w:val="nil"/>
              <w:right w:val="single" w:color="auto" w:sz="4" w:space="0"/>
            </w:tcBorders>
            <w:shd w:val="clear" w:color="000000" w:fill="FFFFFF"/>
            <w:vAlign w:val="center"/>
          </w:tcPr>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转子电路</w:t>
            </w:r>
          </w:p>
        </w:tc>
        <w:tc>
          <w:tcPr>
            <w:tcW w:w="1294" w:type="pct"/>
            <w:tcBorders>
              <w:top w:val="nil"/>
              <w:left w:val="nil"/>
              <w:bottom w:val="single" w:color="auto" w:sz="4" w:space="0"/>
              <w:right w:val="single" w:color="auto" w:sz="4" w:space="0"/>
            </w:tcBorders>
            <w:shd w:val="clear" w:color="000000" w:fill="FFFFFF"/>
            <w:vAlign w:val="center"/>
          </w:tcPr>
          <w:p>
            <w:pPr>
              <w:widowControl/>
              <w:spacing w:line="360" w:lineRule="auto"/>
              <w:ind w:firstLine="94" w:firstLineChars="45"/>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用</w:t>
            </w:r>
            <w:r>
              <w:rPr>
                <w:rFonts w:hint="eastAsia" w:cs="宋体" w:asciiTheme="minorEastAsia" w:hAnsiTheme="minorEastAsia" w:eastAsiaTheme="minorEastAsia"/>
                <w:color w:val="000000"/>
                <w:kern w:val="0"/>
                <w:szCs w:val="21"/>
              </w:rPr>
              <w:t>1000 V</w:t>
            </w:r>
            <w:r>
              <w:rPr>
                <w:rFonts w:cs="宋体" w:asciiTheme="minorEastAsia" w:hAnsiTheme="minorEastAsia" w:eastAsiaTheme="minorEastAsia"/>
                <w:kern w:val="0"/>
                <w:szCs w:val="21"/>
              </w:rPr>
              <w:t>兆欧表测量转子绝缘电阻</w:t>
            </w:r>
          </w:p>
        </w:tc>
        <w:tc>
          <w:tcPr>
            <w:tcW w:w="2309" w:type="pct"/>
            <w:gridSpan w:val="2"/>
            <w:tcBorders>
              <w:top w:val="nil"/>
              <w:left w:val="nil"/>
              <w:bottom w:val="single" w:color="auto" w:sz="4" w:space="0"/>
              <w:right w:val="single" w:color="auto" w:sz="4" w:space="0"/>
            </w:tcBorders>
            <w:shd w:val="clear" w:color="000000" w:fill="FFFFFF"/>
            <w:vAlign w:val="center"/>
          </w:tcPr>
          <w:p>
            <w:pPr>
              <w:widowControl/>
              <w:spacing w:line="360" w:lineRule="auto"/>
              <w:ind w:firstLine="94" w:firstLineChars="45"/>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绝缘电阻值</w:t>
            </w:r>
            <w:r>
              <w:rPr>
                <w:rFonts w:asciiTheme="minorEastAsia" w:hAnsiTheme="minorEastAsia" w:eastAsiaTheme="minorEastAsia"/>
                <w:szCs w:val="21"/>
              </w:rPr>
              <w:t>大于</w:t>
            </w:r>
            <w:r>
              <w:rPr>
                <w:rFonts w:cs="宋体" w:asciiTheme="minorEastAsia" w:hAnsiTheme="minorEastAsia" w:eastAsiaTheme="minorEastAsia"/>
                <w:color w:val="000000"/>
                <w:szCs w:val="21"/>
              </w:rPr>
              <w:t>0.</w:t>
            </w:r>
            <w:r>
              <w:rPr>
                <w:rFonts w:hint="eastAsia" w:cs="宋体" w:asciiTheme="minorEastAsia" w:hAnsiTheme="minorEastAsia" w:eastAsiaTheme="minorEastAsia"/>
                <w:color w:val="000000"/>
                <w:szCs w:val="21"/>
              </w:rPr>
              <w:t>5</w:t>
            </w:r>
            <w:r>
              <w:rPr>
                <w:rFonts w:hint="eastAsia" w:cs="仿宋" w:asciiTheme="minorEastAsia" w:hAnsiTheme="minorEastAsia" w:eastAsiaTheme="minorEastAsia"/>
                <w:color w:val="000000"/>
                <w:spacing w:val="0"/>
                <w:w w:val="15"/>
                <w:kern w:val="0"/>
                <w:szCs w:val="21"/>
                <w:fitText w:val="42" w:id="1955467616"/>
              </w:rPr>
              <w:t xml:space="preserve">　 </w:t>
            </w:r>
            <w:r>
              <w:rPr>
                <w:rFonts w:hint="eastAsia" w:cs="仿宋" w:asciiTheme="minorEastAsia" w:hAnsiTheme="minorEastAsia" w:eastAsiaTheme="minorEastAsia"/>
                <w:color w:val="000000"/>
                <w:spacing w:val="-17"/>
                <w:w w:val="15"/>
                <w:kern w:val="0"/>
                <w:szCs w:val="21"/>
                <w:fitText w:val="42" w:id="1955467616"/>
              </w:rPr>
              <w:t>　</w:t>
            </w:r>
            <w:r>
              <w:rPr>
                <w:rFonts w:hint="eastAsia" w:cs="宋体" w:asciiTheme="minorEastAsia" w:hAnsiTheme="minorEastAsia" w:eastAsiaTheme="minorEastAsia"/>
                <w:color w:val="000000"/>
                <w:szCs w:val="21"/>
              </w:rPr>
              <w:t>M</w:t>
            </w:r>
            <w:r>
              <w:rPr>
                <w:rFonts w:asciiTheme="minorEastAsia" w:hAnsiTheme="minorEastAsia" w:eastAsiaTheme="minorEastAsia"/>
                <w:color w:val="000000"/>
                <w:szCs w:val="21"/>
              </w:rPr>
              <w:t>Ω</w:t>
            </w:r>
          </w:p>
        </w:tc>
      </w:tr>
      <w:tr>
        <w:tblPrEx>
          <w:tblCellMar>
            <w:top w:w="0" w:type="dxa"/>
            <w:left w:w="108" w:type="dxa"/>
            <w:bottom w:w="0" w:type="dxa"/>
            <w:right w:w="108" w:type="dxa"/>
          </w:tblCellMar>
        </w:tblPrEx>
        <w:trPr>
          <w:jc w:val="center"/>
        </w:trPr>
        <w:tc>
          <w:tcPr>
            <w:tcW w:w="616" w:type="pct"/>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w:t>
            </w:r>
          </w:p>
        </w:tc>
        <w:tc>
          <w:tcPr>
            <w:tcW w:w="390" w:type="pct"/>
            <w:vMerge w:val="continue"/>
            <w:tcBorders>
              <w:left w:val="nil"/>
              <w:right w:val="single" w:color="auto" w:sz="4" w:space="0"/>
            </w:tcBorders>
            <w:shd w:val="clear" w:color="000000" w:fill="FFFFFF"/>
            <w:vAlign w:val="center"/>
          </w:tcPr>
          <w:p>
            <w:pPr>
              <w:widowControl/>
              <w:spacing w:line="360" w:lineRule="auto"/>
              <w:jc w:val="left"/>
              <w:rPr>
                <w:rFonts w:cs="宋体" w:asciiTheme="minorEastAsia" w:hAnsiTheme="minorEastAsia" w:eastAsiaTheme="minorEastAsia"/>
                <w:kern w:val="0"/>
                <w:szCs w:val="21"/>
              </w:rPr>
            </w:pPr>
          </w:p>
        </w:tc>
        <w:tc>
          <w:tcPr>
            <w:tcW w:w="391" w:type="pct"/>
            <w:vMerge w:val="continue"/>
            <w:tcBorders>
              <w:top w:val="single" w:color="000000" w:themeColor="text1" w:sz="4" w:space="0"/>
              <w:left w:val="nil"/>
              <w:right w:val="single" w:color="auto" w:sz="4" w:space="0"/>
            </w:tcBorders>
            <w:shd w:val="clear" w:color="000000" w:fill="FFFFFF"/>
            <w:vAlign w:val="center"/>
          </w:tcPr>
          <w:p>
            <w:pPr>
              <w:widowControl/>
              <w:spacing w:line="360" w:lineRule="auto"/>
              <w:jc w:val="left"/>
              <w:rPr>
                <w:rFonts w:cs="宋体" w:asciiTheme="minorEastAsia" w:hAnsiTheme="minorEastAsia" w:eastAsiaTheme="minorEastAsia"/>
                <w:kern w:val="0"/>
                <w:szCs w:val="21"/>
              </w:rPr>
            </w:pPr>
          </w:p>
        </w:tc>
        <w:tc>
          <w:tcPr>
            <w:tcW w:w="1294" w:type="pct"/>
            <w:tcBorders>
              <w:top w:val="nil"/>
              <w:left w:val="nil"/>
              <w:bottom w:val="single" w:color="auto" w:sz="4" w:space="0"/>
              <w:right w:val="single" w:color="auto" w:sz="4" w:space="0"/>
            </w:tcBorders>
            <w:shd w:val="clear" w:color="000000" w:fill="FFFFFF"/>
            <w:vAlign w:val="center"/>
          </w:tcPr>
          <w:p>
            <w:pPr>
              <w:widowControl/>
              <w:spacing w:line="360" w:lineRule="auto"/>
              <w:ind w:firstLine="94" w:firstLineChars="45"/>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在常温下</w:t>
            </w:r>
            <w:r>
              <w:rPr>
                <w:rFonts w:hint="eastAsia" w:cs="宋体" w:asciiTheme="minorEastAsia" w:hAnsiTheme="minorEastAsia" w:eastAsiaTheme="minorEastAsia"/>
                <w:color w:val="000000"/>
                <w:kern w:val="0"/>
                <w:szCs w:val="21"/>
              </w:rPr>
              <w:t>，</w:t>
            </w:r>
            <w:r>
              <w:rPr>
                <w:rFonts w:cs="宋体" w:asciiTheme="minorEastAsia" w:hAnsiTheme="minorEastAsia" w:eastAsiaTheme="minorEastAsia"/>
                <w:kern w:val="0"/>
                <w:szCs w:val="21"/>
              </w:rPr>
              <w:t>绕组表面温度与空气温度差在</w:t>
            </w:r>
            <w:r>
              <w:rPr>
                <w:rFonts w:hint="eastAsia" w:cs="宋体" w:asciiTheme="minorEastAsia" w:hAnsiTheme="minorEastAsia" w:eastAsiaTheme="minorEastAsia"/>
                <w:kern w:val="0"/>
                <w:szCs w:val="21"/>
              </w:rPr>
              <w:t>±</w:t>
            </w:r>
            <w:r>
              <w:rPr>
                <w:rFonts w:hint="eastAsia" w:cs="宋体" w:asciiTheme="minorEastAsia" w:hAnsiTheme="minorEastAsia" w:eastAsiaTheme="minorEastAsia"/>
                <w:color w:val="000000"/>
                <w:kern w:val="0"/>
                <w:szCs w:val="21"/>
              </w:rPr>
              <w:t>3</w:t>
            </w:r>
            <w:r>
              <w:rPr>
                <w:rFonts w:hint="eastAsia" w:cs="仿宋" w:asciiTheme="minorEastAsia" w:hAnsiTheme="minorEastAsia" w:eastAsiaTheme="minorEastAsia"/>
                <w:color w:val="000000"/>
                <w:spacing w:val="0"/>
                <w:w w:val="15"/>
                <w:kern w:val="0"/>
                <w:szCs w:val="21"/>
                <w:fitText w:val="42" w:id="850492911"/>
              </w:rPr>
              <w:t xml:space="preserve">　 </w:t>
            </w:r>
            <w:r>
              <w:rPr>
                <w:rFonts w:hint="eastAsia" w:cs="仿宋" w:asciiTheme="minorEastAsia" w:hAnsiTheme="minorEastAsia" w:eastAsiaTheme="minorEastAsia"/>
                <w:color w:val="000000"/>
                <w:spacing w:val="-17"/>
                <w:w w:val="15"/>
                <w:kern w:val="0"/>
                <w:szCs w:val="21"/>
                <w:fitText w:val="42" w:id="850492911"/>
              </w:rPr>
              <w:t>　</w:t>
            </w:r>
            <w:r>
              <w:rPr>
                <w:rFonts w:hint="eastAsia" w:cs="宋体" w:asciiTheme="minorEastAsia" w:hAnsiTheme="minorEastAsia" w:eastAsiaTheme="minorEastAsia"/>
                <w:color w:val="000000"/>
                <w:kern w:val="0"/>
                <w:szCs w:val="21"/>
              </w:rPr>
              <w:t>℃</w:t>
            </w:r>
            <w:r>
              <w:rPr>
                <w:rFonts w:cs="宋体" w:asciiTheme="minorEastAsia" w:hAnsiTheme="minorEastAsia" w:eastAsiaTheme="minorEastAsia"/>
                <w:kern w:val="0"/>
                <w:szCs w:val="21"/>
              </w:rPr>
              <w:t>范围内测量绕组直流电阻</w:t>
            </w:r>
          </w:p>
        </w:tc>
        <w:tc>
          <w:tcPr>
            <w:tcW w:w="2309" w:type="pct"/>
            <w:gridSpan w:val="2"/>
            <w:tcBorders>
              <w:top w:val="nil"/>
              <w:left w:val="nil"/>
              <w:bottom w:val="single" w:color="auto" w:sz="4" w:space="0"/>
              <w:right w:val="single" w:color="auto" w:sz="4" w:space="0"/>
            </w:tcBorders>
            <w:shd w:val="clear" w:color="000000" w:fill="FFFFFF"/>
            <w:vAlign w:val="center"/>
          </w:tcPr>
          <w:p>
            <w:pPr>
              <w:widowControl/>
              <w:spacing w:line="360" w:lineRule="auto"/>
              <w:ind w:firstLine="94" w:firstLineChars="45"/>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数值与出厂值在同温度下比差 值不大于2</w:t>
            </w:r>
            <w:r>
              <w:rPr>
                <w:rFonts w:hint="eastAsia" w:cs="宋体" w:asciiTheme="minorEastAsia" w:hAnsiTheme="minorEastAsia" w:eastAsiaTheme="minorEastAsia"/>
                <w:kern w:val="0"/>
                <w:szCs w:val="21"/>
              </w:rPr>
              <w:t>%</w:t>
            </w:r>
          </w:p>
        </w:tc>
      </w:tr>
      <w:tr>
        <w:tblPrEx>
          <w:tblCellMar>
            <w:top w:w="0" w:type="dxa"/>
            <w:left w:w="108" w:type="dxa"/>
            <w:bottom w:w="0" w:type="dxa"/>
            <w:right w:w="108" w:type="dxa"/>
          </w:tblCellMar>
        </w:tblPrEx>
        <w:trPr>
          <w:jc w:val="center"/>
        </w:trPr>
        <w:tc>
          <w:tcPr>
            <w:tcW w:w="616" w:type="pct"/>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w:t>
            </w:r>
          </w:p>
        </w:tc>
        <w:tc>
          <w:tcPr>
            <w:tcW w:w="390" w:type="pct"/>
            <w:vMerge w:val="continue"/>
            <w:tcBorders>
              <w:left w:val="nil"/>
              <w:right w:val="single" w:color="auto" w:sz="4" w:space="0"/>
            </w:tcBorders>
            <w:shd w:val="clear" w:color="000000" w:fill="FFFFFF"/>
            <w:vAlign w:val="center"/>
          </w:tcPr>
          <w:p>
            <w:pPr>
              <w:widowControl/>
              <w:spacing w:line="360" w:lineRule="auto"/>
              <w:jc w:val="left"/>
              <w:rPr>
                <w:rFonts w:cs="宋体" w:asciiTheme="minorEastAsia" w:hAnsiTheme="minorEastAsia" w:eastAsiaTheme="minorEastAsia"/>
                <w:kern w:val="0"/>
                <w:szCs w:val="21"/>
              </w:rPr>
            </w:pPr>
          </w:p>
        </w:tc>
        <w:tc>
          <w:tcPr>
            <w:tcW w:w="391" w:type="pct"/>
            <w:vMerge w:val="continue"/>
            <w:tcBorders>
              <w:left w:val="nil"/>
              <w:bottom w:val="single" w:color="000000" w:themeColor="text1" w:sz="4" w:space="0"/>
              <w:right w:val="single" w:color="auto" w:sz="4" w:space="0"/>
            </w:tcBorders>
            <w:shd w:val="clear" w:color="000000" w:fill="FFFFFF"/>
            <w:vAlign w:val="center"/>
          </w:tcPr>
          <w:p>
            <w:pPr>
              <w:widowControl/>
              <w:spacing w:line="360" w:lineRule="auto"/>
              <w:jc w:val="left"/>
              <w:rPr>
                <w:rFonts w:cs="宋体" w:asciiTheme="minorEastAsia" w:hAnsiTheme="minorEastAsia" w:eastAsiaTheme="minorEastAsia"/>
                <w:kern w:val="0"/>
                <w:szCs w:val="21"/>
              </w:rPr>
            </w:pPr>
          </w:p>
        </w:tc>
        <w:tc>
          <w:tcPr>
            <w:tcW w:w="1294" w:type="pct"/>
            <w:tcBorders>
              <w:top w:val="nil"/>
              <w:left w:val="nil"/>
              <w:bottom w:val="single" w:color="auto" w:sz="4" w:space="0"/>
              <w:right w:val="single" w:color="auto" w:sz="4" w:space="0"/>
            </w:tcBorders>
            <w:shd w:val="clear" w:color="000000" w:fill="FFFFFF"/>
            <w:vAlign w:val="center"/>
          </w:tcPr>
          <w:p>
            <w:pPr>
              <w:widowControl/>
              <w:spacing w:line="360" w:lineRule="auto"/>
              <w:ind w:firstLine="94" w:firstLineChars="45"/>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交流工频耐压试</w:t>
            </w:r>
            <w:r>
              <w:rPr>
                <w:rFonts w:hint="eastAsia" w:cs="宋体" w:asciiTheme="minorEastAsia" w:hAnsiTheme="minorEastAsia" w:eastAsiaTheme="minorEastAsia"/>
                <w:color w:val="000000"/>
                <w:kern w:val="0"/>
                <w:szCs w:val="21"/>
              </w:rPr>
              <w:t>1</w:t>
            </w:r>
            <w:r>
              <w:rPr>
                <w:rFonts w:hint="eastAsia" w:cs="仿宋" w:asciiTheme="minorEastAsia" w:hAnsiTheme="minorEastAsia" w:eastAsiaTheme="minorEastAsia"/>
                <w:color w:val="000000"/>
                <w:spacing w:val="0"/>
                <w:w w:val="15"/>
                <w:kern w:val="0"/>
                <w:szCs w:val="21"/>
                <w:fitText w:val="42" w:id="1532591447"/>
              </w:rPr>
              <w:t xml:space="preserve">　 </w:t>
            </w:r>
            <w:r>
              <w:rPr>
                <w:rFonts w:hint="eastAsia" w:cs="仿宋" w:asciiTheme="minorEastAsia" w:hAnsiTheme="minorEastAsia" w:eastAsiaTheme="minorEastAsia"/>
                <w:color w:val="000000"/>
                <w:spacing w:val="-17"/>
                <w:w w:val="15"/>
                <w:kern w:val="0"/>
                <w:szCs w:val="21"/>
                <w:fitText w:val="42" w:id="1532591447"/>
              </w:rPr>
              <w:t>　</w:t>
            </w:r>
            <w:r>
              <w:rPr>
                <w:rFonts w:hint="eastAsia" w:cs="宋体" w:asciiTheme="minorEastAsia" w:hAnsiTheme="minorEastAsia" w:eastAsiaTheme="minorEastAsia"/>
                <w:color w:val="000000"/>
                <w:kern w:val="0"/>
                <w:szCs w:val="21"/>
              </w:rPr>
              <w:t>m</w:t>
            </w:r>
            <w:r>
              <w:rPr>
                <w:rFonts w:cs="宋体" w:asciiTheme="minorEastAsia" w:hAnsiTheme="minorEastAsia" w:eastAsiaTheme="minorEastAsia"/>
                <w:color w:val="000000"/>
                <w:kern w:val="0"/>
                <w:szCs w:val="21"/>
              </w:rPr>
              <w:t>in</w:t>
            </w:r>
          </w:p>
        </w:tc>
        <w:tc>
          <w:tcPr>
            <w:tcW w:w="2309" w:type="pct"/>
            <w:gridSpan w:val="2"/>
            <w:tcBorders>
              <w:top w:val="nil"/>
              <w:left w:val="nil"/>
              <w:bottom w:val="single" w:color="auto" w:sz="4" w:space="0"/>
              <w:right w:val="single" w:color="auto" w:sz="4" w:space="0"/>
            </w:tcBorders>
            <w:shd w:val="clear" w:color="000000" w:fill="FFFFFF"/>
            <w:vAlign w:val="center"/>
          </w:tcPr>
          <w:p>
            <w:pPr>
              <w:widowControl/>
              <w:spacing w:line="360" w:lineRule="auto"/>
              <w:ind w:firstLine="94" w:firstLineChars="45"/>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用</w:t>
            </w:r>
            <w:r>
              <w:rPr>
                <w:rFonts w:hint="eastAsia" w:cs="宋体" w:asciiTheme="minorEastAsia" w:hAnsiTheme="minorEastAsia" w:eastAsiaTheme="minorEastAsia"/>
                <w:color w:val="000000"/>
                <w:kern w:val="0"/>
                <w:szCs w:val="21"/>
              </w:rPr>
              <w:t>2500</w:t>
            </w:r>
            <w:r>
              <w:rPr>
                <w:rFonts w:hint="eastAsia" w:cs="仿宋" w:asciiTheme="minorEastAsia" w:hAnsiTheme="minorEastAsia" w:eastAsiaTheme="minorEastAsia"/>
                <w:color w:val="000000"/>
                <w:spacing w:val="0"/>
                <w:w w:val="15"/>
                <w:kern w:val="0"/>
                <w:szCs w:val="21"/>
                <w:fitText w:val="42" w:id="2060411661"/>
              </w:rPr>
              <w:t xml:space="preserve">　 </w:t>
            </w:r>
            <w:r>
              <w:rPr>
                <w:rFonts w:hint="eastAsia" w:cs="仿宋" w:asciiTheme="minorEastAsia" w:hAnsiTheme="minorEastAsia" w:eastAsiaTheme="minorEastAsia"/>
                <w:color w:val="000000"/>
                <w:spacing w:val="-17"/>
                <w:w w:val="15"/>
                <w:kern w:val="0"/>
                <w:szCs w:val="21"/>
                <w:fitText w:val="42" w:id="2060411661"/>
              </w:rPr>
              <w:t>　</w:t>
            </w:r>
            <w:r>
              <w:rPr>
                <w:rFonts w:hint="eastAsia" w:cs="宋体" w:asciiTheme="minorEastAsia" w:hAnsiTheme="minorEastAsia" w:eastAsiaTheme="minorEastAsia"/>
                <w:color w:val="000000"/>
                <w:kern w:val="0"/>
                <w:szCs w:val="21"/>
              </w:rPr>
              <w:t>V</w:t>
            </w:r>
            <w:r>
              <w:rPr>
                <w:rFonts w:cs="宋体" w:asciiTheme="minorEastAsia" w:hAnsiTheme="minorEastAsia" w:eastAsiaTheme="minorEastAsia"/>
                <w:kern w:val="0"/>
                <w:szCs w:val="21"/>
              </w:rPr>
              <w:t>摇表测量绝缘电阻替代</w:t>
            </w:r>
          </w:p>
        </w:tc>
      </w:tr>
      <w:tr>
        <w:tblPrEx>
          <w:tblCellMar>
            <w:top w:w="0" w:type="dxa"/>
            <w:left w:w="108" w:type="dxa"/>
            <w:bottom w:w="0" w:type="dxa"/>
            <w:right w:w="108" w:type="dxa"/>
          </w:tblCellMar>
        </w:tblPrEx>
        <w:trPr>
          <w:jc w:val="center"/>
        </w:trPr>
        <w:tc>
          <w:tcPr>
            <w:tcW w:w="616" w:type="pct"/>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w:t>
            </w:r>
          </w:p>
        </w:tc>
        <w:tc>
          <w:tcPr>
            <w:tcW w:w="390" w:type="pct"/>
            <w:vMerge w:val="continue"/>
            <w:tcBorders>
              <w:left w:val="nil"/>
              <w:right w:val="single" w:color="auto" w:sz="4" w:space="0"/>
            </w:tcBorders>
            <w:shd w:val="clear" w:color="000000" w:fill="FFFFFF"/>
            <w:vAlign w:val="center"/>
          </w:tcPr>
          <w:p>
            <w:pPr>
              <w:widowControl/>
              <w:spacing w:line="360" w:lineRule="auto"/>
              <w:jc w:val="left"/>
              <w:rPr>
                <w:rFonts w:cs="宋体" w:asciiTheme="minorEastAsia" w:hAnsiTheme="minorEastAsia" w:eastAsiaTheme="minorEastAsia"/>
                <w:kern w:val="0"/>
                <w:szCs w:val="21"/>
              </w:rPr>
            </w:pPr>
          </w:p>
        </w:tc>
        <w:tc>
          <w:tcPr>
            <w:tcW w:w="391" w:type="pct"/>
            <w:vMerge w:val="restart"/>
            <w:tcBorders>
              <w:top w:val="single" w:color="000000" w:themeColor="text1" w:sz="4" w:space="0"/>
              <w:left w:val="nil"/>
              <w:right w:val="single" w:color="auto" w:sz="4" w:space="0"/>
            </w:tcBorders>
            <w:shd w:val="clear" w:color="000000" w:fill="FFFFFF"/>
            <w:vAlign w:val="center"/>
          </w:tcPr>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励磁电路</w:t>
            </w:r>
          </w:p>
        </w:tc>
        <w:tc>
          <w:tcPr>
            <w:tcW w:w="1294" w:type="pct"/>
            <w:tcBorders>
              <w:top w:val="nil"/>
              <w:left w:val="nil"/>
              <w:bottom w:val="single" w:color="auto" w:sz="4" w:space="0"/>
              <w:right w:val="single" w:color="auto" w:sz="4" w:space="0"/>
            </w:tcBorders>
            <w:shd w:val="clear" w:color="000000" w:fill="FFFFFF"/>
            <w:vAlign w:val="center"/>
          </w:tcPr>
          <w:p>
            <w:pPr>
              <w:widowControl/>
              <w:spacing w:line="360" w:lineRule="auto"/>
              <w:ind w:firstLine="94" w:firstLineChars="45"/>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退出励磁电路电子器件后</w:t>
            </w:r>
            <w:r>
              <w:rPr>
                <w:rFonts w:hint="eastAsia" w:cs="宋体" w:asciiTheme="minorEastAsia" w:hAnsiTheme="minorEastAsia" w:eastAsiaTheme="minorEastAsia"/>
                <w:color w:val="000000"/>
                <w:kern w:val="0"/>
                <w:szCs w:val="21"/>
              </w:rPr>
              <w:t>，</w:t>
            </w:r>
            <w:r>
              <w:rPr>
                <w:rFonts w:cs="宋体" w:asciiTheme="minorEastAsia" w:hAnsiTheme="minorEastAsia" w:eastAsiaTheme="minorEastAsia"/>
                <w:kern w:val="0"/>
                <w:szCs w:val="21"/>
              </w:rPr>
              <w:t>测量励磁电路的线路设备的绝缘电阻</w:t>
            </w:r>
          </w:p>
        </w:tc>
        <w:tc>
          <w:tcPr>
            <w:tcW w:w="2309" w:type="pct"/>
            <w:gridSpan w:val="2"/>
            <w:tcBorders>
              <w:top w:val="nil"/>
              <w:left w:val="nil"/>
              <w:bottom w:val="single" w:color="auto" w:sz="4" w:space="0"/>
              <w:right w:val="single" w:color="auto" w:sz="4" w:space="0"/>
            </w:tcBorders>
            <w:shd w:val="clear" w:color="000000" w:fill="FFFFFF"/>
            <w:vAlign w:val="center"/>
          </w:tcPr>
          <w:p>
            <w:pPr>
              <w:widowControl/>
              <w:spacing w:line="360" w:lineRule="auto"/>
              <w:ind w:firstLine="94" w:firstLineChars="45"/>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绝缘电阻值</w:t>
            </w:r>
            <w:r>
              <w:rPr>
                <w:rFonts w:asciiTheme="minorEastAsia" w:hAnsiTheme="minorEastAsia" w:eastAsiaTheme="minorEastAsia"/>
                <w:szCs w:val="21"/>
              </w:rPr>
              <w:t>大于</w:t>
            </w:r>
            <w:r>
              <w:rPr>
                <w:rFonts w:cs="宋体" w:asciiTheme="minorEastAsia" w:hAnsiTheme="minorEastAsia" w:eastAsiaTheme="minorEastAsia"/>
                <w:color w:val="000000"/>
                <w:szCs w:val="21"/>
              </w:rPr>
              <w:t>0.</w:t>
            </w:r>
            <w:r>
              <w:rPr>
                <w:rFonts w:hint="eastAsia" w:cs="宋体" w:asciiTheme="minorEastAsia" w:hAnsiTheme="minorEastAsia" w:eastAsiaTheme="minorEastAsia"/>
                <w:color w:val="000000"/>
                <w:szCs w:val="21"/>
              </w:rPr>
              <w:t>5</w:t>
            </w:r>
            <w:r>
              <w:rPr>
                <w:rFonts w:hint="eastAsia" w:cs="仿宋" w:asciiTheme="minorEastAsia" w:hAnsiTheme="minorEastAsia" w:eastAsiaTheme="minorEastAsia"/>
                <w:color w:val="000000"/>
                <w:spacing w:val="0"/>
                <w:w w:val="15"/>
                <w:kern w:val="0"/>
                <w:szCs w:val="21"/>
                <w:fitText w:val="42" w:id="1559638442"/>
              </w:rPr>
              <w:t xml:space="preserve">　 </w:t>
            </w:r>
            <w:r>
              <w:rPr>
                <w:rFonts w:hint="eastAsia" w:cs="仿宋" w:asciiTheme="minorEastAsia" w:hAnsiTheme="minorEastAsia" w:eastAsiaTheme="minorEastAsia"/>
                <w:color w:val="000000"/>
                <w:spacing w:val="-17"/>
                <w:w w:val="15"/>
                <w:kern w:val="0"/>
                <w:szCs w:val="21"/>
                <w:fitText w:val="42" w:id="1559638442"/>
              </w:rPr>
              <w:t>　</w:t>
            </w:r>
            <w:r>
              <w:rPr>
                <w:rFonts w:hint="eastAsia" w:cs="宋体" w:asciiTheme="minorEastAsia" w:hAnsiTheme="minorEastAsia" w:eastAsiaTheme="minorEastAsia"/>
                <w:color w:val="000000"/>
                <w:szCs w:val="21"/>
              </w:rPr>
              <w:t>M</w:t>
            </w:r>
            <w:r>
              <w:rPr>
                <w:rFonts w:asciiTheme="minorEastAsia" w:hAnsiTheme="minorEastAsia" w:eastAsiaTheme="minorEastAsia"/>
                <w:color w:val="000000"/>
                <w:szCs w:val="21"/>
              </w:rPr>
              <w:t>Ω</w:t>
            </w:r>
          </w:p>
        </w:tc>
      </w:tr>
      <w:tr>
        <w:tblPrEx>
          <w:tblCellMar>
            <w:top w:w="0" w:type="dxa"/>
            <w:left w:w="108" w:type="dxa"/>
            <w:bottom w:w="0" w:type="dxa"/>
            <w:right w:w="108" w:type="dxa"/>
          </w:tblCellMar>
        </w:tblPrEx>
        <w:trPr>
          <w:jc w:val="center"/>
        </w:trPr>
        <w:tc>
          <w:tcPr>
            <w:tcW w:w="616" w:type="pct"/>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w:t>
            </w:r>
          </w:p>
        </w:tc>
        <w:tc>
          <w:tcPr>
            <w:tcW w:w="390" w:type="pct"/>
            <w:vMerge w:val="continue"/>
            <w:tcBorders>
              <w:left w:val="nil"/>
              <w:right w:val="single" w:color="auto" w:sz="4" w:space="0"/>
            </w:tcBorders>
            <w:shd w:val="clear" w:color="000000" w:fill="FFFFFF"/>
            <w:vAlign w:val="center"/>
          </w:tcPr>
          <w:p>
            <w:pPr>
              <w:widowControl/>
              <w:spacing w:line="360" w:lineRule="auto"/>
              <w:jc w:val="left"/>
              <w:rPr>
                <w:rFonts w:cs="宋体" w:asciiTheme="minorEastAsia" w:hAnsiTheme="minorEastAsia" w:eastAsiaTheme="minorEastAsia"/>
                <w:kern w:val="0"/>
                <w:szCs w:val="21"/>
              </w:rPr>
            </w:pPr>
          </w:p>
        </w:tc>
        <w:tc>
          <w:tcPr>
            <w:tcW w:w="391" w:type="pct"/>
            <w:vMerge w:val="continue"/>
            <w:tcBorders>
              <w:left w:val="nil"/>
              <w:bottom w:val="single" w:color="000000" w:themeColor="text1" w:sz="4" w:space="0"/>
              <w:right w:val="single" w:color="auto" w:sz="4" w:space="0"/>
            </w:tcBorders>
            <w:shd w:val="clear" w:color="000000" w:fill="FFFFFF"/>
            <w:vAlign w:val="center"/>
          </w:tcPr>
          <w:p>
            <w:pPr>
              <w:widowControl/>
              <w:spacing w:line="360" w:lineRule="auto"/>
              <w:jc w:val="left"/>
              <w:rPr>
                <w:rFonts w:cs="宋体" w:asciiTheme="minorEastAsia" w:hAnsiTheme="minorEastAsia" w:eastAsiaTheme="minorEastAsia"/>
                <w:kern w:val="0"/>
                <w:szCs w:val="21"/>
              </w:rPr>
            </w:pPr>
          </w:p>
        </w:tc>
        <w:tc>
          <w:tcPr>
            <w:tcW w:w="1294" w:type="pct"/>
            <w:tcBorders>
              <w:top w:val="nil"/>
              <w:left w:val="nil"/>
              <w:bottom w:val="single" w:color="auto" w:sz="4" w:space="0"/>
              <w:right w:val="single" w:color="auto" w:sz="4" w:space="0"/>
            </w:tcBorders>
            <w:shd w:val="clear" w:color="000000" w:fill="FFFFFF"/>
            <w:vAlign w:val="center"/>
          </w:tcPr>
          <w:p>
            <w:pPr>
              <w:widowControl/>
              <w:spacing w:line="360" w:lineRule="auto"/>
              <w:ind w:firstLine="94" w:firstLineChars="45"/>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退出励磁电路电子器件后</w:t>
            </w:r>
            <w:r>
              <w:rPr>
                <w:rFonts w:hint="eastAsia" w:cs="宋体" w:asciiTheme="minorEastAsia" w:hAnsiTheme="minorEastAsia" w:eastAsiaTheme="minorEastAsia"/>
                <w:color w:val="000000"/>
                <w:kern w:val="0"/>
                <w:szCs w:val="21"/>
              </w:rPr>
              <w:t>，</w:t>
            </w:r>
            <w:r>
              <w:rPr>
                <w:rFonts w:cs="宋体" w:asciiTheme="minorEastAsia" w:hAnsiTheme="minorEastAsia" w:eastAsiaTheme="minorEastAsia"/>
                <w:kern w:val="0"/>
                <w:szCs w:val="21"/>
              </w:rPr>
              <w:t>进行交流</w:t>
            </w:r>
            <w:r>
              <w:rPr>
                <w:rFonts w:hint="eastAsia" w:cs="宋体" w:asciiTheme="minorEastAsia" w:hAnsiTheme="minorEastAsia" w:eastAsiaTheme="minorEastAsia"/>
                <w:kern w:val="0"/>
                <w:szCs w:val="21"/>
              </w:rPr>
              <w:t>工</w:t>
            </w:r>
            <w:r>
              <w:rPr>
                <w:rFonts w:cs="宋体" w:asciiTheme="minorEastAsia" w:hAnsiTheme="minorEastAsia" w:eastAsiaTheme="minorEastAsia"/>
                <w:kern w:val="0"/>
                <w:szCs w:val="21"/>
              </w:rPr>
              <w:t>频耐压试验</w:t>
            </w:r>
            <w:r>
              <w:rPr>
                <w:rFonts w:hint="eastAsia" w:cs="宋体" w:asciiTheme="minorEastAsia" w:hAnsiTheme="minorEastAsia" w:eastAsiaTheme="minorEastAsia"/>
                <w:color w:val="000000"/>
                <w:kern w:val="0"/>
                <w:szCs w:val="21"/>
              </w:rPr>
              <w:t>1</w:t>
            </w:r>
            <w:r>
              <w:rPr>
                <w:rFonts w:hint="eastAsia" w:cs="仿宋" w:asciiTheme="minorEastAsia" w:hAnsiTheme="minorEastAsia" w:eastAsiaTheme="minorEastAsia"/>
                <w:color w:val="000000"/>
                <w:spacing w:val="0"/>
                <w:w w:val="15"/>
                <w:kern w:val="0"/>
                <w:szCs w:val="21"/>
                <w:fitText w:val="42" w:id="1642811235"/>
              </w:rPr>
              <w:t xml:space="preserve">　 </w:t>
            </w:r>
            <w:r>
              <w:rPr>
                <w:rFonts w:hint="eastAsia" w:cs="仿宋" w:asciiTheme="minorEastAsia" w:hAnsiTheme="minorEastAsia" w:eastAsiaTheme="minorEastAsia"/>
                <w:color w:val="000000"/>
                <w:spacing w:val="-17"/>
                <w:w w:val="15"/>
                <w:kern w:val="0"/>
                <w:szCs w:val="21"/>
                <w:fitText w:val="42" w:id="1642811235"/>
              </w:rPr>
              <w:t>　</w:t>
            </w:r>
            <w:r>
              <w:rPr>
                <w:rFonts w:hint="eastAsia" w:cs="宋体" w:asciiTheme="minorEastAsia" w:hAnsiTheme="minorEastAsia" w:eastAsiaTheme="minorEastAsia"/>
                <w:color w:val="000000"/>
                <w:kern w:val="0"/>
                <w:szCs w:val="21"/>
              </w:rPr>
              <w:t>m</w:t>
            </w:r>
            <w:r>
              <w:rPr>
                <w:rFonts w:cs="宋体" w:asciiTheme="minorEastAsia" w:hAnsiTheme="minorEastAsia" w:eastAsiaTheme="minorEastAsia"/>
                <w:color w:val="000000"/>
                <w:kern w:val="0"/>
                <w:szCs w:val="21"/>
              </w:rPr>
              <w:t>in</w:t>
            </w:r>
          </w:p>
        </w:tc>
        <w:tc>
          <w:tcPr>
            <w:tcW w:w="2309" w:type="pct"/>
            <w:gridSpan w:val="2"/>
            <w:tcBorders>
              <w:top w:val="nil"/>
              <w:left w:val="nil"/>
              <w:bottom w:val="single" w:color="auto" w:sz="4" w:space="0"/>
              <w:right w:val="single" w:color="auto" w:sz="4" w:space="0"/>
            </w:tcBorders>
            <w:shd w:val="clear" w:color="000000" w:fill="FFFFFF"/>
            <w:vAlign w:val="center"/>
          </w:tcPr>
          <w:p>
            <w:pPr>
              <w:widowControl/>
              <w:spacing w:line="360" w:lineRule="auto"/>
              <w:ind w:firstLine="94" w:firstLineChars="45"/>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试验电压</w:t>
            </w:r>
            <w:r>
              <w:rPr>
                <w:rFonts w:hint="eastAsia" w:cs="宋体" w:asciiTheme="minorEastAsia" w:hAnsiTheme="minorEastAsia" w:eastAsiaTheme="minorEastAsia"/>
                <w:color w:val="000000"/>
                <w:kern w:val="0"/>
                <w:szCs w:val="21"/>
              </w:rPr>
              <w:t>1000</w:t>
            </w:r>
            <w:r>
              <w:rPr>
                <w:rFonts w:hint="eastAsia" w:cs="仿宋" w:asciiTheme="minorEastAsia" w:hAnsiTheme="minorEastAsia" w:eastAsiaTheme="minorEastAsia"/>
                <w:color w:val="000000"/>
                <w:spacing w:val="0"/>
                <w:w w:val="15"/>
                <w:kern w:val="0"/>
                <w:szCs w:val="21"/>
                <w:fitText w:val="42" w:id="966416804"/>
              </w:rPr>
              <w:t xml:space="preserve">　 </w:t>
            </w:r>
            <w:r>
              <w:rPr>
                <w:rFonts w:hint="eastAsia" w:cs="仿宋" w:asciiTheme="minorEastAsia" w:hAnsiTheme="minorEastAsia" w:eastAsiaTheme="minorEastAsia"/>
                <w:color w:val="000000"/>
                <w:spacing w:val="-17"/>
                <w:w w:val="15"/>
                <w:kern w:val="0"/>
                <w:szCs w:val="21"/>
                <w:fitText w:val="42" w:id="966416804"/>
              </w:rPr>
              <w:t>　</w:t>
            </w:r>
            <w:r>
              <w:rPr>
                <w:rFonts w:hint="eastAsia" w:cs="宋体" w:asciiTheme="minorEastAsia" w:hAnsiTheme="minorEastAsia" w:eastAsiaTheme="minorEastAsia"/>
                <w:color w:val="000000"/>
                <w:kern w:val="0"/>
                <w:szCs w:val="21"/>
              </w:rPr>
              <w:t>V</w:t>
            </w:r>
            <w:r>
              <w:rPr>
                <w:rFonts w:hint="eastAsia" w:cs="Calibri" w:asciiTheme="minorEastAsia" w:hAnsiTheme="minorEastAsia" w:eastAsiaTheme="minorEastAsia"/>
                <w:kern w:val="0"/>
                <w:szCs w:val="21"/>
              </w:rPr>
              <w:t>，</w:t>
            </w:r>
            <w:r>
              <w:rPr>
                <w:rFonts w:cs="宋体" w:asciiTheme="minorEastAsia" w:hAnsiTheme="minorEastAsia" w:eastAsiaTheme="minorEastAsia"/>
                <w:kern w:val="0"/>
                <w:szCs w:val="21"/>
              </w:rPr>
              <w:t>无击穿闪络现象</w:t>
            </w:r>
          </w:p>
        </w:tc>
      </w:tr>
      <w:tr>
        <w:tblPrEx>
          <w:tblCellMar>
            <w:top w:w="0" w:type="dxa"/>
            <w:left w:w="108" w:type="dxa"/>
            <w:bottom w:w="0" w:type="dxa"/>
            <w:right w:w="108" w:type="dxa"/>
          </w:tblCellMar>
        </w:tblPrEx>
        <w:trPr>
          <w:jc w:val="center"/>
        </w:trPr>
        <w:tc>
          <w:tcPr>
            <w:tcW w:w="616" w:type="pct"/>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0</w:t>
            </w:r>
          </w:p>
        </w:tc>
        <w:tc>
          <w:tcPr>
            <w:tcW w:w="390" w:type="pct"/>
            <w:vMerge w:val="continue"/>
            <w:tcBorders>
              <w:left w:val="nil"/>
              <w:right w:val="single" w:color="auto" w:sz="4" w:space="0"/>
            </w:tcBorders>
            <w:shd w:val="clear" w:color="000000" w:fill="FFFFFF"/>
            <w:vAlign w:val="center"/>
          </w:tcPr>
          <w:p>
            <w:pPr>
              <w:widowControl/>
              <w:spacing w:line="360" w:lineRule="auto"/>
              <w:jc w:val="left"/>
              <w:rPr>
                <w:rFonts w:cs="宋体" w:asciiTheme="minorEastAsia" w:hAnsiTheme="minorEastAsia" w:eastAsiaTheme="minorEastAsia"/>
                <w:kern w:val="0"/>
                <w:szCs w:val="21"/>
              </w:rPr>
            </w:pPr>
          </w:p>
        </w:tc>
        <w:tc>
          <w:tcPr>
            <w:tcW w:w="391" w:type="pct"/>
            <w:vMerge w:val="restart"/>
            <w:tcBorders>
              <w:top w:val="single" w:color="000000" w:themeColor="text1" w:sz="4" w:space="0"/>
              <w:left w:val="nil"/>
              <w:right w:val="single" w:color="auto" w:sz="4" w:space="0"/>
            </w:tcBorders>
            <w:shd w:val="clear" w:color="000000" w:fill="FFFFFF"/>
            <w:vAlign w:val="center"/>
          </w:tcPr>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其他</w:t>
            </w:r>
          </w:p>
        </w:tc>
        <w:tc>
          <w:tcPr>
            <w:tcW w:w="1294" w:type="pct"/>
            <w:tcBorders>
              <w:top w:val="nil"/>
              <w:left w:val="nil"/>
              <w:bottom w:val="single" w:color="auto" w:sz="4" w:space="0"/>
              <w:right w:val="single" w:color="auto" w:sz="4" w:space="0"/>
            </w:tcBorders>
            <w:shd w:val="clear" w:color="000000" w:fill="FFFFFF"/>
            <w:vAlign w:val="center"/>
          </w:tcPr>
          <w:p>
            <w:pPr>
              <w:widowControl/>
              <w:spacing w:line="360" w:lineRule="auto"/>
              <w:ind w:firstLine="94" w:firstLineChars="45"/>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有绝缘轴承的用</w:t>
            </w:r>
            <w:r>
              <w:rPr>
                <w:rFonts w:hint="eastAsia" w:cs="宋体" w:asciiTheme="minorEastAsia" w:hAnsiTheme="minorEastAsia" w:eastAsiaTheme="minorEastAsia"/>
                <w:color w:val="000000"/>
                <w:kern w:val="0"/>
                <w:szCs w:val="21"/>
              </w:rPr>
              <w:t>1000 V</w:t>
            </w:r>
            <w:r>
              <w:rPr>
                <w:rFonts w:cs="宋体" w:asciiTheme="minorEastAsia" w:hAnsiTheme="minorEastAsia" w:eastAsiaTheme="minorEastAsia"/>
                <w:kern w:val="0"/>
                <w:szCs w:val="21"/>
              </w:rPr>
              <w:t>兆欧表测量轴承绝缘电阻</w:t>
            </w:r>
          </w:p>
        </w:tc>
        <w:tc>
          <w:tcPr>
            <w:tcW w:w="2309" w:type="pct"/>
            <w:gridSpan w:val="2"/>
            <w:tcBorders>
              <w:top w:val="nil"/>
              <w:left w:val="nil"/>
              <w:bottom w:val="single" w:color="auto" w:sz="4" w:space="0"/>
              <w:right w:val="single" w:color="auto" w:sz="4" w:space="0"/>
            </w:tcBorders>
            <w:shd w:val="clear" w:color="000000" w:fill="FFFFFF"/>
            <w:vAlign w:val="center"/>
          </w:tcPr>
          <w:p>
            <w:pPr>
              <w:widowControl/>
              <w:spacing w:line="360" w:lineRule="auto"/>
              <w:ind w:firstLine="94" w:firstLineChars="45"/>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绝缘电阻值</w:t>
            </w:r>
            <w:r>
              <w:rPr>
                <w:rFonts w:asciiTheme="minorEastAsia" w:hAnsiTheme="minorEastAsia" w:eastAsiaTheme="minorEastAsia"/>
                <w:szCs w:val="21"/>
              </w:rPr>
              <w:t>大于</w:t>
            </w:r>
            <w:r>
              <w:rPr>
                <w:rFonts w:cs="宋体" w:asciiTheme="minorEastAsia" w:hAnsiTheme="minorEastAsia" w:eastAsiaTheme="minorEastAsia"/>
                <w:color w:val="000000"/>
                <w:szCs w:val="21"/>
              </w:rPr>
              <w:t>0.</w:t>
            </w:r>
            <w:r>
              <w:rPr>
                <w:rFonts w:hint="eastAsia" w:cs="宋体" w:asciiTheme="minorEastAsia" w:hAnsiTheme="minorEastAsia" w:eastAsiaTheme="minorEastAsia"/>
                <w:color w:val="000000"/>
                <w:szCs w:val="21"/>
              </w:rPr>
              <w:t>5</w:t>
            </w:r>
            <w:r>
              <w:rPr>
                <w:rFonts w:hint="eastAsia" w:cs="仿宋" w:asciiTheme="minorEastAsia" w:hAnsiTheme="minorEastAsia" w:eastAsiaTheme="minorEastAsia"/>
                <w:color w:val="000000"/>
                <w:spacing w:val="0"/>
                <w:w w:val="15"/>
                <w:kern w:val="0"/>
                <w:szCs w:val="21"/>
                <w:fitText w:val="42" w:id="1794853264"/>
              </w:rPr>
              <w:t xml:space="preserve">　 </w:t>
            </w:r>
            <w:r>
              <w:rPr>
                <w:rFonts w:hint="eastAsia" w:cs="仿宋" w:asciiTheme="minorEastAsia" w:hAnsiTheme="minorEastAsia" w:eastAsiaTheme="minorEastAsia"/>
                <w:color w:val="000000"/>
                <w:spacing w:val="-17"/>
                <w:w w:val="15"/>
                <w:kern w:val="0"/>
                <w:szCs w:val="21"/>
                <w:fitText w:val="42" w:id="1794853264"/>
              </w:rPr>
              <w:t>　</w:t>
            </w:r>
            <w:r>
              <w:rPr>
                <w:rFonts w:hint="eastAsia" w:cs="仿宋" w:asciiTheme="minorEastAsia" w:hAnsiTheme="minorEastAsia" w:eastAsiaTheme="minorEastAsia"/>
                <w:color w:val="000000"/>
                <w:spacing w:val="0"/>
                <w:w w:val="15"/>
                <w:kern w:val="0"/>
                <w:szCs w:val="21"/>
                <w:fitText w:val="42" w:id="536230361"/>
              </w:rPr>
              <w:t xml:space="preserve"> </w:t>
            </w:r>
            <w:r>
              <w:rPr>
                <w:rFonts w:hint="eastAsia" w:cs="仿宋" w:asciiTheme="minorEastAsia" w:hAnsiTheme="minorEastAsia" w:eastAsiaTheme="minorEastAsia"/>
                <w:color w:val="000000"/>
                <w:spacing w:val="-2"/>
                <w:w w:val="15"/>
                <w:kern w:val="0"/>
                <w:szCs w:val="21"/>
                <w:fitText w:val="42" w:id="536230361"/>
              </w:rPr>
              <w:t>　</w:t>
            </w:r>
            <w:r>
              <w:rPr>
                <w:rFonts w:hint="eastAsia" w:cs="宋体" w:asciiTheme="minorEastAsia" w:hAnsiTheme="minorEastAsia" w:eastAsiaTheme="minorEastAsia"/>
                <w:color w:val="000000"/>
                <w:szCs w:val="21"/>
              </w:rPr>
              <w:t>M</w:t>
            </w:r>
            <w:r>
              <w:rPr>
                <w:rFonts w:asciiTheme="minorEastAsia" w:hAnsiTheme="minorEastAsia" w:eastAsiaTheme="minorEastAsia"/>
                <w:color w:val="000000"/>
                <w:szCs w:val="21"/>
              </w:rPr>
              <w:t>Ω</w:t>
            </w:r>
          </w:p>
        </w:tc>
      </w:tr>
      <w:tr>
        <w:tblPrEx>
          <w:tblCellMar>
            <w:top w:w="0" w:type="dxa"/>
            <w:left w:w="108" w:type="dxa"/>
            <w:bottom w:w="0" w:type="dxa"/>
            <w:right w:w="108" w:type="dxa"/>
          </w:tblCellMar>
        </w:tblPrEx>
        <w:trPr>
          <w:jc w:val="center"/>
        </w:trPr>
        <w:tc>
          <w:tcPr>
            <w:tcW w:w="616" w:type="pct"/>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1</w:t>
            </w:r>
          </w:p>
        </w:tc>
        <w:tc>
          <w:tcPr>
            <w:tcW w:w="390" w:type="pct"/>
            <w:vMerge w:val="continue"/>
            <w:tcBorders>
              <w:left w:val="nil"/>
              <w:right w:val="single" w:color="auto" w:sz="4" w:space="0"/>
            </w:tcBorders>
            <w:shd w:val="clear" w:color="000000" w:fill="FFFFFF"/>
            <w:vAlign w:val="center"/>
          </w:tcPr>
          <w:p>
            <w:pPr>
              <w:widowControl/>
              <w:spacing w:line="360" w:lineRule="auto"/>
              <w:jc w:val="left"/>
              <w:rPr>
                <w:rFonts w:cs="宋体" w:asciiTheme="minorEastAsia" w:hAnsiTheme="minorEastAsia" w:eastAsiaTheme="minorEastAsia"/>
                <w:kern w:val="0"/>
                <w:szCs w:val="21"/>
              </w:rPr>
            </w:pPr>
          </w:p>
        </w:tc>
        <w:tc>
          <w:tcPr>
            <w:tcW w:w="391" w:type="pct"/>
            <w:vMerge w:val="continue"/>
            <w:tcBorders>
              <w:left w:val="nil"/>
              <w:right w:val="single" w:color="auto" w:sz="4" w:space="0"/>
            </w:tcBorders>
            <w:shd w:val="clear" w:color="000000" w:fill="FFFFFF"/>
            <w:vAlign w:val="center"/>
          </w:tcPr>
          <w:p>
            <w:pPr>
              <w:widowControl/>
              <w:spacing w:line="360" w:lineRule="auto"/>
              <w:jc w:val="left"/>
              <w:rPr>
                <w:rFonts w:cs="宋体" w:asciiTheme="minorEastAsia" w:hAnsiTheme="minorEastAsia" w:eastAsiaTheme="minorEastAsia"/>
                <w:kern w:val="0"/>
                <w:szCs w:val="21"/>
              </w:rPr>
            </w:pPr>
          </w:p>
        </w:tc>
        <w:tc>
          <w:tcPr>
            <w:tcW w:w="1294" w:type="pct"/>
            <w:tcBorders>
              <w:top w:val="nil"/>
              <w:left w:val="nil"/>
              <w:bottom w:val="single" w:color="auto" w:sz="4" w:space="0"/>
              <w:right w:val="single" w:color="auto" w:sz="4" w:space="0"/>
            </w:tcBorders>
            <w:shd w:val="clear" w:color="000000" w:fill="FFFFFF"/>
            <w:vAlign w:val="center"/>
          </w:tcPr>
          <w:p>
            <w:pPr>
              <w:widowControl/>
              <w:spacing w:line="360" w:lineRule="auto"/>
              <w:ind w:firstLine="94" w:firstLineChars="45"/>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测量检温计（埋入式）绝缘电阻</w:t>
            </w:r>
            <w:r>
              <w:rPr>
                <w:rFonts w:hint="eastAsia" w:cs="宋体" w:asciiTheme="minorEastAsia" w:hAnsiTheme="minorEastAsia" w:eastAsiaTheme="minorEastAsia"/>
                <w:color w:val="000000"/>
                <w:kern w:val="0"/>
                <w:szCs w:val="21"/>
              </w:rPr>
              <w:t>，</w:t>
            </w:r>
            <w:r>
              <w:rPr>
                <w:rFonts w:cs="宋体" w:asciiTheme="minorEastAsia" w:hAnsiTheme="minorEastAsia" w:eastAsiaTheme="minorEastAsia"/>
                <w:kern w:val="0"/>
                <w:szCs w:val="21"/>
              </w:rPr>
              <w:t>校验检温计精度</w:t>
            </w:r>
          </w:p>
        </w:tc>
        <w:tc>
          <w:tcPr>
            <w:tcW w:w="2309" w:type="pct"/>
            <w:gridSpan w:val="2"/>
            <w:tcBorders>
              <w:top w:val="nil"/>
              <w:left w:val="nil"/>
              <w:bottom w:val="single" w:color="auto" w:sz="4" w:space="0"/>
              <w:right w:val="single" w:color="auto" w:sz="4" w:space="0"/>
            </w:tcBorders>
            <w:shd w:val="clear" w:color="000000" w:fill="FFFFFF"/>
            <w:vAlign w:val="center"/>
          </w:tcPr>
          <w:p>
            <w:pPr>
              <w:widowControl/>
              <w:spacing w:line="360" w:lineRule="auto"/>
              <w:ind w:firstLine="94" w:firstLineChars="45"/>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用</w:t>
            </w:r>
            <w:r>
              <w:rPr>
                <w:rFonts w:hint="eastAsia" w:cs="宋体" w:asciiTheme="minorEastAsia" w:hAnsiTheme="minorEastAsia" w:eastAsiaTheme="minorEastAsia"/>
                <w:color w:val="000000"/>
                <w:kern w:val="0"/>
                <w:szCs w:val="21"/>
              </w:rPr>
              <w:t>250</w:t>
            </w:r>
            <w:r>
              <w:rPr>
                <w:rFonts w:hint="eastAsia" w:cs="仿宋" w:asciiTheme="minorEastAsia" w:hAnsiTheme="minorEastAsia" w:eastAsiaTheme="minorEastAsia"/>
                <w:color w:val="000000"/>
                <w:spacing w:val="0"/>
                <w:w w:val="15"/>
                <w:kern w:val="0"/>
                <w:szCs w:val="21"/>
                <w:fitText w:val="42" w:id="751453555"/>
              </w:rPr>
              <w:t xml:space="preserve">　 </w:t>
            </w:r>
            <w:r>
              <w:rPr>
                <w:rFonts w:hint="eastAsia" w:cs="仿宋" w:asciiTheme="minorEastAsia" w:hAnsiTheme="minorEastAsia" w:eastAsiaTheme="minorEastAsia"/>
                <w:color w:val="000000"/>
                <w:spacing w:val="-17"/>
                <w:w w:val="15"/>
                <w:kern w:val="0"/>
                <w:szCs w:val="21"/>
                <w:fitText w:val="42" w:id="751453555"/>
              </w:rPr>
              <w:t>　</w:t>
            </w:r>
            <w:r>
              <w:rPr>
                <w:rFonts w:hint="eastAsia" w:cs="宋体" w:asciiTheme="minorEastAsia" w:hAnsiTheme="minorEastAsia" w:eastAsiaTheme="minorEastAsia"/>
                <w:color w:val="000000"/>
                <w:kern w:val="0"/>
                <w:szCs w:val="21"/>
              </w:rPr>
              <w:t>V</w:t>
            </w:r>
            <w:r>
              <w:rPr>
                <w:rFonts w:cs="宋体" w:asciiTheme="minorEastAsia" w:hAnsiTheme="minorEastAsia" w:eastAsiaTheme="minorEastAsia"/>
                <w:kern w:val="0"/>
                <w:szCs w:val="21"/>
              </w:rPr>
              <w:t>兆欧表检测不短路</w:t>
            </w:r>
            <w:r>
              <w:rPr>
                <w:rFonts w:hint="eastAsia" w:cs="宋体" w:asciiTheme="minorEastAsia" w:hAnsiTheme="minorEastAsia" w:eastAsiaTheme="minorEastAsia"/>
                <w:color w:val="000000"/>
                <w:kern w:val="0"/>
                <w:szCs w:val="21"/>
              </w:rPr>
              <w:t>，</w:t>
            </w:r>
            <w:r>
              <w:rPr>
                <w:rFonts w:cs="宋体" w:asciiTheme="minorEastAsia" w:hAnsiTheme="minorEastAsia" w:eastAsiaTheme="minorEastAsia"/>
                <w:kern w:val="0"/>
                <w:szCs w:val="21"/>
              </w:rPr>
              <w:t>精度符合出厂规定</w:t>
            </w:r>
          </w:p>
        </w:tc>
      </w:tr>
      <w:tr>
        <w:tblPrEx>
          <w:tblCellMar>
            <w:top w:w="0" w:type="dxa"/>
            <w:left w:w="108" w:type="dxa"/>
            <w:bottom w:w="0" w:type="dxa"/>
            <w:right w:w="108" w:type="dxa"/>
          </w:tblCellMar>
        </w:tblPrEx>
        <w:trPr>
          <w:jc w:val="center"/>
        </w:trPr>
        <w:tc>
          <w:tcPr>
            <w:tcW w:w="616" w:type="pct"/>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2</w:t>
            </w:r>
          </w:p>
        </w:tc>
        <w:tc>
          <w:tcPr>
            <w:tcW w:w="390" w:type="pct"/>
            <w:vMerge w:val="continue"/>
            <w:tcBorders>
              <w:left w:val="nil"/>
              <w:bottom w:val="single" w:color="auto" w:sz="4" w:space="0"/>
              <w:right w:val="single" w:color="auto" w:sz="4" w:space="0"/>
            </w:tcBorders>
            <w:shd w:val="clear" w:color="000000" w:fill="FFFFFF"/>
            <w:vAlign w:val="center"/>
          </w:tcPr>
          <w:p>
            <w:pPr>
              <w:widowControl/>
              <w:spacing w:line="360" w:lineRule="auto"/>
              <w:jc w:val="left"/>
              <w:rPr>
                <w:rFonts w:cs="宋体" w:asciiTheme="minorEastAsia" w:hAnsiTheme="minorEastAsia" w:eastAsiaTheme="minorEastAsia"/>
                <w:kern w:val="0"/>
                <w:szCs w:val="21"/>
              </w:rPr>
            </w:pPr>
          </w:p>
        </w:tc>
        <w:tc>
          <w:tcPr>
            <w:tcW w:w="391" w:type="pct"/>
            <w:vMerge w:val="continue"/>
            <w:tcBorders>
              <w:left w:val="nil"/>
              <w:bottom w:val="single" w:color="auto" w:sz="4" w:space="0"/>
              <w:right w:val="single" w:color="auto" w:sz="4" w:space="0"/>
            </w:tcBorders>
            <w:shd w:val="clear" w:color="000000" w:fill="FFFFFF"/>
            <w:vAlign w:val="center"/>
          </w:tcPr>
          <w:p>
            <w:pPr>
              <w:widowControl/>
              <w:spacing w:line="360" w:lineRule="auto"/>
              <w:jc w:val="left"/>
              <w:rPr>
                <w:rFonts w:cs="宋体" w:asciiTheme="minorEastAsia" w:hAnsiTheme="minorEastAsia" w:eastAsiaTheme="minorEastAsia"/>
                <w:kern w:val="0"/>
                <w:szCs w:val="21"/>
              </w:rPr>
            </w:pPr>
          </w:p>
        </w:tc>
        <w:tc>
          <w:tcPr>
            <w:tcW w:w="1294" w:type="pct"/>
            <w:tcBorders>
              <w:top w:val="nil"/>
              <w:left w:val="nil"/>
              <w:bottom w:val="single" w:color="auto" w:sz="4" w:space="0"/>
              <w:right w:val="single" w:color="auto" w:sz="4" w:space="0"/>
            </w:tcBorders>
            <w:shd w:val="clear" w:color="000000" w:fill="FFFFFF"/>
            <w:vAlign w:val="center"/>
          </w:tcPr>
          <w:p>
            <w:pPr>
              <w:widowControl/>
              <w:spacing w:line="360" w:lineRule="auto"/>
              <w:ind w:firstLine="94" w:firstLineChars="45"/>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测量灭磁电阻</w:t>
            </w:r>
            <w:r>
              <w:rPr>
                <w:rFonts w:hint="eastAsia" w:cs="宋体" w:asciiTheme="minorEastAsia" w:hAnsiTheme="minorEastAsia" w:eastAsiaTheme="minorEastAsia"/>
                <w:color w:val="000000"/>
                <w:kern w:val="0"/>
                <w:szCs w:val="21"/>
              </w:rPr>
              <w:t>，</w:t>
            </w:r>
            <w:r>
              <w:rPr>
                <w:rFonts w:cs="宋体" w:asciiTheme="minorEastAsia" w:hAnsiTheme="minorEastAsia" w:eastAsiaTheme="minorEastAsia"/>
                <w:kern w:val="0"/>
                <w:szCs w:val="21"/>
              </w:rPr>
              <w:t>自同步电阻器的直流电阻</w:t>
            </w:r>
          </w:p>
        </w:tc>
        <w:tc>
          <w:tcPr>
            <w:tcW w:w="2309" w:type="pct"/>
            <w:gridSpan w:val="2"/>
            <w:tcBorders>
              <w:top w:val="nil"/>
              <w:left w:val="nil"/>
              <w:bottom w:val="single" w:color="auto" w:sz="4" w:space="0"/>
              <w:right w:val="single" w:color="auto" w:sz="4" w:space="0"/>
            </w:tcBorders>
            <w:shd w:val="clear" w:color="000000" w:fill="FFFFFF"/>
            <w:vAlign w:val="center"/>
          </w:tcPr>
          <w:p>
            <w:pPr>
              <w:widowControl/>
              <w:spacing w:line="360" w:lineRule="auto"/>
              <w:ind w:firstLine="94" w:firstLineChars="45"/>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与铭牌相比较</w:t>
            </w:r>
            <w:r>
              <w:rPr>
                <w:rFonts w:hint="eastAsia" w:cs="宋体" w:asciiTheme="minorEastAsia" w:hAnsiTheme="minorEastAsia" w:eastAsiaTheme="minorEastAsia"/>
                <w:color w:val="000000"/>
                <w:kern w:val="0"/>
                <w:szCs w:val="21"/>
              </w:rPr>
              <w:t>，</w:t>
            </w:r>
            <w:r>
              <w:rPr>
                <w:rFonts w:cs="宋体" w:asciiTheme="minorEastAsia" w:hAnsiTheme="minorEastAsia" w:eastAsiaTheme="minorEastAsia"/>
                <w:kern w:val="0"/>
                <w:szCs w:val="21"/>
              </w:rPr>
              <w:t>其差值为±1</w:t>
            </w:r>
            <w:r>
              <w:rPr>
                <w:rFonts w:hint="eastAsia" w:cs="宋体" w:asciiTheme="minorEastAsia" w:hAnsiTheme="minorEastAsia" w:eastAsiaTheme="minorEastAsia"/>
                <w:kern w:val="0"/>
                <w:szCs w:val="21"/>
              </w:rPr>
              <w:t>0</w:t>
            </w:r>
            <w:r>
              <w:rPr>
                <w:rFonts w:hint="eastAsia" w:cs="宋体" w:asciiTheme="minorEastAsia" w:hAnsiTheme="minorEastAsia" w:eastAsiaTheme="minorEastAsia"/>
                <w:color w:val="000000"/>
                <w:kern w:val="0"/>
                <w:szCs w:val="21"/>
              </w:rPr>
              <w:t>%</w:t>
            </w:r>
          </w:p>
        </w:tc>
      </w:tr>
      <w:tr>
        <w:tblPrEx>
          <w:tblCellMar>
            <w:top w:w="0" w:type="dxa"/>
            <w:left w:w="108" w:type="dxa"/>
            <w:bottom w:w="0" w:type="dxa"/>
            <w:right w:w="108" w:type="dxa"/>
          </w:tblCellMar>
        </w:tblPrEx>
        <w:trPr>
          <w:gridAfter w:val="1"/>
          <w:wAfter w:w="32" w:type="pct"/>
          <w:jc w:val="center"/>
        </w:trPr>
        <w:tc>
          <w:tcPr>
            <w:tcW w:w="616" w:type="pct"/>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3</w:t>
            </w:r>
          </w:p>
        </w:tc>
        <w:tc>
          <w:tcPr>
            <w:tcW w:w="781" w:type="pct"/>
            <w:gridSpan w:val="2"/>
            <w:vMerge w:val="restart"/>
            <w:tcBorders>
              <w:top w:val="nil"/>
              <w:left w:val="nil"/>
              <w:right w:val="single" w:color="auto" w:sz="4" w:space="0"/>
            </w:tcBorders>
            <w:shd w:val="clear" w:color="000000" w:fill="FFFFFF"/>
            <w:vAlign w:val="center"/>
          </w:tcPr>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运转试验</w:t>
            </w:r>
          </w:p>
        </w:tc>
        <w:tc>
          <w:tcPr>
            <w:tcW w:w="1294" w:type="pct"/>
            <w:tcBorders>
              <w:top w:val="single" w:color="000000" w:themeColor="text1" w:sz="4" w:space="0"/>
              <w:left w:val="nil"/>
              <w:bottom w:val="single" w:color="auto" w:sz="4" w:space="0"/>
              <w:right w:val="single" w:color="auto" w:sz="4" w:space="0"/>
            </w:tcBorders>
            <w:shd w:val="clear" w:color="000000" w:fill="FFFFFF"/>
            <w:vAlign w:val="center"/>
          </w:tcPr>
          <w:p>
            <w:pPr>
              <w:widowControl/>
              <w:spacing w:line="360" w:lineRule="auto"/>
              <w:ind w:firstLine="94" w:firstLineChars="45"/>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发电机空载特性试验</w:t>
            </w:r>
          </w:p>
        </w:tc>
        <w:tc>
          <w:tcPr>
            <w:tcW w:w="2277" w:type="pct"/>
            <w:tcBorders>
              <w:top w:val="single" w:color="000000" w:themeColor="text1" w:sz="4" w:space="0"/>
              <w:left w:val="nil"/>
              <w:bottom w:val="single" w:color="auto" w:sz="4" w:space="0"/>
              <w:right w:val="single" w:color="auto" w:sz="4" w:space="0"/>
            </w:tcBorders>
            <w:shd w:val="clear" w:color="000000" w:fill="FFFFFF"/>
            <w:vAlign w:val="center"/>
          </w:tcPr>
          <w:p>
            <w:pPr>
              <w:pStyle w:val="64"/>
              <w:spacing w:line="360" w:lineRule="auto"/>
              <w:ind w:firstLine="72"/>
              <w:rPr>
                <w:rFonts w:asciiTheme="minorEastAsia" w:hAnsiTheme="minorEastAsia" w:eastAsiaTheme="minorEastAsia"/>
                <w:sz w:val="21"/>
                <w:szCs w:val="21"/>
              </w:rPr>
            </w:pPr>
            <w:r>
              <w:rPr>
                <w:rFonts w:asciiTheme="minorEastAsia" w:hAnsiTheme="minorEastAsia" w:eastAsiaTheme="minorEastAsia"/>
                <w:sz w:val="21"/>
                <w:szCs w:val="21"/>
              </w:rPr>
              <w:t>按设备说明书比对</w:t>
            </w:r>
            <w:r>
              <w:rPr>
                <w:rFonts w:hint="eastAsia" w:asciiTheme="minorEastAsia" w:hAnsiTheme="minorEastAsia" w:eastAsiaTheme="minorEastAsia"/>
                <w:color w:val="000000"/>
                <w:sz w:val="21"/>
                <w:szCs w:val="21"/>
              </w:rPr>
              <w:t>，</w:t>
            </w:r>
            <w:r>
              <w:rPr>
                <w:rFonts w:asciiTheme="minorEastAsia" w:hAnsiTheme="minorEastAsia" w:eastAsiaTheme="minorEastAsia"/>
                <w:sz w:val="21"/>
                <w:szCs w:val="21"/>
              </w:rPr>
              <w:t>符合要求</w:t>
            </w:r>
          </w:p>
        </w:tc>
      </w:tr>
      <w:tr>
        <w:tblPrEx>
          <w:tblCellMar>
            <w:top w:w="0" w:type="dxa"/>
            <w:left w:w="108" w:type="dxa"/>
            <w:bottom w:w="0" w:type="dxa"/>
            <w:right w:w="108" w:type="dxa"/>
          </w:tblCellMar>
        </w:tblPrEx>
        <w:trPr>
          <w:gridAfter w:val="1"/>
          <w:wAfter w:w="32" w:type="pct"/>
          <w:jc w:val="center"/>
        </w:trPr>
        <w:tc>
          <w:tcPr>
            <w:tcW w:w="616" w:type="pct"/>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4</w:t>
            </w:r>
          </w:p>
        </w:tc>
        <w:tc>
          <w:tcPr>
            <w:tcW w:w="781" w:type="pct"/>
            <w:gridSpan w:val="2"/>
            <w:vMerge w:val="continue"/>
            <w:tcBorders>
              <w:left w:val="nil"/>
              <w:right w:val="single" w:color="auto" w:sz="4" w:space="0"/>
            </w:tcBorders>
            <w:shd w:val="clear" w:color="000000" w:fill="FFFFFF"/>
            <w:vAlign w:val="center"/>
          </w:tcPr>
          <w:p>
            <w:pPr>
              <w:widowControl/>
              <w:spacing w:line="360" w:lineRule="auto"/>
              <w:jc w:val="left"/>
              <w:rPr>
                <w:rFonts w:cs="宋体" w:asciiTheme="minorEastAsia" w:hAnsiTheme="minorEastAsia" w:eastAsiaTheme="minorEastAsia"/>
                <w:kern w:val="0"/>
                <w:szCs w:val="21"/>
              </w:rPr>
            </w:pPr>
          </w:p>
        </w:tc>
        <w:tc>
          <w:tcPr>
            <w:tcW w:w="1294" w:type="pct"/>
            <w:tcBorders>
              <w:top w:val="nil"/>
              <w:left w:val="nil"/>
              <w:bottom w:val="single" w:color="auto" w:sz="4" w:space="0"/>
              <w:right w:val="single" w:color="auto" w:sz="4" w:space="0"/>
            </w:tcBorders>
            <w:shd w:val="clear" w:color="000000" w:fill="FFFFFF"/>
            <w:vAlign w:val="center"/>
          </w:tcPr>
          <w:p>
            <w:pPr>
              <w:widowControl/>
              <w:spacing w:line="360" w:lineRule="auto"/>
              <w:ind w:firstLine="94" w:firstLineChars="45"/>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测量相序和残压</w:t>
            </w:r>
          </w:p>
        </w:tc>
        <w:tc>
          <w:tcPr>
            <w:tcW w:w="2277" w:type="pct"/>
            <w:tcBorders>
              <w:top w:val="nil"/>
              <w:left w:val="nil"/>
              <w:bottom w:val="single" w:color="auto" w:sz="4" w:space="0"/>
              <w:right w:val="single" w:color="auto" w:sz="4" w:space="0"/>
            </w:tcBorders>
            <w:shd w:val="clear" w:color="000000" w:fill="FFFFFF"/>
            <w:vAlign w:val="center"/>
          </w:tcPr>
          <w:p>
            <w:pPr>
              <w:pStyle w:val="64"/>
              <w:spacing w:line="360" w:lineRule="auto"/>
              <w:ind w:firstLine="72"/>
              <w:rPr>
                <w:rFonts w:asciiTheme="minorEastAsia" w:hAnsiTheme="minorEastAsia" w:eastAsiaTheme="minorEastAsia"/>
                <w:sz w:val="21"/>
                <w:szCs w:val="21"/>
              </w:rPr>
            </w:pPr>
            <w:r>
              <w:rPr>
                <w:rFonts w:asciiTheme="minorEastAsia" w:hAnsiTheme="minorEastAsia" w:eastAsiaTheme="minorEastAsia"/>
                <w:sz w:val="21"/>
                <w:szCs w:val="21"/>
              </w:rPr>
              <w:t>相序与出线标识相符</w:t>
            </w:r>
          </w:p>
        </w:tc>
      </w:tr>
      <w:tr>
        <w:tblPrEx>
          <w:tblCellMar>
            <w:top w:w="0" w:type="dxa"/>
            <w:left w:w="108" w:type="dxa"/>
            <w:bottom w:w="0" w:type="dxa"/>
            <w:right w:w="108" w:type="dxa"/>
          </w:tblCellMar>
        </w:tblPrEx>
        <w:trPr>
          <w:gridAfter w:val="1"/>
          <w:wAfter w:w="32" w:type="pct"/>
          <w:jc w:val="center"/>
        </w:trPr>
        <w:tc>
          <w:tcPr>
            <w:tcW w:w="616" w:type="pct"/>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5</w:t>
            </w:r>
          </w:p>
        </w:tc>
        <w:tc>
          <w:tcPr>
            <w:tcW w:w="781" w:type="pct"/>
            <w:gridSpan w:val="2"/>
            <w:vMerge w:val="continue"/>
            <w:tcBorders>
              <w:left w:val="nil"/>
              <w:right w:val="single" w:color="auto" w:sz="4" w:space="0"/>
            </w:tcBorders>
            <w:shd w:val="clear" w:color="000000" w:fill="FFFFFF"/>
            <w:vAlign w:val="center"/>
          </w:tcPr>
          <w:p>
            <w:pPr>
              <w:widowControl/>
              <w:spacing w:line="360" w:lineRule="auto"/>
              <w:jc w:val="left"/>
              <w:rPr>
                <w:rFonts w:cs="宋体" w:asciiTheme="minorEastAsia" w:hAnsiTheme="minorEastAsia" w:eastAsiaTheme="minorEastAsia"/>
                <w:kern w:val="0"/>
                <w:szCs w:val="21"/>
              </w:rPr>
            </w:pPr>
          </w:p>
        </w:tc>
        <w:tc>
          <w:tcPr>
            <w:tcW w:w="1294" w:type="pct"/>
            <w:tcBorders>
              <w:top w:val="nil"/>
              <w:left w:val="nil"/>
              <w:bottom w:val="single" w:color="auto" w:sz="4" w:space="0"/>
              <w:right w:val="single" w:color="auto" w:sz="4" w:space="0"/>
            </w:tcBorders>
            <w:shd w:val="clear" w:color="000000" w:fill="FFFFFF"/>
            <w:vAlign w:val="center"/>
          </w:tcPr>
          <w:p>
            <w:pPr>
              <w:widowControl/>
              <w:spacing w:line="360" w:lineRule="auto"/>
              <w:ind w:firstLine="94" w:firstLineChars="45"/>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测量空载和负荷后轴电压</w:t>
            </w:r>
          </w:p>
        </w:tc>
        <w:tc>
          <w:tcPr>
            <w:tcW w:w="2277" w:type="pct"/>
            <w:tcBorders>
              <w:top w:val="nil"/>
              <w:left w:val="nil"/>
              <w:bottom w:val="single" w:color="auto" w:sz="4" w:space="0"/>
              <w:right w:val="single" w:color="auto" w:sz="4" w:space="0"/>
            </w:tcBorders>
            <w:shd w:val="clear" w:color="000000" w:fill="FFFFFF"/>
            <w:vAlign w:val="center"/>
          </w:tcPr>
          <w:p>
            <w:pPr>
              <w:pStyle w:val="64"/>
              <w:spacing w:line="360" w:lineRule="auto"/>
              <w:ind w:firstLine="72"/>
              <w:rPr>
                <w:rFonts w:asciiTheme="minorEastAsia" w:hAnsiTheme="minorEastAsia" w:eastAsiaTheme="minorEastAsia"/>
                <w:sz w:val="21"/>
                <w:szCs w:val="21"/>
              </w:rPr>
            </w:pPr>
            <w:r>
              <w:rPr>
                <w:rFonts w:asciiTheme="minorEastAsia" w:hAnsiTheme="minorEastAsia" w:eastAsiaTheme="minorEastAsia"/>
                <w:sz w:val="21"/>
                <w:szCs w:val="21"/>
              </w:rPr>
              <w:t>按设备说明书比对</w:t>
            </w:r>
            <w:r>
              <w:rPr>
                <w:rFonts w:hint="eastAsia" w:asciiTheme="minorEastAsia" w:hAnsiTheme="minorEastAsia" w:eastAsiaTheme="minorEastAsia"/>
                <w:color w:val="000000"/>
                <w:sz w:val="21"/>
                <w:szCs w:val="21"/>
              </w:rPr>
              <w:t>，</w:t>
            </w:r>
            <w:r>
              <w:rPr>
                <w:rFonts w:asciiTheme="minorEastAsia" w:hAnsiTheme="minorEastAsia" w:eastAsiaTheme="minorEastAsia"/>
                <w:sz w:val="21"/>
                <w:szCs w:val="21"/>
              </w:rPr>
              <w:t>符合要求</w:t>
            </w:r>
          </w:p>
        </w:tc>
      </w:tr>
      <w:tr>
        <w:tblPrEx>
          <w:tblCellMar>
            <w:top w:w="0" w:type="dxa"/>
            <w:left w:w="108" w:type="dxa"/>
            <w:bottom w:w="0" w:type="dxa"/>
            <w:right w:w="108" w:type="dxa"/>
          </w:tblCellMar>
        </w:tblPrEx>
        <w:trPr>
          <w:gridAfter w:val="1"/>
          <w:wAfter w:w="32" w:type="pct"/>
          <w:jc w:val="center"/>
        </w:trPr>
        <w:tc>
          <w:tcPr>
            <w:tcW w:w="616" w:type="pct"/>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6</w:t>
            </w:r>
          </w:p>
        </w:tc>
        <w:tc>
          <w:tcPr>
            <w:tcW w:w="781" w:type="pct"/>
            <w:gridSpan w:val="2"/>
            <w:vMerge w:val="continue"/>
            <w:tcBorders>
              <w:left w:val="nil"/>
              <w:right w:val="single" w:color="auto" w:sz="4" w:space="0"/>
            </w:tcBorders>
            <w:shd w:val="clear" w:color="000000" w:fill="FFFFFF"/>
            <w:vAlign w:val="center"/>
          </w:tcPr>
          <w:p>
            <w:pPr>
              <w:widowControl/>
              <w:spacing w:line="360" w:lineRule="auto"/>
              <w:jc w:val="left"/>
              <w:rPr>
                <w:rFonts w:cs="宋体" w:asciiTheme="minorEastAsia" w:hAnsiTheme="minorEastAsia" w:eastAsiaTheme="minorEastAsia"/>
                <w:kern w:val="0"/>
                <w:szCs w:val="21"/>
              </w:rPr>
            </w:pPr>
          </w:p>
        </w:tc>
        <w:tc>
          <w:tcPr>
            <w:tcW w:w="1294" w:type="pct"/>
            <w:tcBorders>
              <w:top w:val="nil"/>
              <w:left w:val="nil"/>
              <w:bottom w:val="single" w:color="auto" w:sz="4" w:space="0"/>
              <w:right w:val="single" w:color="auto" w:sz="4" w:space="0"/>
            </w:tcBorders>
            <w:shd w:val="clear" w:color="000000" w:fill="FFFFFF"/>
            <w:vAlign w:val="center"/>
          </w:tcPr>
          <w:p>
            <w:pPr>
              <w:widowControl/>
              <w:spacing w:line="360" w:lineRule="auto"/>
              <w:ind w:firstLine="94" w:firstLineChars="45"/>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测量启停试验</w:t>
            </w:r>
          </w:p>
        </w:tc>
        <w:tc>
          <w:tcPr>
            <w:tcW w:w="2277" w:type="pct"/>
            <w:tcBorders>
              <w:top w:val="nil"/>
              <w:left w:val="nil"/>
              <w:bottom w:val="single" w:color="auto" w:sz="4" w:space="0"/>
              <w:right w:val="single" w:color="auto" w:sz="4" w:space="0"/>
            </w:tcBorders>
            <w:shd w:val="clear" w:color="000000" w:fill="FFFFFF"/>
            <w:vAlign w:val="center"/>
          </w:tcPr>
          <w:p>
            <w:pPr>
              <w:pStyle w:val="64"/>
              <w:spacing w:line="360" w:lineRule="auto"/>
              <w:ind w:firstLine="72"/>
              <w:rPr>
                <w:rFonts w:asciiTheme="minorEastAsia" w:hAnsiTheme="minorEastAsia" w:eastAsiaTheme="minorEastAsia"/>
                <w:sz w:val="21"/>
                <w:szCs w:val="21"/>
              </w:rPr>
            </w:pPr>
            <w:r>
              <w:rPr>
                <w:rFonts w:asciiTheme="minorEastAsia" w:hAnsiTheme="minorEastAsia" w:eastAsiaTheme="minorEastAsia"/>
                <w:sz w:val="21"/>
                <w:szCs w:val="21"/>
              </w:rPr>
              <w:t>按设计要求检查</w:t>
            </w:r>
            <w:r>
              <w:rPr>
                <w:rFonts w:hint="eastAsia" w:asciiTheme="minorEastAsia" w:hAnsiTheme="minorEastAsia" w:eastAsiaTheme="minorEastAsia"/>
                <w:color w:val="000000"/>
                <w:sz w:val="21"/>
                <w:szCs w:val="21"/>
              </w:rPr>
              <w:t>，</w:t>
            </w:r>
            <w:r>
              <w:rPr>
                <w:rFonts w:asciiTheme="minorEastAsia" w:hAnsiTheme="minorEastAsia" w:eastAsiaTheme="minorEastAsia"/>
                <w:sz w:val="21"/>
                <w:szCs w:val="21"/>
              </w:rPr>
              <w:t>符合要求</w:t>
            </w:r>
          </w:p>
        </w:tc>
      </w:tr>
      <w:tr>
        <w:tblPrEx>
          <w:tblCellMar>
            <w:top w:w="0" w:type="dxa"/>
            <w:left w:w="108" w:type="dxa"/>
            <w:bottom w:w="0" w:type="dxa"/>
            <w:right w:w="108" w:type="dxa"/>
          </w:tblCellMar>
        </w:tblPrEx>
        <w:trPr>
          <w:gridAfter w:val="1"/>
          <w:wAfter w:w="32" w:type="pct"/>
          <w:trHeight w:val="1189" w:hRule="atLeast"/>
          <w:jc w:val="center"/>
        </w:trPr>
        <w:tc>
          <w:tcPr>
            <w:tcW w:w="616" w:type="pct"/>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7</w:t>
            </w:r>
          </w:p>
        </w:tc>
        <w:tc>
          <w:tcPr>
            <w:tcW w:w="781" w:type="pct"/>
            <w:gridSpan w:val="2"/>
            <w:vMerge w:val="continue"/>
            <w:tcBorders>
              <w:left w:val="nil"/>
              <w:right w:val="single" w:color="auto" w:sz="4" w:space="0"/>
            </w:tcBorders>
            <w:shd w:val="clear" w:color="000000" w:fill="FFFFFF"/>
            <w:vAlign w:val="center"/>
          </w:tcPr>
          <w:p>
            <w:pPr>
              <w:widowControl/>
              <w:spacing w:line="360" w:lineRule="auto"/>
              <w:jc w:val="left"/>
              <w:rPr>
                <w:rFonts w:cs="宋体" w:asciiTheme="minorEastAsia" w:hAnsiTheme="minorEastAsia" w:eastAsiaTheme="minorEastAsia"/>
                <w:kern w:val="0"/>
                <w:szCs w:val="21"/>
              </w:rPr>
            </w:pPr>
          </w:p>
        </w:tc>
        <w:tc>
          <w:tcPr>
            <w:tcW w:w="1294" w:type="pct"/>
            <w:tcBorders>
              <w:top w:val="nil"/>
              <w:left w:val="nil"/>
              <w:bottom w:val="single" w:color="auto" w:sz="4" w:space="0"/>
              <w:right w:val="single" w:color="auto" w:sz="4" w:space="0"/>
            </w:tcBorders>
            <w:shd w:val="clear" w:color="000000" w:fill="FFFFFF"/>
            <w:vAlign w:val="center"/>
          </w:tcPr>
          <w:p>
            <w:pPr>
              <w:widowControl/>
              <w:spacing w:line="360" w:lineRule="auto"/>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1</w:t>
            </w:r>
            <w:r>
              <w:rPr>
                <w:rFonts w:hint="eastAsia" w:cs="仿宋" w:asciiTheme="minorEastAsia" w:hAnsiTheme="minorEastAsia" w:eastAsiaTheme="minorEastAsia"/>
                <w:color w:val="000000"/>
                <w:spacing w:val="0"/>
                <w:w w:val="15"/>
                <w:kern w:val="0"/>
                <w:szCs w:val="21"/>
                <w:fitText w:val="42" w:id="1006526601"/>
              </w:rPr>
              <w:t xml:space="preserve">　 </w:t>
            </w:r>
            <w:r>
              <w:rPr>
                <w:rFonts w:hint="eastAsia" w:cs="仿宋" w:asciiTheme="minorEastAsia" w:hAnsiTheme="minorEastAsia" w:eastAsiaTheme="minorEastAsia"/>
                <w:color w:val="000000"/>
                <w:spacing w:val="-17"/>
                <w:w w:val="15"/>
                <w:kern w:val="0"/>
                <w:szCs w:val="21"/>
                <w:fitText w:val="42" w:id="1006526601"/>
              </w:rPr>
              <w:t>　</w:t>
            </w:r>
            <w:r>
              <w:rPr>
                <w:rFonts w:hint="eastAsia" w:cs="宋体" w:asciiTheme="minorEastAsia" w:hAnsiTheme="minorEastAsia" w:eastAsiaTheme="minorEastAsia"/>
                <w:color w:val="000000"/>
                <w:kern w:val="0"/>
                <w:szCs w:val="21"/>
              </w:rPr>
              <w:t>k</w:t>
            </w:r>
            <w:r>
              <w:rPr>
                <w:rFonts w:cs="宋体" w:asciiTheme="minorEastAsia" w:hAnsiTheme="minorEastAsia" w:eastAsiaTheme="minorEastAsia"/>
                <w:color w:val="000000"/>
                <w:kern w:val="0"/>
                <w:szCs w:val="21"/>
              </w:rPr>
              <w:t>V</w:t>
            </w:r>
            <w:r>
              <w:rPr>
                <w:rFonts w:cs="宋体" w:asciiTheme="minorEastAsia" w:hAnsiTheme="minorEastAsia" w:eastAsiaTheme="minorEastAsia"/>
                <w:kern w:val="0"/>
                <w:szCs w:val="21"/>
              </w:rPr>
              <w:t>以上发电机转子绕组膛外、膛内阻抗测量（转子如抽出）</w:t>
            </w:r>
          </w:p>
        </w:tc>
        <w:tc>
          <w:tcPr>
            <w:tcW w:w="2277" w:type="pct"/>
            <w:tcBorders>
              <w:top w:val="nil"/>
              <w:left w:val="nil"/>
              <w:bottom w:val="single" w:color="auto" w:sz="4" w:space="0"/>
              <w:right w:val="single" w:color="auto" w:sz="4" w:space="0"/>
            </w:tcBorders>
            <w:shd w:val="clear" w:color="000000" w:fill="FFFFFF"/>
            <w:vAlign w:val="center"/>
          </w:tcPr>
          <w:p>
            <w:pPr>
              <w:widowControl/>
              <w:spacing w:line="360" w:lineRule="auto"/>
              <w:ind w:firstLine="94" w:firstLineChars="45"/>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应无明显差别</w:t>
            </w:r>
          </w:p>
        </w:tc>
      </w:tr>
      <w:tr>
        <w:tblPrEx>
          <w:tblCellMar>
            <w:top w:w="0" w:type="dxa"/>
            <w:left w:w="108" w:type="dxa"/>
            <w:bottom w:w="0" w:type="dxa"/>
            <w:right w:w="108" w:type="dxa"/>
          </w:tblCellMar>
        </w:tblPrEx>
        <w:trPr>
          <w:gridAfter w:val="1"/>
          <w:wAfter w:w="32" w:type="pct"/>
          <w:jc w:val="center"/>
        </w:trPr>
        <w:tc>
          <w:tcPr>
            <w:tcW w:w="616" w:type="pct"/>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8</w:t>
            </w:r>
          </w:p>
        </w:tc>
        <w:tc>
          <w:tcPr>
            <w:tcW w:w="781" w:type="pct"/>
            <w:gridSpan w:val="2"/>
            <w:vMerge w:val="continue"/>
            <w:tcBorders>
              <w:left w:val="nil"/>
              <w:right w:val="single" w:color="auto" w:sz="4" w:space="0"/>
            </w:tcBorders>
            <w:shd w:val="clear" w:color="000000" w:fill="FFFFFF"/>
            <w:vAlign w:val="center"/>
          </w:tcPr>
          <w:p>
            <w:pPr>
              <w:widowControl/>
              <w:spacing w:line="360" w:lineRule="auto"/>
              <w:jc w:val="left"/>
              <w:rPr>
                <w:rFonts w:cs="宋体" w:asciiTheme="minorEastAsia" w:hAnsiTheme="minorEastAsia" w:eastAsiaTheme="minorEastAsia"/>
                <w:kern w:val="0"/>
                <w:szCs w:val="21"/>
              </w:rPr>
            </w:pPr>
          </w:p>
        </w:tc>
        <w:tc>
          <w:tcPr>
            <w:tcW w:w="1294" w:type="pct"/>
            <w:tcBorders>
              <w:top w:val="nil"/>
              <w:left w:val="nil"/>
              <w:bottom w:val="single" w:color="auto" w:sz="4" w:space="0"/>
              <w:right w:val="single" w:color="auto" w:sz="4" w:space="0"/>
            </w:tcBorders>
            <w:shd w:val="clear" w:color="000000" w:fill="FFFFFF"/>
            <w:vAlign w:val="center"/>
          </w:tcPr>
          <w:p>
            <w:pPr>
              <w:widowControl/>
              <w:spacing w:line="360" w:lineRule="auto"/>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1</w:t>
            </w:r>
            <w:r>
              <w:rPr>
                <w:rFonts w:hint="eastAsia" w:cs="仿宋" w:asciiTheme="minorEastAsia" w:hAnsiTheme="minorEastAsia" w:eastAsiaTheme="minorEastAsia"/>
                <w:color w:val="000000"/>
                <w:spacing w:val="0"/>
                <w:w w:val="15"/>
                <w:kern w:val="0"/>
                <w:szCs w:val="21"/>
                <w:fitText w:val="42" w:id="200103426"/>
              </w:rPr>
              <w:t xml:space="preserve">　 </w:t>
            </w:r>
            <w:r>
              <w:rPr>
                <w:rFonts w:hint="eastAsia" w:cs="仿宋" w:asciiTheme="minorEastAsia" w:hAnsiTheme="minorEastAsia" w:eastAsiaTheme="minorEastAsia"/>
                <w:color w:val="000000"/>
                <w:spacing w:val="-17"/>
                <w:w w:val="15"/>
                <w:kern w:val="0"/>
                <w:szCs w:val="21"/>
                <w:fitText w:val="42" w:id="200103426"/>
              </w:rPr>
              <w:t>　</w:t>
            </w:r>
            <w:r>
              <w:rPr>
                <w:rFonts w:hint="eastAsia" w:cs="宋体" w:asciiTheme="minorEastAsia" w:hAnsiTheme="minorEastAsia" w:eastAsiaTheme="minorEastAsia"/>
                <w:color w:val="000000"/>
                <w:kern w:val="0"/>
                <w:szCs w:val="21"/>
              </w:rPr>
              <w:t>k</w:t>
            </w:r>
            <w:r>
              <w:rPr>
                <w:rFonts w:cs="宋体" w:asciiTheme="minorEastAsia" w:hAnsiTheme="minorEastAsia" w:eastAsiaTheme="minorEastAsia"/>
                <w:color w:val="000000"/>
                <w:kern w:val="0"/>
                <w:szCs w:val="21"/>
              </w:rPr>
              <w:t>V</w:t>
            </w:r>
            <w:r>
              <w:rPr>
                <w:rFonts w:cs="宋体" w:asciiTheme="minorEastAsia" w:hAnsiTheme="minorEastAsia" w:eastAsiaTheme="minorEastAsia"/>
                <w:kern w:val="0"/>
                <w:szCs w:val="21"/>
              </w:rPr>
              <w:t>以上发电机灭磁时间常数测量</w:t>
            </w:r>
          </w:p>
        </w:tc>
        <w:tc>
          <w:tcPr>
            <w:tcW w:w="2277" w:type="pct"/>
            <w:tcBorders>
              <w:top w:val="nil"/>
              <w:left w:val="nil"/>
              <w:bottom w:val="single" w:color="auto" w:sz="4" w:space="0"/>
              <w:right w:val="single" w:color="auto" w:sz="4" w:space="0"/>
            </w:tcBorders>
            <w:shd w:val="clear" w:color="000000" w:fill="FFFFFF"/>
            <w:vAlign w:val="center"/>
          </w:tcPr>
          <w:p>
            <w:pPr>
              <w:widowControl/>
              <w:spacing w:line="360" w:lineRule="auto"/>
              <w:ind w:firstLine="94" w:firstLineChars="45"/>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按设备说明书比对</w:t>
            </w:r>
            <w:r>
              <w:rPr>
                <w:rFonts w:hint="eastAsia" w:cs="宋体" w:asciiTheme="minorEastAsia" w:hAnsiTheme="minorEastAsia" w:eastAsiaTheme="minorEastAsia"/>
                <w:color w:val="000000"/>
                <w:kern w:val="0"/>
                <w:szCs w:val="21"/>
              </w:rPr>
              <w:t>，</w:t>
            </w:r>
            <w:r>
              <w:rPr>
                <w:rFonts w:cs="宋体" w:asciiTheme="minorEastAsia" w:hAnsiTheme="minorEastAsia" w:eastAsiaTheme="minorEastAsia"/>
                <w:kern w:val="0"/>
                <w:szCs w:val="21"/>
              </w:rPr>
              <w:t>符合要求</w:t>
            </w:r>
          </w:p>
        </w:tc>
      </w:tr>
      <w:tr>
        <w:tblPrEx>
          <w:tblCellMar>
            <w:top w:w="0" w:type="dxa"/>
            <w:left w:w="108" w:type="dxa"/>
            <w:bottom w:w="0" w:type="dxa"/>
            <w:right w:w="108" w:type="dxa"/>
          </w:tblCellMar>
        </w:tblPrEx>
        <w:trPr>
          <w:gridAfter w:val="1"/>
          <w:wAfter w:w="32" w:type="pct"/>
          <w:jc w:val="center"/>
        </w:trPr>
        <w:tc>
          <w:tcPr>
            <w:tcW w:w="616" w:type="pct"/>
            <w:tcBorders>
              <w:top w:val="nil"/>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9</w:t>
            </w:r>
          </w:p>
        </w:tc>
        <w:tc>
          <w:tcPr>
            <w:tcW w:w="781" w:type="pct"/>
            <w:gridSpan w:val="2"/>
            <w:vMerge w:val="continue"/>
            <w:tcBorders>
              <w:left w:val="nil"/>
              <w:bottom w:val="single" w:color="000000" w:themeColor="text1" w:sz="4" w:space="0"/>
              <w:right w:val="single" w:color="auto" w:sz="4" w:space="0"/>
            </w:tcBorders>
            <w:shd w:val="clear" w:color="000000" w:fill="FFFFFF"/>
            <w:vAlign w:val="center"/>
          </w:tcPr>
          <w:p>
            <w:pPr>
              <w:widowControl/>
              <w:spacing w:line="360" w:lineRule="auto"/>
              <w:jc w:val="left"/>
              <w:rPr>
                <w:rFonts w:cs="宋体" w:asciiTheme="minorEastAsia" w:hAnsiTheme="minorEastAsia" w:eastAsiaTheme="minorEastAsia"/>
                <w:kern w:val="0"/>
                <w:szCs w:val="21"/>
              </w:rPr>
            </w:pPr>
          </w:p>
        </w:tc>
        <w:tc>
          <w:tcPr>
            <w:tcW w:w="1294" w:type="pct"/>
            <w:tcBorders>
              <w:top w:val="nil"/>
              <w:left w:val="nil"/>
              <w:bottom w:val="single" w:color="auto" w:sz="4" w:space="0"/>
              <w:right w:val="single" w:color="auto" w:sz="4" w:space="0"/>
            </w:tcBorders>
            <w:shd w:val="clear" w:color="000000" w:fill="FFFFFF"/>
            <w:vAlign w:val="center"/>
          </w:tcPr>
          <w:p>
            <w:pPr>
              <w:widowControl/>
              <w:spacing w:line="360" w:lineRule="auto"/>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1</w:t>
            </w:r>
            <w:r>
              <w:rPr>
                <w:rFonts w:hint="eastAsia" w:cs="仿宋" w:asciiTheme="minorEastAsia" w:hAnsiTheme="minorEastAsia" w:eastAsiaTheme="minorEastAsia"/>
                <w:color w:val="000000"/>
                <w:spacing w:val="0"/>
                <w:w w:val="15"/>
                <w:kern w:val="0"/>
                <w:szCs w:val="21"/>
                <w:fitText w:val="42" w:id="597307874"/>
              </w:rPr>
              <w:t xml:space="preserve">　 </w:t>
            </w:r>
            <w:r>
              <w:rPr>
                <w:rFonts w:hint="eastAsia" w:cs="仿宋" w:asciiTheme="minorEastAsia" w:hAnsiTheme="minorEastAsia" w:eastAsiaTheme="minorEastAsia"/>
                <w:color w:val="000000"/>
                <w:spacing w:val="-17"/>
                <w:w w:val="15"/>
                <w:kern w:val="0"/>
                <w:szCs w:val="21"/>
                <w:fitText w:val="42" w:id="597307874"/>
              </w:rPr>
              <w:t>　</w:t>
            </w:r>
            <w:r>
              <w:rPr>
                <w:rFonts w:hint="eastAsia" w:cs="宋体" w:asciiTheme="minorEastAsia" w:hAnsiTheme="minorEastAsia" w:eastAsiaTheme="minorEastAsia"/>
                <w:color w:val="000000"/>
                <w:kern w:val="0"/>
                <w:szCs w:val="21"/>
              </w:rPr>
              <w:t>k</w:t>
            </w:r>
            <w:r>
              <w:rPr>
                <w:rFonts w:cs="宋体" w:asciiTheme="minorEastAsia" w:hAnsiTheme="minorEastAsia" w:eastAsiaTheme="minorEastAsia"/>
                <w:color w:val="000000"/>
                <w:kern w:val="0"/>
                <w:szCs w:val="21"/>
              </w:rPr>
              <w:t>V</w:t>
            </w:r>
            <w:r>
              <w:rPr>
                <w:rFonts w:cs="宋体" w:asciiTheme="minorEastAsia" w:hAnsiTheme="minorEastAsia" w:eastAsiaTheme="minorEastAsia"/>
                <w:kern w:val="0"/>
                <w:szCs w:val="21"/>
              </w:rPr>
              <w:t>以上发电机短路特性试验</w:t>
            </w:r>
          </w:p>
        </w:tc>
        <w:tc>
          <w:tcPr>
            <w:tcW w:w="2277" w:type="pct"/>
            <w:tcBorders>
              <w:top w:val="nil"/>
              <w:left w:val="nil"/>
              <w:bottom w:val="single" w:color="auto" w:sz="4" w:space="0"/>
              <w:right w:val="single" w:color="auto" w:sz="4" w:space="0"/>
            </w:tcBorders>
            <w:shd w:val="clear" w:color="000000" w:fill="FFFFFF"/>
            <w:vAlign w:val="center"/>
          </w:tcPr>
          <w:p>
            <w:pPr>
              <w:widowControl/>
              <w:spacing w:line="360" w:lineRule="auto"/>
              <w:ind w:firstLine="94" w:firstLineChars="45"/>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按设备说明书比对</w:t>
            </w:r>
            <w:r>
              <w:rPr>
                <w:rFonts w:hint="eastAsia" w:cs="宋体" w:asciiTheme="minorEastAsia" w:hAnsiTheme="minorEastAsia" w:eastAsiaTheme="minorEastAsia"/>
                <w:color w:val="000000"/>
                <w:kern w:val="0"/>
                <w:szCs w:val="21"/>
              </w:rPr>
              <w:t>，</w:t>
            </w:r>
            <w:r>
              <w:rPr>
                <w:rFonts w:cs="宋体" w:asciiTheme="minorEastAsia" w:hAnsiTheme="minorEastAsia" w:eastAsiaTheme="minorEastAsia"/>
                <w:kern w:val="0"/>
                <w:szCs w:val="21"/>
              </w:rPr>
              <w:t>符合要求</w:t>
            </w:r>
          </w:p>
        </w:tc>
      </w:tr>
    </w:tbl>
    <w:p>
      <w:pPr>
        <w:pStyle w:val="64"/>
        <w:spacing w:after="100" w:line="240" w:lineRule="auto"/>
        <w:ind w:firstLine="0"/>
        <w:jc w:val="center"/>
        <w:rPr>
          <w:rFonts w:asciiTheme="minorEastAsia" w:hAnsiTheme="minorEastAsia" w:eastAsiaTheme="minorEastAsia"/>
          <w:sz w:val="28"/>
          <w:szCs w:val="28"/>
        </w:rPr>
      </w:pPr>
    </w:p>
    <w:p>
      <w:pPr>
        <w:pStyle w:val="64"/>
        <w:spacing w:after="100" w:line="240" w:lineRule="auto"/>
        <w:ind w:firstLine="0"/>
        <w:jc w:val="center"/>
        <w:rPr>
          <w:rFonts w:asciiTheme="minorEastAsia" w:hAnsiTheme="minorEastAsia" w:eastAsiaTheme="minorEastAsia"/>
          <w:sz w:val="28"/>
          <w:szCs w:val="28"/>
        </w:rPr>
      </w:pPr>
    </w:p>
    <w:p>
      <w:pPr>
        <w:widowControl/>
        <w:jc w:val="left"/>
        <w:rPr>
          <w:rFonts w:cs="宋体" w:asciiTheme="minorEastAsia" w:hAnsiTheme="minorEastAsia" w:eastAsiaTheme="minorEastAsia"/>
          <w:kern w:val="0"/>
          <w:sz w:val="28"/>
          <w:szCs w:val="28"/>
        </w:rPr>
      </w:pPr>
      <w:r>
        <w:rPr>
          <w:rFonts w:asciiTheme="minorEastAsia" w:hAnsiTheme="minorEastAsia" w:eastAsiaTheme="minorEastAsia"/>
          <w:sz w:val="28"/>
          <w:szCs w:val="28"/>
        </w:rPr>
        <w:br w:type="page"/>
      </w:r>
    </w:p>
    <w:p>
      <w:pPr>
        <w:pStyle w:val="2"/>
        <w:numPr>
          <w:ilvl w:val="0"/>
          <w:numId w:val="194"/>
        </w:numPr>
        <w:spacing w:before="120" w:beforeLines="50" w:after="120" w:afterLines="50" w:line="360" w:lineRule="auto"/>
        <w:jc w:val="center"/>
        <w:rPr>
          <w:rFonts w:asciiTheme="minorEastAsia" w:hAnsiTheme="minorEastAsia" w:eastAsiaTheme="minorEastAsia"/>
          <w:sz w:val="28"/>
          <w:szCs w:val="28"/>
        </w:rPr>
      </w:pPr>
      <w:bookmarkStart w:id="217" w:name="_Toc136869104"/>
      <w:bookmarkStart w:id="218" w:name="_Toc136868069"/>
      <w:bookmarkStart w:id="219" w:name="_Toc137216263"/>
      <w:r>
        <w:rPr>
          <w:rFonts w:hint="eastAsia" w:asciiTheme="minorEastAsia" w:hAnsiTheme="minorEastAsia" w:eastAsiaTheme="minorEastAsia"/>
          <w:sz w:val="28"/>
          <w:szCs w:val="28"/>
        </w:rPr>
        <w:t>母线螺栓搭接尺寸</w:t>
      </w:r>
      <w:bookmarkEnd w:id="217"/>
      <w:bookmarkEnd w:id="218"/>
      <w:bookmarkEnd w:id="219"/>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5"/>
        <w:gridCol w:w="433"/>
        <w:gridCol w:w="631"/>
        <w:gridCol w:w="853"/>
        <w:gridCol w:w="1180"/>
        <w:gridCol w:w="832"/>
        <w:gridCol w:w="1020"/>
        <w:gridCol w:w="551"/>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Merge w:val="restart"/>
          </w:tcPr>
          <w:p>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搭接形式</w:t>
            </w:r>
          </w:p>
        </w:tc>
        <w:tc>
          <w:tcPr>
            <w:tcW w:w="254" w:type="pct"/>
            <w:vMerge w:val="restart"/>
          </w:tcPr>
          <w:p>
            <w:pPr>
              <w:widowControl/>
              <w:spacing w:line="28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类别</w:t>
            </w:r>
          </w:p>
        </w:tc>
        <w:tc>
          <w:tcPr>
            <w:tcW w:w="370" w:type="pct"/>
            <w:vMerge w:val="restart"/>
          </w:tcPr>
          <w:p>
            <w:pPr>
              <w:widowControl/>
              <w:spacing w:line="28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序号</w:t>
            </w:r>
          </w:p>
        </w:tc>
        <w:tc>
          <w:tcPr>
            <w:tcW w:w="1680" w:type="pct"/>
            <w:gridSpan w:val="3"/>
          </w:tcPr>
          <w:p>
            <w:pPr>
              <w:widowControl/>
              <w:spacing w:line="28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连接尺寸（mm）</w:t>
            </w:r>
          </w:p>
        </w:tc>
        <w:tc>
          <w:tcPr>
            <w:tcW w:w="921" w:type="pct"/>
            <w:gridSpan w:val="2"/>
          </w:tcPr>
          <w:p>
            <w:pPr>
              <w:widowControl/>
              <w:spacing w:line="28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钻孔要求</w:t>
            </w:r>
          </w:p>
        </w:tc>
        <w:tc>
          <w:tcPr>
            <w:tcW w:w="413" w:type="pct"/>
            <w:vMerge w:val="restart"/>
          </w:tcPr>
          <w:p>
            <w:pPr>
              <w:widowControl/>
              <w:spacing w:line="28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螺栓规格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Merge w:val="continue"/>
          </w:tcPr>
          <w:p>
            <w:pPr>
              <w:widowControl/>
              <w:spacing w:line="280" w:lineRule="exact"/>
              <w:ind w:firstLine="94" w:firstLineChars="45"/>
              <w:jc w:val="left"/>
              <w:rPr>
                <w:rFonts w:cs="宋体" w:asciiTheme="minorEastAsia" w:hAnsiTheme="minorEastAsia" w:eastAsiaTheme="minorEastAsia"/>
                <w:kern w:val="0"/>
                <w:szCs w:val="21"/>
              </w:rPr>
            </w:pPr>
          </w:p>
        </w:tc>
        <w:tc>
          <w:tcPr>
            <w:tcW w:w="254" w:type="pct"/>
            <w:vMerge w:val="continue"/>
          </w:tcPr>
          <w:p>
            <w:pPr>
              <w:widowControl/>
              <w:spacing w:line="280" w:lineRule="exact"/>
              <w:ind w:firstLine="94" w:firstLineChars="45"/>
              <w:jc w:val="center"/>
              <w:rPr>
                <w:rFonts w:cs="宋体" w:asciiTheme="minorEastAsia" w:hAnsiTheme="minorEastAsia" w:eastAsiaTheme="minorEastAsia"/>
                <w:kern w:val="0"/>
                <w:szCs w:val="21"/>
              </w:rPr>
            </w:pPr>
          </w:p>
        </w:tc>
        <w:tc>
          <w:tcPr>
            <w:tcW w:w="370" w:type="pct"/>
            <w:vMerge w:val="continue"/>
          </w:tcPr>
          <w:p>
            <w:pPr>
              <w:widowControl/>
              <w:spacing w:line="280" w:lineRule="exact"/>
              <w:ind w:firstLine="94" w:firstLineChars="45"/>
              <w:jc w:val="left"/>
              <w:rPr>
                <w:rFonts w:cs="宋体" w:asciiTheme="minorEastAsia" w:hAnsiTheme="minorEastAsia" w:eastAsiaTheme="minorEastAsia"/>
                <w:kern w:val="0"/>
                <w:szCs w:val="21"/>
              </w:rPr>
            </w:pPr>
          </w:p>
        </w:tc>
        <w:tc>
          <w:tcPr>
            <w:tcW w:w="500" w:type="pct"/>
          </w:tcPr>
          <w:p>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b</w:t>
            </w:r>
            <w:r>
              <w:rPr>
                <w:rFonts w:cs="宋体" w:asciiTheme="minorEastAsia" w:hAnsiTheme="minorEastAsia" w:eastAsiaTheme="minorEastAsia"/>
                <w:kern w:val="0"/>
                <w:szCs w:val="21"/>
                <w:vertAlign w:val="subscript"/>
              </w:rPr>
              <w:t>1</w:t>
            </w:r>
          </w:p>
        </w:tc>
        <w:tc>
          <w:tcPr>
            <w:tcW w:w="692" w:type="pct"/>
          </w:tcPr>
          <w:p>
            <w:pPr>
              <w:widowControl/>
              <w:spacing w:line="28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b</w:t>
            </w:r>
            <w:r>
              <w:rPr>
                <w:rFonts w:cs="宋体" w:asciiTheme="minorEastAsia" w:hAnsiTheme="minorEastAsia" w:eastAsiaTheme="minorEastAsia"/>
                <w:kern w:val="0"/>
                <w:szCs w:val="21"/>
              </w:rPr>
              <w:t>2</w:t>
            </w:r>
          </w:p>
        </w:tc>
        <w:tc>
          <w:tcPr>
            <w:tcW w:w="488" w:type="pct"/>
          </w:tcPr>
          <w:p>
            <w:pPr>
              <w:widowControl/>
              <w:spacing w:line="28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a</w:t>
            </w:r>
          </w:p>
        </w:tc>
        <w:tc>
          <w:tcPr>
            <w:tcW w:w="598" w:type="pct"/>
          </w:tcPr>
          <w:p>
            <w:pPr>
              <w:widowControl/>
              <w:spacing w:line="28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φ（mm）</w:t>
            </w:r>
          </w:p>
        </w:tc>
        <w:tc>
          <w:tcPr>
            <w:tcW w:w="323" w:type="pct"/>
          </w:tcPr>
          <w:p>
            <w:pPr>
              <w:widowControl/>
              <w:spacing w:line="28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个数</w:t>
            </w:r>
          </w:p>
        </w:tc>
        <w:tc>
          <w:tcPr>
            <w:tcW w:w="413" w:type="pct"/>
            <w:vMerge w:val="continue"/>
          </w:tcPr>
          <w:p>
            <w:pPr>
              <w:widowControl/>
              <w:spacing w:line="280" w:lineRule="exact"/>
              <w:ind w:firstLine="94" w:firstLineChars="45"/>
              <w:jc w:val="left"/>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Merge w:val="restart"/>
            <w:vAlign w:val="center"/>
          </w:tcPr>
          <w:p>
            <w:pPr>
              <w:widowControl/>
              <w:spacing w:line="360" w:lineRule="auto"/>
              <w:ind w:firstLine="72" w:firstLineChars="45"/>
              <w:jc w:val="left"/>
              <w:rPr>
                <w:rFonts w:cs="宋体" w:asciiTheme="minorEastAsia" w:hAnsiTheme="minorEastAsia" w:eastAsiaTheme="minorEastAsia"/>
                <w:kern w:val="0"/>
                <w:szCs w:val="21"/>
              </w:rPr>
            </w:pPr>
            <w:r>
              <w:rPr>
                <w:rFonts w:cs="宋体" w:asciiTheme="minorEastAsia" w:hAnsiTheme="minorEastAsia" w:eastAsiaTheme="minorEastAsia"/>
                <w:sz w:val="16"/>
                <w:szCs w:val="16"/>
              </w:rPr>
              <w:drawing>
                <wp:inline distT="0" distB="0" distL="114300" distR="114300">
                  <wp:extent cx="944880" cy="907415"/>
                  <wp:effectExtent l="0" t="0" r="7620" b="6985"/>
                  <wp:docPr id="4" name="图片 4" descr="168500043988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1685000439889"/>
                          <pic:cNvPicPr>
                            <a:picLocks noChangeAspect="true"/>
                          </pic:cNvPicPr>
                        </pic:nvPicPr>
                        <pic:blipFill>
                          <a:blip r:embed="rId13"/>
                          <a:stretch>
                            <a:fillRect/>
                          </a:stretch>
                        </pic:blipFill>
                        <pic:spPr>
                          <a:xfrm>
                            <a:off x="0" y="0"/>
                            <a:ext cx="944880" cy="907415"/>
                          </a:xfrm>
                          <a:prstGeom prst="rect">
                            <a:avLst/>
                          </a:prstGeom>
                        </pic:spPr>
                      </pic:pic>
                    </a:graphicData>
                  </a:graphic>
                </wp:inline>
              </w:drawing>
            </w:r>
          </w:p>
        </w:tc>
        <w:tc>
          <w:tcPr>
            <w:tcW w:w="254" w:type="pct"/>
            <w:vMerge w:val="restart"/>
            <w:vAlign w:val="center"/>
          </w:tcPr>
          <w:p>
            <w:pPr>
              <w:widowControl/>
              <w:spacing w:line="28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直线连接</w:t>
            </w:r>
          </w:p>
        </w:tc>
        <w:tc>
          <w:tcPr>
            <w:tcW w:w="370"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500" w:type="pct"/>
            <w:vAlign w:val="center"/>
          </w:tcPr>
          <w:p>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125</w:t>
            </w:r>
          </w:p>
        </w:tc>
        <w:tc>
          <w:tcPr>
            <w:tcW w:w="692" w:type="pct"/>
            <w:vAlign w:val="center"/>
          </w:tcPr>
          <w:p>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125</w:t>
            </w:r>
          </w:p>
        </w:tc>
        <w:tc>
          <w:tcPr>
            <w:tcW w:w="488" w:type="pct"/>
            <w:vAlign w:val="center"/>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b</w:t>
            </w: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或b</w:t>
            </w:r>
            <w:r>
              <w:rPr>
                <w:rFonts w:cs="宋体" w:asciiTheme="minorEastAsia" w:hAnsiTheme="minorEastAsia" w:eastAsiaTheme="minorEastAsia"/>
                <w:kern w:val="0"/>
                <w:szCs w:val="21"/>
              </w:rPr>
              <w:t>2</w:t>
            </w:r>
          </w:p>
        </w:tc>
        <w:tc>
          <w:tcPr>
            <w:tcW w:w="598" w:type="pct"/>
            <w:vAlign w:val="center"/>
          </w:tcPr>
          <w:p>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21</w:t>
            </w:r>
          </w:p>
        </w:tc>
        <w:tc>
          <w:tcPr>
            <w:tcW w:w="323" w:type="pct"/>
            <w:vAlign w:val="center"/>
          </w:tcPr>
          <w:p>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p>
        </w:tc>
        <w:tc>
          <w:tcPr>
            <w:tcW w:w="413" w:type="pct"/>
            <w:vAlign w:val="center"/>
          </w:tcPr>
          <w:p>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M20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3" w:type="pct"/>
            <w:vMerge w:val="continue"/>
          </w:tcPr>
          <w:p>
            <w:pPr>
              <w:widowControl/>
              <w:spacing w:line="360" w:lineRule="auto"/>
              <w:ind w:firstLine="94" w:firstLineChars="45"/>
              <w:jc w:val="left"/>
              <w:rPr>
                <w:rFonts w:cs="宋体" w:asciiTheme="minorEastAsia" w:hAnsiTheme="minorEastAsia" w:eastAsiaTheme="minorEastAsia"/>
                <w:kern w:val="0"/>
                <w:szCs w:val="21"/>
              </w:rPr>
            </w:pPr>
          </w:p>
        </w:tc>
        <w:tc>
          <w:tcPr>
            <w:tcW w:w="254" w:type="pct"/>
            <w:vMerge w:val="continue"/>
          </w:tcPr>
          <w:p>
            <w:pPr>
              <w:widowControl/>
              <w:spacing w:line="280" w:lineRule="exact"/>
              <w:ind w:firstLine="94" w:firstLineChars="45"/>
              <w:jc w:val="left"/>
              <w:rPr>
                <w:rFonts w:cs="宋体" w:asciiTheme="minorEastAsia" w:hAnsiTheme="minorEastAsia" w:eastAsiaTheme="minorEastAsia"/>
                <w:kern w:val="0"/>
                <w:szCs w:val="21"/>
              </w:rPr>
            </w:pPr>
          </w:p>
        </w:tc>
        <w:tc>
          <w:tcPr>
            <w:tcW w:w="370"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500" w:type="pct"/>
            <w:vAlign w:val="center"/>
          </w:tcPr>
          <w:p>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100</w:t>
            </w:r>
          </w:p>
        </w:tc>
        <w:tc>
          <w:tcPr>
            <w:tcW w:w="692" w:type="pct"/>
            <w:vAlign w:val="center"/>
          </w:tcPr>
          <w:p>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100</w:t>
            </w:r>
          </w:p>
        </w:tc>
        <w:tc>
          <w:tcPr>
            <w:tcW w:w="488"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b</w:t>
            </w: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 xml:space="preserve"> 或b</w:t>
            </w:r>
            <w:r>
              <w:rPr>
                <w:rFonts w:cs="宋体" w:asciiTheme="minorEastAsia" w:hAnsiTheme="minorEastAsia" w:eastAsiaTheme="minorEastAsia"/>
                <w:kern w:val="0"/>
                <w:szCs w:val="21"/>
              </w:rPr>
              <w:t>2</w:t>
            </w:r>
          </w:p>
        </w:tc>
        <w:tc>
          <w:tcPr>
            <w:tcW w:w="598" w:type="pct"/>
            <w:vAlign w:val="center"/>
          </w:tcPr>
          <w:p>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17</w:t>
            </w:r>
          </w:p>
        </w:tc>
        <w:tc>
          <w:tcPr>
            <w:tcW w:w="323" w:type="pct"/>
            <w:vAlign w:val="center"/>
          </w:tcPr>
          <w:p>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p>
        </w:tc>
        <w:tc>
          <w:tcPr>
            <w:tcW w:w="413" w:type="pct"/>
            <w:vAlign w:val="center"/>
          </w:tcPr>
          <w:p>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M16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Merge w:val="continue"/>
          </w:tcPr>
          <w:p>
            <w:pPr>
              <w:widowControl/>
              <w:spacing w:line="360" w:lineRule="auto"/>
              <w:ind w:firstLine="94" w:firstLineChars="45"/>
              <w:jc w:val="left"/>
              <w:rPr>
                <w:rFonts w:cs="宋体" w:asciiTheme="minorEastAsia" w:hAnsiTheme="minorEastAsia" w:eastAsiaTheme="minorEastAsia"/>
                <w:kern w:val="0"/>
                <w:szCs w:val="21"/>
              </w:rPr>
            </w:pPr>
          </w:p>
        </w:tc>
        <w:tc>
          <w:tcPr>
            <w:tcW w:w="254" w:type="pct"/>
            <w:vMerge w:val="continue"/>
          </w:tcPr>
          <w:p>
            <w:pPr>
              <w:widowControl/>
              <w:spacing w:line="280" w:lineRule="exact"/>
              <w:ind w:firstLine="94" w:firstLineChars="45"/>
              <w:jc w:val="left"/>
              <w:rPr>
                <w:rFonts w:cs="宋体" w:asciiTheme="minorEastAsia" w:hAnsiTheme="minorEastAsia" w:eastAsiaTheme="minorEastAsia"/>
                <w:kern w:val="0"/>
                <w:szCs w:val="21"/>
              </w:rPr>
            </w:pPr>
          </w:p>
        </w:tc>
        <w:tc>
          <w:tcPr>
            <w:tcW w:w="370"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p>
        </w:tc>
        <w:tc>
          <w:tcPr>
            <w:tcW w:w="500" w:type="pct"/>
            <w:vAlign w:val="center"/>
          </w:tcPr>
          <w:p>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80</w:t>
            </w:r>
          </w:p>
        </w:tc>
        <w:tc>
          <w:tcPr>
            <w:tcW w:w="692" w:type="pct"/>
            <w:vAlign w:val="center"/>
          </w:tcPr>
          <w:p>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80</w:t>
            </w:r>
          </w:p>
        </w:tc>
        <w:tc>
          <w:tcPr>
            <w:tcW w:w="488"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b</w:t>
            </w: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 xml:space="preserve"> 或b</w:t>
            </w:r>
            <w:r>
              <w:rPr>
                <w:rFonts w:cs="宋体" w:asciiTheme="minorEastAsia" w:hAnsiTheme="minorEastAsia" w:eastAsiaTheme="minorEastAsia"/>
                <w:kern w:val="0"/>
                <w:szCs w:val="21"/>
              </w:rPr>
              <w:t>2</w:t>
            </w:r>
          </w:p>
        </w:tc>
        <w:tc>
          <w:tcPr>
            <w:tcW w:w="598" w:type="pct"/>
            <w:vAlign w:val="center"/>
          </w:tcPr>
          <w:p>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13</w:t>
            </w:r>
          </w:p>
        </w:tc>
        <w:tc>
          <w:tcPr>
            <w:tcW w:w="323" w:type="pct"/>
            <w:vAlign w:val="center"/>
          </w:tcPr>
          <w:p>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p>
        </w:tc>
        <w:tc>
          <w:tcPr>
            <w:tcW w:w="413" w:type="pct"/>
            <w:vAlign w:val="center"/>
          </w:tcPr>
          <w:p>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Ml2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Merge w:val="continue"/>
          </w:tcPr>
          <w:p>
            <w:pPr>
              <w:widowControl/>
              <w:spacing w:line="360" w:lineRule="auto"/>
              <w:ind w:firstLine="94" w:firstLineChars="45"/>
              <w:jc w:val="left"/>
              <w:rPr>
                <w:rFonts w:cs="宋体" w:asciiTheme="minorEastAsia" w:hAnsiTheme="minorEastAsia" w:eastAsiaTheme="minorEastAsia"/>
                <w:kern w:val="0"/>
                <w:szCs w:val="21"/>
              </w:rPr>
            </w:pPr>
          </w:p>
        </w:tc>
        <w:tc>
          <w:tcPr>
            <w:tcW w:w="254" w:type="pct"/>
            <w:vMerge w:val="continue"/>
          </w:tcPr>
          <w:p>
            <w:pPr>
              <w:widowControl/>
              <w:spacing w:line="280" w:lineRule="exact"/>
              <w:ind w:firstLine="94" w:firstLineChars="45"/>
              <w:jc w:val="left"/>
              <w:rPr>
                <w:rFonts w:cs="宋体" w:asciiTheme="minorEastAsia" w:hAnsiTheme="minorEastAsia" w:eastAsiaTheme="minorEastAsia"/>
                <w:kern w:val="0"/>
                <w:szCs w:val="21"/>
              </w:rPr>
            </w:pPr>
          </w:p>
        </w:tc>
        <w:tc>
          <w:tcPr>
            <w:tcW w:w="370"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500" w:type="pct"/>
            <w:vAlign w:val="center"/>
          </w:tcPr>
          <w:p>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63</w:t>
            </w:r>
          </w:p>
        </w:tc>
        <w:tc>
          <w:tcPr>
            <w:tcW w:w="692" w:type="pct"/>
            <w:vAlign w:val="center"/>
          </w:tcPr>
          <w:p>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63</w:t>
            </w:r>
          </w:p>
        </w:tc>
        <w:tc>
          <w:tcPr>
            <w:tcW w:w="488"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b</w:t>
            </w: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 xml:space="preserve"> 或b</w:t>
            </w:r>
            <w:r>
              <w:rPr>
                <w:rFonts w:cs="宋体" w:asciiTheme="minorEastAsia" w:hAnsiTheme="minorEastAsia" w:eastAsiaTheme="minorEastAsia"/>
                <w:kern w:val="0"/>
                <w:szCs w:val="21"/>
              </w:rPr>
              <w:t>2</w:t>
            </w:r>
          </w:p>
        </w:tc>
        <w:tc>
          <w:tcPr>
            <w:tcW w:w="598" w:type="pct"/>
            <w:vAlign w:val="center"/>
          </w:tcPr>
          <w:p>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11</w:t>
            </w:r>
          </w:p>
        </w:tc>
        <w:tc>
          <w:tcPr>
            <w:tcW w:w="323" w:type="pct"/>
            <w:vAlign w:val="center"/>
          </w:tcPr>
          <w:p>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p>
        </w:tc>
        <w:tc>
          <w:tcPr>
            <w:tcW w:w="413" w:type="pct"/>
            <w:vAlign w:val="center"/>
          </w:tcPr>
          <w:p>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M10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Merge w:val="continue"/>
          </w:tcPr>
          <w:p>
            <w:pPr>
              <w:widowControl/>
              <w:spacing w:line="360" w:lineRule="auto"/>
              <w:ind w:firstLine="94" w:firstLineChars="45"/>
              <w:jc w:val="left"/>
              <w:rPr>
                <w:rFonts w:cs="宋体" w:asciiTheme="minorEastAsia" w:hAnsiTheme="minorEastAsia" w:eastAsiaTheme="minorEastAsia"/>
                <w:kern w:val="0"/>
                <w:szCs w:val="21"/>
              </w:rPr>
            </w:pPr>
          </w:p>
        </w:tc>
        <w:tc>
          <w:tcPr>
            <w:tcW w:w="254" w:type="pct"/>
            <w:vMerge w:val="continue"/>
          </w:tcPr>
          <w:p>
            <w:pPr>
              <w:widowControl/>
              <w:spacing w:line="280" w:lineRule="exact"/>
              <w:ind w:firstLine="94" w:firstLineChars="45"/>
              <w:jc w:val="left"/>
              <w:rPr>
                <w:rFonts w:cs="宋体" w:asciiTheme="minorEastAsia" w:hAnsiTheme="minorEastAsia" w:eastAsiaTheme="minorEastAsia"/>
                <w:kern w:val="0"/>
                <w:szCs w:val="21"/>
              </w:rPr>
            </w:pPr>
          </w:p>
        </w:tc>
        <w:tc>
          <w:tcPr>
            <w:tcW w:w="370"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500" w:type="pct"/>
            <w:vAlign w:val="center"/>
          </w:tcPr>
          <w:p>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50</w:t>
            </w:r>
          </w:p>
        </w:tc>
        <w:tc>
          <w:tcPr>
            <w:tcW w:w="692" w:type="pct"/>
            <w:vAlign w:val="center"/>
          </w:tcPr>
          <w:p>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50</w:t>
            </w:r>
          </w:p>
        </w:tc>
        <w:tc>
          <w:tcPr>
            <w:tcW w:w="488"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b</w:t>
            </w: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 xml:space="preserve"> 或b</w:t>
            </w:r>
            <w:r>
              <w:rPr>
                <w:rFonts w:cs="宋体" w:asciiTheme="minorEastAsia" w:hAnsiTheme="minorEastAsia" w:eastAsiaTheme="minorEastAsia"/>
                <w:kern w:val="0"/>
                <w:szCs w:val="21"/>
              </w:rPr>
              <w:t>2</w:t>
            </w:r>
          </w:p>
        </w:tc>
        <w:tc>
          <w:tcPr>
            <w:tcW w:w="598" w:type="pct"/>
            <w:vAlign w:val="center"/>
          </w:tcPr>
          <w:p>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9</w:t>
            </w:r>
          </w:p>
        </w:tc>
        <w:tc>
          <w:tcPr>
            <w:tcW w:w="323" w:type="pct"/>
            <w:vAlign w:val="center"/>
          </w:tcPr>
          <w:p>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p>
        </w:tc>
        <w:tc>
          <w:tcPr>
            <w:tcW w:w="413" w:type="pct"/>
            <w:vAlign w:val="center"/>
          </w:tcPr>
          <w:p>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M8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3" w:type="pct"/>
            <w:vMerge w:val="continue"/>
          </w:tcPr>
          <w:p>
            <w:pPr>
              <w:widowControl/>
              <w:spacing w:line="360" w:lineRule="auto"/>
              <w:ind w:firstLine="94" w:firstLineChars="45"/>
              <w:jc w:val="left"/>
              <w:rPr>
                <w:rFonts w:cs="宋体" w:asciiTheme="minorEastAsia" w:hAnsiTheme="minorEastAsia" w:eastAsiaTheme="minorEastAsia"/>
                <w:kern w:val="0"/>
                <w:szCs w:val="21"/>
              </w:rPr>
            </w:pPr>
          </w:p>
        </w:tc>
        <w:tc>
          <w:tcPr>
            <w:tcW w:w="254" w:type="pct"/>
            <w:vMerge w:val="continue"/>
          </w:tcPr>
          <w:p>
            <w:pPr>
              <w:widowControl/>
              <w:spacing w:line="280" w:lineRule="exact"/>
              <w:ind w:firstLine="94" w:firstLineChars="45"/>
              <w:jc w:val="left"/>
              <w:rPr>
                <w:rFonts w:cs="宋体" w:asciiTheme="minorEastAsia" w:hAnsiTheme="minorEastAsia" w:eastAsiaTheme="minorEastAsia"/>
                <w:kern w:val="0"/>
                <w:szCs w:val="21"/>
              </w:rPr>
            </w:pPr>
          </w:p>
        </w:tc>
        <w:tc>
          <w:tcPr>
            <w:tcW w:w="370"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w:t>
            </w:r>
          </w:p>
        </w:tc>
        <w:tc>
          <w:tcPr>
            <w:tcW w:w="500" w:type="pct"/>
            <w:vAlign w:val="center"/>
          </w:tcPr>
          <w:p>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45</w:t>
            </w:r>
          </w:p>
        </w:tc>
        <w:tc>
          <w:tcPr>
            <w:tcW w:w="692" w:type="pct"/>
            <w:vAlign w:val="center"/>
          </w:tcPr>
          <w:p>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45</w:t>
            </w:r>
          </w:p>
        </w:tc>
        <w:tc>
          <w:tcPr>
            <w:tcW w:w="488"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b</w:t>
            </w: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 xml:space="preserve"> 或b</w:t>
            </w:r>
            <w:r>
              <w:rPr>
                <w:rFonts w:cs="宋体" w:asciiTheme="minorEastAsia" w:hAnsiTheme="minorEastAsia" w:eastAsiaTheme="minorEastAsia"/>
                <w:kern w:val="0"/>
                <w:szCs w:val="21"/>
              </w:rPr>
              <w:t>2</w:t>
            </w:r>
          </w:p>
        </w:tc>
        <w:tc>
          <w:tcPr>
            <w:tcW w:w="598" w:type="pct"/>
            <w:vAlign w:val="center"/>
          </w:tcPr>
          <w:p>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9</w:t>
            </w:r>
          </w:p>
        </w:tc>
        <w:tc>
          <w:tcPr>
            <w:tcW w:w="323" w:type="pct"/>
            <w:vAlign w:val="center"/>
          </w:tcPr>
          <w:p>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p>
        </w:tc>
        <w:tc>
          <w:tcPr>
            <w:tcW w:w="413" w:type="pct"/>
            <w:vAlign w:val="center"/>
          </w:tcPr>
          <w:p>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M8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Merge w:val="restart"/>
          </w:tcPr>
          <w:p>
            <w:pPr>
              <w:widowControl/>
              <w:spacing w:line="360" w:lineRule="auto"/>
              <w:ind w:firstLine="72" w:firstLineChars="45"/>
              <w:jc w:val="left"/>
              <w:rPr>
                <w:rFonts w:cs="宋体" w:asciiTheme="minorEastAsia" w:hAnsiTheme="minorEastAsia" w:eastAsiaTheme="minorEastAsia"/>
                <w:kern w:val="0"/>
                <w:szCs w:val="21"/>
              </w:rPr>
            </w:pPr>
            <w:r>
              <w:rPr>
                <w:rFonts w:cs="宋体" w:asciiTheme="minorEastAsia" w:hAnsiTheme="minorEastAsia" w:eastAsiaTheme="minorEastAsia"/>
                <w:sz w:val="16"/>
                <w:szCs w:val="16"/>
              </w:rPr>
              <w:drawing>
                <wp:inline distT="0" distB="0" distL="114300" distR="114300">
                  <wp:extent cx="1027430" cy="591820"/>
                  <wp:effectExtent l="0" t="0" r="1270" b="17780"/>
                  <wp:docPr id="8" name="图片 8" descr="168500061172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1685000611721"/>
                          <pic:cNvPicPr>
                            <a:picLocks noChangeAspect="true"/>
                          </pic:cNvPicPr>
                        </pic:nvPicPr>
                        <pic:blipFill>
                          <a:blip r:embed="rId14"/>
                          <a:stretch>
                            <a:fillRect/>
                          </a:stretch>
                        </pic:blipFill>
                        <pic:spPr>
                          <a:xfrm>
                            <a:off x="0" y="0"/>
                            <a:ext cx="1027430" cy="591820"/>
                          </a:xfrm>
                          <a:prstGeom prst="rect">
                            <a:avLst/>
                          </a:prstGeom>
                        </pic:spPr>
                      </pic:pic>
                    </a:graphicData>
                  </a:graphic>
                </wp:inline>
              </w:drawing>
            </w:r>
          </w:p>
        </w:tc>
        <w:tc>
          <w:tcPr>
            <w:tcW w:w="254" w:type="pct"/>
            <w:vMerge w:val="restart"/>
          </w:tcPr>
          <w:p>
            <w:pPr>
              <w:widowControl/>
              <w:spacing w:line="28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直线连接</w:t>
            </w:r>
          </w:p>
        </w:tc>
        <w:tc>
          <w:tcPr>
            <w:tcW w:w="370"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w:t>
            </w:r>
          </w:p>
        </w:tc>
        <w:tc>
          <w:tcPr>
            <w:tcW w:w="500"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r>
              <w:rPr>
                <w:rFonts w:cs="宋体" w:asciiTheme="minorEastAsia" w:hAnsiTheme="minorEastAsia" w:eastAsiaTheme="minorEastAsia"/>
                <w:kern w:val="0"/>
                <w:szCs w:val="21"/>
              </w:rPr>
              <w:t>0</w:t>
            </w:r>
          </w:p>
        </w:tc>
        <w:tc>
          <w:tcPr>
            <w:tcW w:w="692"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r>
              <w:rPr>
                <w:rFonts w:cs="宋体" w:asciiTheme="minorEastAsia" w:hAnsiTheme="minorEastAsia" w:eastAsiaTheme="minorEastAsia"/>
                <w:kern w:val="0"/>
                <w:szCs w:val="21"/>
              </w:rPr>
              <w:t>0</w:t>
            </w:r>
          </w:p>
        </w:tc>
        <w:tc>
          <w:tcPr>
            <w:tcW w:w="488"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w:t>
            </w:r>
            <w:r>
              <w:rPr>
                <w:rFonts w:cs="宋体" w:asciiTheme="minorEastAsia" w:hAnsiTheme="minorEastAsia" w:eastAsiaTheme="minorEastAsia"/>
                <w:kern w:val="0"/>
                <w:szCs w:val="21"/>
              </w:rPr>
              <w:t>0</w:t>
            </w:r>
          </w:p>
        </w:tc>
        <w:tc>
          <w:tcPr>
            <w:tcW w:w="598"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3</w:t>
            </w:r>
          </w:p>
        </w:tc>
        <w:tc>
          <w:tcPr>
            <w:tcW w:w="323"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413" w:type="pct"/>
            <w:vAlign w:val="center"/>
          </w:tcPr>
          <w:p>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Ml2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Merge w:val="continue"/>
          </w:tcPr>
          <w:p>
            <w:pPr>
              <w:widowControl/>
              <w:spacing w:line="360" w:lineRule="auto"/>
              <w:ind w:firstLine="94" w:firstLineChars="45"/>
              <w:jc w:val="left"/>
              <w:rPr>
                <w:rFonts w:cs="宋体" w:asciiTheme="minorEastAsia" w:hAnsiTheme="minorEastAsia" w:eastAsiaTheme="minorEastAsia"/>
                <w:kern w:val="0"/>
                <w:szCs w:val="21"/>
              </w:rPr>
            </w:pPr>
          </w:p>
        </w:tc>
        <w:tc>
          <w:tcPr>
            <w:tcW w:w="254" w:type="pct"/>
            <w:vMerge w:val="continue"/>
          </w:tcPr>
          <w:p>
            <w:pPr>
              <w:widowControl/>
              <w:spacing w:line="280" w:lineRule="exact"/>
              <w:ind w:firstLine="94" w:firstLineChars="45"/>
              <w:jc w:val="left"/>
              <w:rPr>
                <w:rFonts w:cs="宋体" w:asciiTheme="minorEastAsia" w:hAnsiTheme="minorEastAsia" w:eastAsiaTheme="minorEastAsia"/>
                <w:kern w:val="0"/>
                <w:szCs w:val="21"/>
              </w:rPr>
            </w:pPr>
          </w:p>
        </w:tc>
        <w:tc>
          <w:tcPr>
            <w:tcW w:w="370"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w:t>
            </w:r>
          </w:p>
        </w:tc>
        <w:tc>
          <w:tcPr>
            <w:tcW w:w="500"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r>
              <w:rPr>
                <w:rFonts w:cs="宋体" w:asciiTheme="minorEastAsia" w:hAnsiTheme="minorEastAsia" w:eastAsiaTheme="minorEastAsia"/>
                <w:kern w:val="0"/>
                <w:szCs w:val="21"/>
              </w:rPr>
              <w:t>1.5</w:t>
            </w:r>
          </w:p>
        </w:tc>
        <w:tc>
          <w:tcPr>
            <w:tcW w:w="692"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r>
              <w:rPr>
                <w:rFonts w:cs="宋体" w:asciiTheme="minorEastAsia" w:hAnsiTheme="minorEastAsia" w:eastAsiaTheme="minorEastAsia"/>
                <w:kern w:val="0"/>
                <w:szCs w:val="21"/>
              </w:rPr>
              <w:t>1.5</w:t>
            </w:r>
          </w:p>
        </w:tc>
        <w:tc>
          <w:tcPr>
            <w:tcW w:w="488"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63</w:t>
            </w:r>
          </w:p>
        </w:tc>
        <w:tc>
          <w:tcPr>
            <w:tcW w:w="598"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1</w:t>
            </w:r>
          </w:p>
        </w:tc>
        <w:tc>
          <w:tcPr>
            <w:tcW w:w="323"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413" w:type="pct"/>
            <w:vAlign w:val="center"/>
          </w:tcPr>
          <w:p>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M10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Merge w:val="continue"/>
          </w:tcPr>
          <w:p>
            <w:pPr>
              <w:widowControl/>
              <w:spacing w:line="360" w:lineRule="auto"/>
              <w:ind w:firstLine="94" w:firstLineChars="45"/>
              <w:jc w:val="left"/>
              <w:rPr>
                <w:rFonts w:cs="宋体" w:asciiTheme="minorEastAsia" w:hAnsiTheme="minorEastAsia" w:eastAsiaTheme="minorEastAsia"/>
                <w:kern w:val="0"/>
                <w:szCs w:val="21"/>
              </w:rPr>
            </w:pPr>
          </w:p>
        </w:tc>
        <w:tc>
          <w:tcPr>
            <w:tcW w:w="254" w:type="pct"/>
            <w:vMerge w:val="continue"/>
          </w:tcPr>
          <w:p>
            <w:pPr>
              <w:widowControl/>
              <w:spacing w:line="280" w:lineRule="exact"/>
              <w:ind w:firstLine="94" w:firstLineChars="45"/>
              <w:jc w:val="left"/>
              <w:rPr>
                <w:rFonts w:cs="宋体" w:asciiTheme="minorEastAsia" w:hAnsiTheme="minorEastAsia" w:eastAsiaTheme="minorEastAsia"/>
                <w:kern w:val="0"/>
                <w:szCs w:val="21"/>
              </w:rPr>
            </w:pPr>
          </w:p>
        </w:tc>
        <w:tc>
          <w:tcPr>
            <w:tcW w:w="370"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w:t>
            </w:r>
          </w:p>
        </w:tc>
        <w:tc>
          <w:tcPr>
            <w:tcW w:w="500"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5</w:t>
            </w:r>
          </w:p>
        </w:tc>
        <w:tc>
          <w:tcPr>
            <w:tcW w:w="692"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5</w:t>
            </w:r>
          </w:p>
        </w:tc>
        <w:tc>
          <w:tcPr>
            <w:tcW w:w="488"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r>
              <w:rPr>
                <w:rFonts w:cs="宋体" w:asciiTheme="minorEastAsia" w:hAnsiTheme="minorEastAsia" w:eastAsiaTheme="minorEastAsia"/>
                <w:kern w:val="0"/>
                <w:szCs w:val="21"/>
              </w:rPr>
              <w:t>0</w:t>
            </w:r>
          </w:p>
        </w:tc>
        <w:tc>
          <w:tcPr>
            <w:tcW w:w="598"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w:t>
            </w:r>
          </w:p>
        </w:tc>
        <w:tc>
          <w:tcPr>
            <w:tcW w:w="323"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413" w:type="pct"/>
            <w:vAlign w:val="center"/>
          </w:tcPr>
          <w:p>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M8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3" w:type="pct"/>
            <w:vMerge w:val="restart"/>
          </w:tcPr>
          <w:p>
            <w:pPr>
              <w:widowControl/>
              <w:spacing w:line="360" w:lineRule="auto"/>
              <w:ind w:firstLine="72" w:firstLineChars="45"/>
              <w:jc w:val="left"/>
              <w:rPr>
                <w:rFonts w:cs="宋体" w:asciiTheme="minorEastAsia" w:hAnsiTheme="minorEastAsia" w:eastAsiaTheme="minorEastAsia"/>
                <w:kern w:val="0"/>
                <w:szCs w:val="21"/>
              </w:rPr>
            </w:pPr>
            <w:r>
              <w:rPr>
                <w:rFonts w:cs="宋体" w:asciiTheme="minorEastAsia" w:hAnsiTheme="minorEastAsia" w:eastAsiaTheme="minorEastAsia"/>
                <w:sz w:val="16"/>
                <w:szCs w:val="16"/>
              </w:rPr>
              <w:drawing>
                <wp:inline distT="0" distB="0" distL="114300" distR="114300">
                  <wp:extent cx="1037590" cy="669290"/>
                  <wp:effectExtent l="0" t="0" r="10160" b="16510"/>
                  <wp:docPr id="9" name="图片 9" descr="168500072164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1685000721648"/>
                          <pic:cNvPicPr>
                            <a:picLocks noChangeAspect="true"/>
                          </pic:cNvPicPr>
                        </pic:nvPicPr>
                        <pic:blipFill>
                          <a:blip r:embed="rId15"/>
                          <a:stretch>
                            <a:fillRect/>
                          </a:stretch>
                        </pic:blipFill>
                        <pic:spPr>
                          <a:xfrm>
                            <a:off x="0" y="0"/>
                            <a:ext cx="1037590" cy="669290"/>
                          </a:xfrm>
                          <a:prstGeom prst="rect">
                            <a:avLst/>
                          </a:prstGeom>
                        </pic:spPr>
                      </pic:pic>
                    </a:graphicData>
                  </a:graphic>
                </wp:inline>
              </w:drawing>
            </w:r>
          </w:p>
        </w:tc>
        <w:tc>
          <w:tcPr>
            <w:tcW w:w="254" w:type="pct"/>
            <w:vMerge w:val="restart"/>
          </w:tcPr>
          <w:p>
            <w:pPr>
              <w:widowControl/>
              <w:spacing w:line="28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垂直连接</w:t>
            </w:r>
          </w:p>
        </w:tc>
        <w:tc>
          <w:tcPr>
            <w:tcW w:w="370"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0</w:t>
            </w:r>
          </w:p>
        </w:tc>
        <w:tc>
          <w:tcPr>
            <w:tcW w:w="500"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25</w:t>
            </w:r>
          </w:p>
        </w:tc>
        <w:tc>
          <w:tcPr>
            <w:tcW w:w="692"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25</w:t>
            </w:r>
          </w:p>
        </w:tc>
        <w:tc>
          <w:tcPr>
            <w:tcW w:w="488" w:type="pct"/>
          </w:tcPr>
          <w:p>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598" w:type="pct"/>
          </w:tcPr>
          <w:p>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1</w:t>
            </w:r>
          </w:p>
        </w:tc>
        <w:tc>
          <w:tcPr>
            <w:tcW w:w="323" w:type="pct"/>
          </w:tcPr>
          <w:p>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413" w:type="pct"/>
            <w:vAlign w:val="center"/>
          </w:tcPr>
          <w:p>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M20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Merge w:val="continue"/>
          </w:tcPr>
          <w:p>
            <w:pPr>
              <w:widowControl/>
              <w:spacing w:line="360" w:lineRule="auto"/>
              <w:ind w:firstLine="94" w:firstLineChars="45"/>
              <w:jc w:val="left"/>
              <w:rPr>
                <w:rFonts w:cs="宋体" w:asciiTheme="minorEastAsia" w:hAnsiTheme="minorEastAsia" w:eastAsiaTheme="minorEastAsia"/>
                <w:kern w:val="0"/>
                <w:szCs w:val="21"/>
              </w:rPr>
            </w:pPr>
          </w:p>
        </w:tc>
        <w:tc>
          <w:tcPr>
            <w:tcW w:w="254" w:type="pct"/>
            <w:vMerge w:val="continue"/>
          </w:tcPr>
          <w:p>
            <w:pPr>
              <w:widowControl/>
              <w:spacing w:line="280" w:lineRule="exact"/>
              <w:ind w:firstLine="94" w:firstLineChars="45"/>
              <w:jc w:val="left"/>
              <w:rPr>
                <w:rFonts w:cs="宋体" w:asciiTheme="minorEastAsia" w:hAnsiTheme="minorEastAsia" w:eastAsiaTheme="minorEastAsia"/>
                <w:kern w:val="0"/>
                <w:szCs w:val="21"/>
              </w:rPr>
            </w:pPr>
          </w:p>
        </w:tc>
        <w:tc>
          <w:tcPr>
            <w:tcW w:w="370"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1</w:t>
            </w:r>
          </w:p>
        </w:tc>
        <w:tc>
          <w:tcPr>
            <w:tcW w:w="500"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25</w:t>
            </w:r>
          </w:p>
        </w:tc>
        <w:tc>
          <w:tcPr>
            <w:tcW w:w="692"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00</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80</w:t>
            </w:r>
          </w:p>
        </w:tc>
        <w:tc>
          <w:tcPr>
            <w:tcW w:w="488" w:type="pct"/>
          </w:tcPr>
          <w:p>
            <w:pPr>
              <w:widowControl/>
              <w:spacing w:line="280" w:lineRule="exact"/>
              <w:ind w:firstLine="94" w:firstLineChars="45"/>
              <w:jc w:val="left"/>
              <w:rPr>
                <w:rFonts w:cs="宋体" w:asciiTheme="minorEastAsia" w:hAnsiTheme="minorEastAsia" w:eastAsiaTheme="minorEastAsia"/>
                <w:kern w:val="0"/>
                <w:szCs w:val="21"/>
              </w:rPr>
            </w:pPr>
          </w:p>
        </w:tc>
        <w:tc>
          <w:tcPr>
            <w:tcW w:w="598" w:type="pct"/>
          </w:tcPr>
          <w:p>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7</w:t>
            </w:r>
          </w:p>
        </w:tc>
        <w:tc>
          <w:tcPr>
            <w:tcW w:w="323" w:type="pct"/>
          </w:tcPr>
          <w:p>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413" w:type="pct"/>
            <w:vAlign w:val="center"/>
          </w:tcPr>
          <w:p>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M16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Merge w:val="continue"/>
          </w:tcPr>
          <w:p>
            <w:pPr>
              <w:widowControl/>
              <w:spacing w:line="360" w:lineRule="auto"/>
              <w:ind w:firstLine="94" w:firstLineChars="45"/>
              <w:jc w:val="left"/>
              <w:rPr>
                <w:rFonts w:cs="宋体" w:asciiTheme="minorEastAsia" w:hAnsiTheme="minorEastAsia" w:eastAsiaTheme="minorEastAsia"/>
                <w:kern w:val="0"/>
                <w:szCs w:val="21"/>
              </w:rPr>
            </w:pPr>
          </w:p>
        </w:tc>
        <w:tc>
          <w:tcPr>
            <w:tcW w:w="254" w:type="pct"/>
            <w:vMerge w:val="continue"/>
          </w:tcPr>
          <w:p>
            <w:pPr>
              <w:widowControl/>
              <w:spacing w:line="280" w:lineRule="exact"/>
              <w:ind w:firstLine="94" w:firstLineChars="45"/>
              <w:jc w:val="left"/>
              <w:rPr>
                <w:rFonts w:cs="宋体" w:asciiTheme="minorEastAsia" w:hAnsiTheme="minorEastAsia" w:eastAsiaTheme="minorEastAsia"/>
                <w:kern w:val="0"/>
                <w:szCs w:val="21"/>
              </w:rPr>
            </w:pPr>
          </w:p>
        </w:tc>
        <w:tc>
          <w:tcPr>
            <w:tcW w:w="370"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w:t>
            </w:r>
          </w:p>
        </w:tc>
        <w:tc>
          <w:tcPr>
            <w:tcW w:w="500"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25</w:t>
            </w:r>
          </w:p>
        </w:tc>
        <w:tc>
          <w:tcPr>
            <w:tcW w:w="692"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w:t>
            </w:r>
            <w:r>
              <w:rPr>
                <w:rFonts w:cs="宋体" w:asciiTheme="minorEastAsia" w:hAnsiTheme="minorEastAsia" w:eastAsiaTheme="minorEastAsia"/>
                <w:kern w:val="0"/>
                <w:szCs w:val="21"/>
              </w:rPr>
              <w:t>3</w:t>
            </w:r>
          </w:p>
        </w:tc>
        <w:tc>
          <w:tcPr>
            <w:tcW w:w="488" w:type="pct"/>
          </w:tcPr>
          <w:p>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598" w:type="pct"/>
          </w:tcPr>
          <w:p>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3</w:t>
            </w:r>
          </w:p>
        </w:tc>
        <w:tc>
          <w:tcPr>
            <w:tcW w:w="323" w:type="pct"/>
          </w:tcPr>
          <w:p>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413" w:type="pct"/>
            <w:vAlign w:val="center"/>
          </w:tcPr>
          <w:p>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Ml2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Merge w:val="continue"/>
          </w:tcPr>
          <w:p>
            <w:pPr>
              <w:widowControl/>
              <w:spacing w:line="360" w:lineRule="auto"/>
              <w:ind w:firstLine="94" w:firstLineChars="45"/>
              <w:jc w:val="left"/>
              <w:rPr>
                <w:rFonts w:cs="宋体" w:asciiTheme="minorEastAsia" w:hAnsiTheme="minorEastAsia" w:eastAsiaTheme="minorEastAsia"/>
                <w:kern w:val="0"/>
                <w:szCs w:val="21"/>
              </w:rPr>
            </w:pPr>
          </w:p>
        </w:tc>
        <w:tc>
          <w:tcPr>
            <w:tcW w:w="254" w:type="pct"/>
            <w:vMerge w:val="continue"/>
          </w:tcPr>
          <w:p>
            <w:pPr>
              <w:widowControl/>
              <w:spacing w:line="280" w:lineRule="exact"/>
              <w:ind w:firstLine="94" w:firstLineChars="45"/>
              <w:jc w:val="left"/>
              <w:rPr>
                <w:rFonts w:cs="宋体" w:asciiTheme="minorEastAsia" w:hAnsiTheme="minorEastAsia" w:eastAsiaTheme="minorEastAsia"/>
                <w:kern w:val="0"/>
                <w:szCs w:val="21"/>
              </w:rPr>
            </w:pPr>
          </w:p>
        </w:tc>
        <w:tc>
          <w:tcPr>
            <w:tcW w:w="370"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3</w:t>
            </w:r>
          </w:p>
        </w:tc>
        <w:tc>
          <w:tcPr>
            <w:tcW w:w="500"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00</w:t>
            </w:r>
          </w:p>
        </w:tc>
        <w:tc>
          <w:tcPr>
            <w:tcW w:w="692"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00</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80</w:t>
            </w:r>
          </w:p>
        </w:tc>
        <w:tc>
          <w:tcPr>
            <w:tcW w:w="488" w:type="pct"/>
          </w:tcPr>
          <w:p>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598" w:type="pct"/>
          </w:tcPr>
          <w:p>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7</w:t>
            </w:r>
          </w:p>
        </w:tc>
        <w:tc>
          <w:tcPr>
            <w:tcW w:w="323" w:type="pct"/>
          </w:tcPr>
          <w:p>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413" w:type="pct"/>
            <w:vAlign w:val="center"/>
          </w:tcPr>
          <w:p>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M16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3" w:type="pct"/>
            <w:vMerge w:val="continue"/>
          </w:tcPr>
          <w:p>
            <w:pPr>
              <w:widowControl/>
              <w:spacing w:line="360" w:lineRule="auto"/>
              <w:ind w:firstLine="94" w:firstLineChars="45"/>
              <w:jc w:val="left"/>
              <w:rPr>
                <w:rFonts w:cs="宋体" w:asciiTheme="minorEastAsia" w:hAnsiTheme="minorEastAsia" w:eastAsiaTheme="minorEastAsia"/>
                <w:kern w:val="0"/>
                <w:szCs w:val="21"/>
              </w:rPr>
            </w:pPr>
          </w:p>
        </w:tc>
        <w:tc>
          <w:tcPr>
            <w:tcW w:w="254" w:type="pct"/>
            <w:vMerge w:val="continue"/>
          </w:tcPr>
          <w:p>
            <w:pPr>
              <w:widowControl/>
              <w:spacing w:line="280" w:lineRule="exact"/>
              <w:ind w:firstLine="94" w:firstLineChars="45"/>
              <w:jc w:val="left"/>
              <w:rPr>
                <w:rFonts w:cs="宋体" w:asciiTheme="minorEastAsia" w:hAnsiTheme="minorEastAsia" w:eastAsiaTheme="minorEastAsia"/>
                <w:kern w:val="0"/>
                <w:szCs w:val="21"/>
              </w:rPr>
            </w:pPr>
          </w:p>
        </w:tc>
        <w:tc>
          <w:tcPr>
            <w:tcW w:w="370"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4</w:t>
            </w:r>
          </w:p>
        </w:tc>
        <w:tc>
          <w:tcPr>
            <w:tcW w:w="500"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w:t>
            </w:r>
            <w:r>
              <w:rPr>
                <w:rFonts w:cs="宋体" w:asciiTheme="minorEastAsia" w:hAnsiTheme="minorEastAsia" w:eastAsiaTheme="minorEastAsia"/>
                <w:kern w:val="0"/>
                <w:szCs w:val="21"/>
              </w:rPr>
              <w:t>0</w:t>
            </w:r>
          </w:p>
        </w:tc>
        <w:tc>
          <w:tcPr>
            <w:tcW w:w="692" w:type="pct"/>
          </w:tcPr>
          <w:p>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80</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63</w:t>
            </w:r>
          </w:p>
        </w:tc>
        <w:tc>
          <w:tcPr>
            <w:tcW w:w="488" w:type="pct"/>
          </w:tcPr>
          <w:p>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598" w:type="pct"/>
          </w:tcPr>
          <w:p>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13</w:t>
            </w:r>
          </w:p>
        </w:tc>
        <w:tc>
          <w:tcPr>
            <w:tcW w:w="323" w:type="pct"/>
          </w:tcPr>
          <w:p>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413" w:type="pct"/>
            <w:vAlign w:val="center"/>
          </w:tcPr>
          <w:p>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Ml2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Merge w:val="continue"/>
          </w:tcPr>
          <w:p>
            <w:pPr>
              <w:widowControl/>
              <w:spacing w:line="360" w:lineRule="auto"/>
              <w:ind w:firstLine="94" w:firstLineChars="45"/>
              <w:jc w:val="left"/>
              <w:rPr>
                <w:rFonts w:cs="宋体" w:asciiTheme="minorEastAsia" w:hAnsiTheme="minorEastAsia" w:eastAsiaTheme="minorEastAsia"/>
                <w:kern w:val="0"/>
                <w:szCs w:val="21"/>
              </w:rPr>
            </w:pPr>
          </w:p>
        </w:tc>
        <w:tc>
          <w:tcPr>
            <w:tcW w:w="254" w:type="pct"/>
            <w:vMerge w:val="continue"/>
          </w:tcPr>
          <w:p>
            <w:pPr>
              <w:widowControl/>
              <w:spacing w:line="280" w:lineRule="exact"/>
              <w:ind w:firstLine="94" w:firstLineChars="45"/>
              <w:jc w:val="left"/>
              <w:rPr>
                <w:rFonts w:cs="宋体" w:asciiTheme="minorEastAsia" w:hAnsiTheme="minorEastAsia" w:eastAsiaTheme="minorEastAsia"/>
                <w:kern w:val="0"/>
                <w:szCs w:val="21"/>
              </w:rPr>
            </w:pPr>
          </w:p>
        </w:tc>
        <w:tc>
          <w:tcPr>
            <w:tcW w:w="370"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5</w:t>
            </w:r>
          </w:p>
        </w:tc>
        <w:tc>
          <w:tcPr>
            <w:tcW w:w="500"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w:t>
            </w:r>
            <w:r>
              <w:rPr>
                <w:rFonts w:cs="宋体" w:asciiTheme="minorEastAsia" w:hAnsiTheme="minorEastAsia" w:eastAsiaTheme="minorEastAsia"/>
                <w:kern w:val="0"/>
                <w:szCs w:val="21"/>
              </w:rPr>
              <w:t>3</w:t>
            </w:r>
          </w:p>
        </w:tc>
        <w:tc>
          <w:tcPr>
            <w:tcW w:w="692" w:type="pct"/>
          </w:tcPr>
          <w:p>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63</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50</w:t>
            </w:r>
          </w:p>
        </w:tc>
        <w:tc>
          <w:tcPr>
            <w:tcW w:w="488" w:type="pct"/>
          </w:tcPr>
          <w:p>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598" w:type="pct"/>
          </w:tcPr>
          <w:p>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1</w:t>
            </w:r>
          </w:p>
        </w:tc>
        <w:tc>
          <w:tcPr>
            <w:tcW w:w="323" w:type="pct"/>
          </w:tcPr>
          <w:p>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413" w:type="pct"/>
            <w:vAlign w:val="center"/>
          </w:tcPr>
          <w:p>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M10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Merge w:val="continue"/>
          </w:tcPr>
          <w:p>
            <w:pPr>
              <w:widowControl/>
              <w:spacing w:line="360" w:lineRule="auto"/>
              <w:ind w:firstLine="94" w:firstLineChars="45"/>
              <w:jc w:val="left"/>
              <w:rPr>
                <w:rFonts w:cs="宋体" w:asciiTheme="minorEastAsia" w:hAnsiTheme="minorEastAsia" w:eastAsiaTheme="minorEastAsia"/>
                <w:kern w:val="0"/>
                <w:szCs w:val="21"/>
              </w:rPr>
            </w:pPr>
          </w:p>
        </w:tc>
        <w:tc>
          <w:tcPr>
            <w:tcW w:w="254" w:type="pct"/>
            <w:vMerge w:val="continue"/>
          </w:tcPr>
          <w:p>
            <w:pPr>
              <w:widowControl/>
              <w:spacing w:line="280" w:lineRule="exact"/>
              <w:ind w:firstLine="94" w:firstLineChars="45"/>
              <w:jc w:val="left"/>
              <w:rPr>
                <w:rFonts w:cs="宋体" w:asciiTheme="minorEastAsia" w:hAnsiTheme="minorEastAsia" w:eastAsiaTheme="minorEastAsia"/>
                <w:kern w:val="0"/>
                <w:szCs w:val="21"/>
              </w:rPr>
            </w:pPr>
          </w:p>
        </w:tc>
        <w:tc>
          <w:tcPr>
            <w:tcW w:w="370"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6</w:t>
            </w:r>
          </w:p>
        </w:tc>
        <w:tc>
          <w:tcPr>
            <w:tcW w:w="500"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r>
              <w:rPr>
                <w:rFonts w:cs="宋体" w:asciiTheme="minorEastAsia" w:hAnsiTheme="minorEastAsia" w:eastAsiaTheme="minorEastAsia"/>
                <w:kern w:val="0"/>
                <w:szCs w:val="21"/>
              </w:rPr>
              <w:t>0</w:t>
            </w:r>
          </w:p>
        </w:tc>
        <w:tc>
          <w:tcPr>
            <w:tcW w:w="692"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r>
              <w:rPr>
                <w:rFonts w:cs="宋体" w:asciiTheme="minorEastAsia" w:hAnsiTheme="minorEastAsia" w:eastAsiaTheme="minorEastAsia"/>
                <w:kern w:val="0"/>
                <w:szCs w:val="21"/>
              </w:rPr>
              <w:t>0</w:t>
            </w:r>
          </w:p>
        </w:tc>
        <w:tc>
          <w:tcPr>
            <w:tcW w:w="488" w:type="pct"/>
          </w:tcPr>
          <w:p>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598" w:type="pct"/>
          </w:tcPr>
          <w:p>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w:t>
            </w:r>
          </w:p>
        </w:tc>
        <w:tc>
          <w:tcPr>
            <w:tcW w:w="323" w:type="pct"/>
          </w:tcPr>
          <w:p>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413" w:type="pct"/>
            <w:vAlign w:val="center"/>
          </w:tcPr>
          <w:p>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M8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Merge w:val="continue"/>
          </w:tcPr>
          <w:p>
            <w:pPr>
              <w:widowControl/>
              <w:spacing w:line="360" w:lineRule="auto"/>
              <w:ind w:firstLine="94" w:firstLineChars="45"/>
              <w:jc w:val="left"/>
              <w:rPr>
                <w:rFonts w:cs="宋体" w:asciiTheme="minorEastAsia" w:hAnsiTheme="minorEastAsia" w:eastAsiaTheme="minorEastAsia"/>
                <w:kern w:val="0"/>
                <w:szCs w:val="21"/>
              </w:rPr>
            </w:pPr>
          </w:p>
        </w:tc>
        <w:tc>
          <w:tcPr>
            <w:tcW w:w="254" w:type="pct"/>
            <w:vMerge w:val="continue"/>
          </w:tcPr>
          <w:p>
            <w:pPr>
              <w:widowControl/>
              <w:spacing w:line="280" w:lineRule="exact"/>
              <w:ind w:firstLine="94" w:firstLineChars="45"/>
              <w:jc w:val="left"/>
              <w:rPr>
                <w:rFonts w:cs="宋体" w:asciiTheme="minorEastAsia" w:hAnsiTheme="minorEastAsia" w:eastAsiaTheme="minorEastAsia"/>
                <w:kern w:val="0"/>
                <w:szCs w:val="21"/>
              </w:rPr>
            </w:pPr>
          </w:p>
        </w:tc>
        <w:tc>
          <w:tcPr>
            <w:tcW w:w="370"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7</w:t>
            </w:r>
          </w:p>
        </w:tc>
        <w:tc>
          <w:tcPr>
            <w:tcW w:w="500"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r>
              <w:rPr>
                <w:rFonts w:cs="宋体" w:asciiTheme="minorEastAsia" w:hAnsiTheme="minorEastAsia" w:eastAsiaTheme="minorEastAsia"/>
                <w:kern w:val="0"/>
                <w:szCs w:val="21"/>
              </w:rPr>
              <w:t>5</w:t>
            </w:r>
          </w:p>
        </w:tc>
        <w:tc>
          <w:tcPr>
            <w:tcW w:w="692"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r>
              <w:rPr>
                <w:rFonts w:cs="宋体" w:asciiTheme="minorEastAsia" w:hAnsiTheme="minorEastAsia" w:eastAsiaTheme="minorEastAsia"/>
                <w:kern w:val="0"/>
                <w:szCs w:val="21"/>
              </w:rPr>
              <w:t>5</w:t>
            </w:r>
          </w:p>
        </w:tc>
        <w:tc>
          <w:tcPr>
            <w:tcW w:w="488" w:type="pct"/>
          </w:tcPr>
          <w:p>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598" w:type="pct"/>
          </w:tcPr>
          <w:p>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w:t>
            </w:r>
          </w:p>
        </w:tc>
        <w:tc>
          <w:tcPr>
            <w:tcW w:w="323" w:type="pct"/>
          </w:tcPr>
          <w:p>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413" w:type="pct"/>
          </w:tcPr>
          <w:p>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M8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3" w:type="pct"/>
            <w:vMerge w:val="restart"/>
          </w:tcPr>
          <w:p>
            <w:pPr>
              <w:widowControl/>
              <w:spacing w:line="360" w:lineRule="auto"/>
              <w:ind w:firstLine="72" w:firstLineChars="45"/>
              <w:jc w:val="left"/>
              <w:rPr>
                <w:rFonts w:cs="宋体" w:asciiTheme="minorEastAsia" w:hAnsiTheme="minorEastAsia" w:eastAsiaTheme="minorEastAsia"/>
                <w:kern w:val="0"/>
                <w:szCs w:val="21"/>
              </w:rPr>
            </w:pPr>
            <w:r>
              <w:rPr>
                <w:rFonts w:cs="宋体" w:asciiTheme="minorEastAsia" w:hAnsiTheme="minorEastAsia" w:eastAsiaTheme="minorEastAsia"/>
                <w:sz w:val="16"/>
                <w:szCs w:val="16"/>
              </w:rPr>
              <w:drawing>
                <wp:inline distT="0" distB="0" distL="114300" distR="114300">
                  <wp:extent cx="1038860" cy="923925"/>
                  <wp:effectExtent l="0" t="0" r="8890" b="9525"/>
                  <wp:docPr id="10" name="图片 10" descr="168500142605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descr="1685001426055"/>
                          <pic:cNvPicPr>
                            <a:picLocks noChangeAspect="true"/>
                          </pic:cNvPicPr>
                        </pic:nvPicPr>
                        <pic:blipFill>
                          <a:blip r:embed="rId16"/>
                          <a:stretch>
                            <a:fillRect/>
                          </a:stretch>
                        </pic:blipFill>
                        <pic:spPr>
                          <a:xfrm>
                            <a:off x="0" y="0"/>
                            <a:ext cx="1038860" cy="923925"/>
                          </a:xfrm>
                          <a:prstGeom prst="rect">
                            <a:avLst/>
                          </a:prstGeom>
                        </pic:spPr>
                      </pic:pic>
                    </a:graphicData>
                  </a:graphic>
                </wp:inline>
              </w:drawing>
            </w:r>
          </w:p>
        </w:tc>
        <w:tc>
          <w:tcPr>
            <w:tcW w:w="254" w:type="pct"/>
            <w:vMerge w:val="restart"/>
          </w:tcPr>
          <w:p>
            <w:pPr>
              <w:widowControl/>
              <w:spacing w:line="28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垂直连接</w:t>
            </w:r>
          </w:p>
        </w:tc>
        <w:tc>
          <w:tcPr>
            <w:tcW w:w="370"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8</w:t>
            </w:r>
          </w:p>
        </w:tc>
        <w:tc>
          <w:tcPr>
            <w:tcW w:w="500"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25</w:t>
            </w:r>
          </w:p>
        </w:tc>
        <w:tc>
          <w:tcPr>
            <w:tcW w:w="692" w:type="pct"/>
          </w:tcPr>
          <w:p>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50</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40</w:t>
            </w:r>
          </w:p>
        </w:tc>
        <w:tc>
          <w:tcPr>
            <w:tcW w:w="488" w:type="pct"/>
          </w:tcPr>
          <w:p>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598" w:type="pct"/>
          </w:tcPr>
          <w:p>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7</w:t>
            </w:r>
          </w:p>
        </w:tc>
        <w:tc>
          <w:tcPr>
            <w:tcW w:w="323" w:type="pct"/>
          </w:tcPr>
          <w:p>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413"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M</w:t>
            </w:r>
            <w:r>
              <w:rPr>
                <w:rFonts w:cs="宋体" w:asciiTheme="minorEastAsia" w:hAnsiTheme="minorEastAsia" w:eastAsiaTheme="minorEastAsia"/>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Merge w:val="continue"/>
          </w:tcPr>
          <w:p>
            <w:pPr>
              <w:widowControl/>
              <w:spacing w:line="360" w:lineRule="auto"/>
              <w:ind w:firstLine="94" w:firstLineChars="45"/>
              <w:jc w:val="left"/>
              <w:rPr>
                <w:rFonts w:cs="宋体" w:asciiTheme="minorEastAsia" w:hAnsiTheme="minorEastAsia" w:eastAsiaTheme="minorEastAsia"/>
                <w:kern w:val="0"/>
                <w:szCs w:val="21"/>
              </w:rPr>
            </w:pPr>
          </w:p>
        </w:tc>
        <w:tc>
          <w:tcPr>
            <w:tcW w:w="254" w:type="pct"/>
            <w:vMerge w:val="continue"/>
          </w:tcPr>
          <w:p>
            <w:pPr>
              <w:widowControl/>
              <w:spacing w:line="280" w:lineRule="exact"/>
              <w:ind w:firstLine="94" w:firstLineChars="45"/>
              <w:jc w:val="left"/>
              <w:rPr>
                <w:rFonts w:cs="宋体" w:asciiTheme="minorEastAsia" w:hAnsiTheme="minorEastAsia" w:eastAsiaTheme="minorEastAsia"/>
                <w:kern w:val="0"/>
                <w:szCs w:val="21"/>
              </w:rPr>
            </w:pPr>
          </w:p>
        </w:tc>
        <w:tc>
          <w:tcPr>
            <w:tcW w:w="370"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19</w:t>
            </w:r>
          </w:p>
        </w:tc>
        <w:tc>
          <w:tcPr>
            <w:tcW w:w="500"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00</w:t>
            </w:r>
          </w:p>
        </w:tc>
        <w:tc>
          <w:tcPr>
            <w:tcW w:w="692" w:type="pct"/>
          </w:tcPr>
          <w:p>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63</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40</w:t>
            </w:r>
          </w:p>
        </w:tc>
        <w:tc>
          <w:tcPr>
            <w:tcW w:w="488" w:type="pct"/>
          </w:tcPr>
          <w:p>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598" w:type="pct"/>
          </w:tcPr>
          <w:p>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7</w:t>
            </w:r>
          </w:p>
        </w:tc>
        <w:tc>
          <w:tcPr>
            <w:tcW w:w="323" w:type="pct"/>
          </w:tcPr>
          <w:p>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413"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M</w:t>
            </w:r>
            <w:r>
              <w:rPr>
                <w:rFonts w:cs="宋体" w:asciiTheme="minorEastAsia" w:hAnsiTheme="minorEastAsia" w:eastAsiaTheme="minorEastAsia"/>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Merge w:val="continue"/>
          </w:tcPr>
          <w:p>
            <w:pPr>
              <w:widowControl/>
              <w:spacing w:line="360" w:lineRule="auto"/>
              <w:ind w:firstLine="94" w:firstLineChars="45"/>
              <w:jc w:val="left"/>
              <w:rPr>
                <w:rFonts w:cs="宋体" w:asciiTheme="minorEastAsia" w:hAnsiTheme="minorEastAsia" w:eastAsiaTheme="minorEastAsia"/>
                <w:kern w:val="0"/>
                <w:szCs w:val="21"/>
              </w:rPr>
            </w:pPr>
          </w:p>
        </w:tc>
        <w:tc>
          <w:tcPr>
            <w:tcW w:w="254" w:type="pct"/>
            <w:vMerge w:val="continue"/>
          </w:tcPr>
          <w:p>
            <w:pPr>
              <w:widowControl/>
              <w:spacing w:line="280" w:lineRule="exact"/>
              <w:ind w:firstLine="94" w:firstLineChars="45"/>
              <w:jc w:val="left"/>
              <w:rPr>
                <w:rFonts w:cs="宋体" w:asciiTheme="minorEastAsia" w:hAnsiTheme="minorEastAsia" w:eastAsiaTheme="minorEastAsia"/>
                <w:kern w:val="0"/>
                <w:szCs w:val="21"/>
              </w:rPr>
            </w:pPr>
          </w:p>
        </w:tc>
        <w:tc>
          <w:tcPr>
            <w:tcW w:w="370"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0</w:t>
            </w:r>
          </w:p>
        </w:tc>
        <w:tc>
          <w:tcPr>
            <w:tcW w:w="500" w:type="pct"/>
          </w:tcPr>
          <w:p>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80</w:t>
            </w:r>
          </w:p>
        </w:tc>
        <w:tc>
          <w:tcPr>
            <w:tcW w:w="692" w:type="pct"/>
          </w:tcPr>
          <w:p>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63</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40</w:t>
            </w:r>
          </w:p>
        </w:tc>
        <w:tc>
          <w:tcPr>
            <w:tcW w:w="488" w:type="pct"/>
          </w:tcPr>
          <w:p>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598" w:type="pct"/>
          </w:tcPr>
          <w:p>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5</w:t>
            </w:r>
          </w:p>
        </w:tc>
        <w:tc>
          <w:tcPr>
            <w:tcW w:w="323" w:type="pct"/>
          </w:tcPr>
          <w:p>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413"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M</w:t>
            </w:r>
            <w:r>
              <w:rPr>
                <w:rFonts w:cs="宋体" w:asciiTheme="minorEastAsia" w:hAnsiTheme="minorEastAsia" w:eastAsiaTheme="minorEastAsia"/>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Merge w:val="continue"/>
          </w:tcPr>
          <w:p>
            <w:pPr>
              <w:widowControl/>
              <w:spacing w:line="360" w:lineRule="auto"/>
              <w:ind w:firstLine="94" w:firstLineChars="45"/>
              <w:jc w:val="left"/>
              <w:rPr>
                <w:rFonts w:cs="宋体" w:asciiTheme="minorEastAsia" w:hAnsiTheme="minorEastAsia" w:eastAsiaTheme="minorEastAsia"/>
                <w:kern w:val="0"/>
                <w:szCs w:val="21"/>
              </w:rPr>
            </w:pPr>
          </w:p>
        </w:tc>
        <w:tc>
          <w:tcPr>
            <w:tcW w:w="254" w:type="pct"/>
            <w:vMerge w:val="continue"/>
          </w:tcPr>
          <w:p>
            <w:pPr>
              <w:widowControl/>
              <w:spacing w:line="280" w:lineRule="exact"/>
              <w:ind w:firstLine="94" w:firstLineChars="45"/>
              <w:jc w:val="left"/>
              <w:rPr>
                <w:rFonts w:cs="宋体" w:asciiTheme="minorEastAsia" w:hAnsiTheme="minorEastAsia" w:eastAsiaTheme="minorEastAsia"/>
                <w:kern w:val="0"/>
                <w:szCs w:val="21"/>
              </w:rPr>
            </w:pPr>
          </w:p>
        </w:tc>
        <w:tc>
          <w:tcPr>
            <w:tcW w:w="370"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1</w:t>
            </w:r>
          </w:p>
        </w:tc>
        <w:tc>
          <w:tcPr>
            <w:tcW w:w="500"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w:t>
            </w:r>
            <w:r>
              <w:rPr>
                <w:rFonts w:cs="宋体" w:asciiTheme="minorEastAsia" w:hAnsiTheme="minorEastAsia" w:eastAsiaTheme="minorEastAsia"/>
                <w:kern w:val="0"/>
                <w:szCs w:val="21"/>
              </w:rPr>
              <w:t>3</w:t>
            </w:r>
          </w:p>
        </w:tc>
        <w:tc>
          <w:tcPr>
            <w:tcW w:w="692" w:type="pct"/>
          </w:tcPr>
          <w:p>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50</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40</w:t>
            </w:r>
          </w:p>
        </w:tc>
        <w:tc>
          <w:tcPr>
            <w:tcW w:w="488" w:type="pct"/>
          </w:tcPr>
          <w:p>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598" w:type="pct"/>
          </w:tcPr>
          <w:p>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13</w:t>
            </w:r>
          </w:p>
        </w:tc>
        <w:tc>
          <w:tcPr>
            <w:tcW w:w="323" w:type="pct"/>
          </w:tcPr>
          <w:p>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413"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M</w:t>
            </w:r>
            <w:r>
              <w:rPr>
                <w:rFonts w:cs="宋体" w:asciiTheme="minorEastAsia" w:hAnsiTheme="minorEastAsia" w:eastAsiaTheme="minorEastAsia"/>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3" w:type="pct"/>
            <w:vMerge w:val="continue"/>
          </w:tcPr>
          <w:p>
            <w:pPr>
              <w:widowControl/>
              <w:spacing w:line="360" w:lineRule="auto"/>
              <w:ind w:firstLine="94" w:firstLineChars="45"/>
              <w:jc w:val="left"/>
              <w:rPr>
                <w:rFonts w:cs="宋体" w:asciiTheme="minorEastAsia" w:hAnsiTheme="minorEastAsia" w:eastAsiaTheme="minorEastAsia"/>
                <w:kern w:val="0"/>
                <w:szCs w:val="21"/>
              </w:rPr>
            </w:pPr>
          </w:p>
        </w:tc>
        <w:tc>
          <w:tcPr>
            <w:tcW w:w="254" w:type="pct"/>
            <w:vMerge w:val="continue"/>
          </w:tcPr>
          <w:p>
            <w:pPr>
              <w:widowControl/>
              <w:spacing w:line="280" w:lineRule="exact"/>
              <w:ind w:firstLine="94" w:firstLineChars="45"/>
              <w:jc w:val="left"/>
              <w:rPr>
                <w:rFonts w:cs="宋体" w:asciiTheme="minorEastAsia" w:hAnsiTheme="minorEastAsia" w:eastAsiaTheme="minorEastAsia"/>
                <w:kern w:val="0"/>
                <w:szCs w:val="21"/>
              </w:rPr>
            </w:pPr>
          </w:p>
        </w:tc>
        <w:tc>
          <w:tcPr>
            <w:tcW w:w="370"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22</w:t>
            </w:r>
          </w:p>
        </w:tc>
        <w:tc>
          <w:tcPr>
            <w:tcW w:w="500"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r>
              <w:rPr>
                <w:rFonts w:cs="宋体" w:asciiTheme="minorEastAsia" w:hAnsiTheme="minorEastAsia" w:eastAsiaTheme="minorEastAsia"/>
                <w:kern w:val="0"/>
                <w:szCs w:val="21"/>
              </w:rPr>
              <w:t>0</w:t>
            </w:r>
          </w:p>
        </w:tc>
        <w:tc>
          <w:tcPr>
            <w:tcW w:w="692" w:type="pct"/>
          </w:tcPr>
          <w:p>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45</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40</w:t>
            </w:r>
          </w:p>
        </w:tc>
        <w:tc>
          <w:tcPr>
            <w:tcW w:w="488" w:type="pct"/>
          </w:tcPr>
          <w:p>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598" w:type="pct"/>
          </w:tcPr>
          <w:p>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1</w:t>
            </w:r>
          </w:p>
        </w:tc>
        <w:tc>
          <w:tcPr>
            <w:tcW w:w="323" w:type="pct"/>
          </w:tcPr>
          <w:p>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413"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M</w:t>
            </w:r>
            <w:r>
              <w:rPr>
                <w:rFonts w:cs="宋体" w:asciiTheme="minorEastAsia" w:hAnsiTheme="minorEastAsia" w:eastAsiaTheme="minorEastAsia"/>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Merge w:val="continue"/>
          </w:tcPr>
          <w:p>
            <w:pPr>
              <w:widowControl/>
              <w:spacing w:line="360" w:lineRule="auto"/>
              <w:ind w:firstLine="94" w:firstLineChars="45"/>
              <w:jc w:val="left"/>
              <w:rPr>
                <w:rFonts w:cs="宋体" w:asciiTheme="minorEastAsia" w:hAnsiTheme="minorEastAsia" w:eastAsiaTheme="minorEastAsia"/>
                <w:kern w:val="0"/>
                <w:szCs w:val="21"/>
              </w:rPr>
            </w:pPr>
          </w:p>
        </w:tc>
        <w:tc>
          <w:tcPr>
            <w:tcW w:w="254" w:type="pct"/>
            <w:vMerge w:val="continue"/>
          </w:tcPr>
          <w:p>
            <w:pPr>
              <w:widowControl/>
              <w:spacing w:line="280" w:lineRule="exact"/>
              <w:ind w:firstLine="94" w:firstLineChars="45"/>
              <w:jc w:val="left"/>
              <w:rPr>
                <w:rFonts w:cs="宋体" w:asciiTheme="minorEastAsia" w:hAnsiTheme="minorEastAsia" w:eastAsiaTheme="minorEastAsia"/>
                <w:kern w:val="0"/>
                <w:szCs w:val="21"/>
              </w:rPr>
            </w:pPr>
          </w:p>
        </w:tc>
        <w:tc>
          <w:tcPr>
            <w:tcW w:w="370"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3</w:t>
            </w:r>
          </w:p>
        </w:tc>
        <w:tc>
          <w:tcPr>
            <w:tcW w:w="500"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w:t>
            </w:r>
            <w:r>
              <w:rPr>
                <w:rFonts w:cs="宋体" w:asciiTheme="minorEastAsia" w:hAnsiTheme="minorEastAsia" w:eastAsiaTheme="minorEastAsia"/>
                <w:kern w:val="0"/>
                <w:szCs w:val="21"/>
              </w:rPr>
              <w:t>3</w:t>
            </w:r>
          </w:p>
        </w:tc>
        <w:tc>
          <w:tcPr>
            <w:tcW w:w="692" w:type="pct"/>
          </w:tcPr>
          <w:p>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31.5</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25</w:t>
            </w:r>
          </w:p>
        </w:tc>
        <w:tc>
          <w:tcPr>
            <w:tcW w:w="488" w:type="pct"/>
          </w:tcPr>
          <w:p>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598" w:type="pct"/>
          </w:tcPr>
          <w:p>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1</w:t>
            </w:r>
          </w:p>
        </w:tc>
        <w:tc>
          <w:tcPr>
            <w:tcW w:w="323" w:type="pct"/>
          </w:tcPr>
          <w:p>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413"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M</w:t>
            </w:r>
            <w:r>
              <w:rPr>
                <w:rFonts w:cs="宋体" w:asciiTheme="minorEastAsia" w:hAnsiTheme="minorEastAsia" w:eastAsiaTheme="minorEastAsia"/>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Merge w:val="continue"/>
          </w:tcPr>
          <w:p>
            <w:pPr>
              <w:widowControl/>
              <w:spacing w:line="360" w:lineRule="auto"/>
              <w:ind w:firstLine="94" w:firstLineChars="45"/>
              <w:jc w:val="left"/>
              <w:rPr>
                <w:rFonts w:cs="宋体" w:asciiTheme="minorEastAsia" w:hAnsiTheme="minorEastAsia" w:eastAsiaTheme="minorEastAsia"/>
                <w:kern w:val="0"/>
                <w:szCs w:val="21"/>
              </w:rPr>
            </w:pPr>
          </w:p>
        </w:tc>
        <w:tc>
          <w:tcPr>
            <w:tcW w:w="254" w:type="pct"/>
            <w:vMerge w:val="continue"/>
          </w:tcPr>
          <w:p>
            <w:pPr>
              <w:widowControl/>
              <w:spacing w:line="280" w:lineRule="exact"/>
              <w:ind w:firstLine="94" w:firstLineChars="45"/>
              <w:jc w:val="left"/>
              <w:rPr>
                <w:rFonts w:cs="宋体" w:asciiTheme="minorEastAsia" w:hAnsiTheme="minorEastAsia" w:eastAsiaTheme="minorEastAsia"/>
                <w:kern w:val="0"/>
                <w:szCs w:val="21"/>
              </w:rPr>
            </w:pPr>
          </w:p>
        </w:tc>
        <w:tc>
          <w:tcPr>
            <w:tcW w:w="370"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4</w:t>
            </w:r>
          </w:p>
        </w:tc>
        <w:tc>
          <w:tcPr>
            <w:tcW w:w="500"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r>
              <w:rPr>
                <w:rFonts w:cs="宋体" w:asciiTheme="minorEastAsia" w:hAnsiTheme="minorEastAsia" w:eastAsiaTheme="minorEastAsia"/>
                <w:kern w:val="0"/>
                <w:szCs w:val="21"/>
              </w:rPr>
              <w:t>0</w:t>
            </w:r>
          </w:p>
        </w:tc>
        <w:tc>
          <w:tcPr>
            <w:tcW w:w="692" w:type="pct"/>
          </w:tcPr>
          <w:p>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31.5</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25</w:t>
            </w:r>
          </w:p>
        </w:tc>
        <w:tc>
          <w:tcPr>
            <w:tcW w:w="488" w:type="pct"/>
          </w:tcPr>
          <w:p>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598" w:type="pct"/>
          </w:tcPr>
          <w:p>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w:t>
            </w:r>
          </w:p>
        </w:tc>
        <w:tc>
          <w:tcPr>
            <w:tcW w:w="323" w:type="pct"/>
          </w:tcPr>
          <w:p>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413"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M</w:t>
            </w:r>
            <w:r>
              <w:rPr>
                <w:rFonts w:cs="宋体" w:asciiTheme="minorEastAsia" w:hAnsiTheme="minorEastAsia" w:eastAsiaTheme="minorEastAsia"/>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Merge w:val="restart"/>
          </w:tcPr>
          <w:p>
            <w:pPr>
              <w:widowControl/>
              <w:spacing w:line="360" w:lineRule="auto"/>
              <w:ind w:firstLine="72" w:firstLineChars="45"/>
              <w:jc w:val="left"/>
              <w:rPr>
                <w:rFonts w:cs="宋体" w:asciiTheme="minorEastAsia" w:hAnsiTheme="minorEastAsia" w:eastAsiaTheme="minorEastAsia"/>
                <w:kern w:val="0"/>
                <w:szCs w:val="21"/>
              </w:rPr>
            </w:pPr>
            <w:r>
              <w:rPr>
                <w:rFonts w:cs="宋体" w:asciiTheme="minorEastAsia" w:hAnsiTheme="minorEastAsia" w:eastAsiaTheme="minorEastAsia"/>
                <w:sz w:val="16"/>
                <w:szCs w:val="16"/>
              </w:rPr>
              <w:drawing>
                <wp:inline distT="0" distB="0" distL="114300" distR="114300">
                  <wp:extent cx="1039495" cy="788035"/>
                  <wp:effectExtent l="0" t="0" r="8255" b="12065"/>
                  <wp:docPr id="17" name="图片 17" descr="168500147360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图片 17" descr="1685001473609"/>
                          <pic:cNvPicPr>
                            <a:picLocks noChangeAspect="true"/>
                          </pic:cNvPicPr>
                        </pic:nvPicPr>
                        <pic:blipFill>
                          <a:blip r:embed="rId17"/>
                          <a:stretch>
                            <a:fillRect/>
                          </a:stretch>
                        </pic:blipFill>
                        <pic:spPr>
                          <a:xfrm>
                            <a:off x="0" y="0"/>
                            <a:ext cx="1039495" cy="788035"/>
                          </a:xfrm>
                          <a:prstGeom prst="rect">
                            <a:avLst/>
                          </a:prstGeom>
                        </pic:spPr>
                      </pic:pic>
                    </a:graphicData>
                  </a:graphic>
                </wp:inline>
              </w:drawing>
            </w:r>
          </w:p>
        </w:tc>
        <w:tc>
          <w:tcPr>
            <w:tcW w:w="254" w:type="pct"/>
            <w:vMerge w:val="restart"/>
          </w:tcPr>
          <w:p>
            <w:pPr>
              <w:widowControl/>
              <w:spacing w:line="28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垂直连接</w:t>
            </w:r>
          </w:p>
        </w:tc>
        <w:tc>
          <w:tcPr>
            <w:tcW w:w="370"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5</w:t>
            </w:r>
          </w:p>
        </w:tc>
        <w:tc>
          <w:tcPr>
            <w:tcW w:w="500"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25</w:t>
            </w:r>
          </w:p>
        </w:tc>
        <w:tc>
          <w:tcPr>
            <w:tcW w:w="692" w:type="pct"/>
          </w:tcPr>
          <w:p>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31.5</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25</w:t>
            </w:r>
          </w:p>
        </w:tc>
        <w:tc>
          <w:tcPr>
            <w:tcW w:w="488" w:type="pct"/>
          </w:tcPr>
          <w:p>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w:t>
            </w:r>
            <w:r>
              <w:rPr>
                <w:rFonts w:cs="宋体" w:asciiTheme="minorEastAsia" w:hAnsiTheme="minorEastAsia" w:eastAsiaTheme="minorEastAsia"/>
                <w:kern w:val="0"/>
                <w:szCs w:val="21"/>
              </w:rPr>
              <w:t>0</w:t>
            </w:r>
          </w:p>
        </w:tc>
        <w:tc>
          <w:tcPr>
            <w:tcW w:w="598" w:type="pct"/>
          </w:tcPr>
          <w:p>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1</w:t>
            </w:r>
          </w:p>
        </w:tc>
        <w:tc>
          <w:tcPr>
            <w:tcW w:w="323" w:type="pct"/>
          </w:tcPr>
          <w:p>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413"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M</w:t>
            </w:r>
            <w:r>
              <w:rPr>
                <w:rFonts w:cs="宋体" w:asciiTheme="minorEastAsia" w:hAnsiTheme="minorEastAsia" w:eastAsiaTheme="minorEastAsia"/>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3" w:type="pct"/>
            <w:vMerge w:val="continue"/>
          </w:tcPr>
          <w:p>
            <w:pPr>
              <w:widowControl/>
              <w:spacing w:line="360" w:lineRule="auto"/>
              <w:ind w:firstLine="94" w:firstLineChars="45"/>
              <w:jc w:val="left"/>
              <w:rPr>
                <w:rFonts w:cs="宋体" w:asciiTheme="minorEastAsia" w:hAnsiTheme="minorEastAsia" w:eastAsiaTheme="minorEastAsia"/>
                <w:kern w:val="0"/>
                <w:szCs w:val="21"/>
              </w:rPr>
            </w:pPr>
          </w:p>
        </w:tc>
        <w:tc>
          <w:tcPr>
            <w:tcW w:w="254" w:type="pct"/>
            <w:vMerge w:val="continue"/>
          </w:tcPr>
          <w:p>
            <w:pPr>
              <w:widowControl/>
              <w:spacing w:line="280" w:lineRule="exact"/>
              <w:jc w:val="center"/>
              <w:rPr>
                <w:rFonts w:cs="宋体" w:asciiTheme="minorEastAsia" w:hAnsiTheme="minorEastAsia" w:eastAsiaTheme="minorEastAsia"/>
                <w:kern w:val="0"/>
                <w:szCs w:val="21"/>
              </w:rPr>
            </w:pPr>
          </w:p>
        </w:tc>
        <w:tc>
          <w:tcPr>
            <w:tcW w:w="370"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6</w:t>
            </w:r>
          </w:p>
        </w:tc>
        <w:tc>
          <w:tcPr>
            <w:tcW w:w="500"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r>
              <w:rPr>
                <w:rFonts w:cs="宋体" w:asciiTheme="minorEastAsia" w:hAnsiTheme="minorEastAsia" w:eastAsiaTheme="minorEastAsia"/>
                <w:kern w:val="0"/>
                <w:szCs w:val="21"/>
              </w:rPr>
              <w:t>0</w:t>
            </w:r>
          </w:p>
        </w:tc>
        <w:tc>
          <w:tcPr>
            <w:tcW w:w="692" w:type="pct"/>
          </w:tcPr>
          <w:p>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31.5</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25</w:t>
            </w:r>
          </w:p>
        </w:tc>
        <w:tc>
          <w:tcPr>
            <w:tcW w:w="488" w:type="pct"/>
          </w:tcPr>
          <w:p>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r>
              <w:rPr>
                <w:rFonts w:cs="宋体" w:asciiTheme="minorEastAsia" w:hAnsiTheme="minorEastAsia" w:eastAsiaTheme="minorEastAsia"/>
                <w:kern w:val="0"/>
                <w:szCs w:val="21"/>
              </w:rPr>
              <w:t>0</w:t>
            </w:r>
          </w:p>
        </w:tc>
        <w:tc>
          <w:tcPr>
            <w:tcW w:w="598" w:type="pct"/>
          </w:tcPr>
          <w:p>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w:t>
            </w:r>
          </w:p>
        </w:tc>
        <w:tc>
          <w:tcPr>
            <w:tcW w:w="323" w:type="pct"/>
          </w:tcPr>
          <w:p>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413"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M</w:t>
            </w:r>
            <w:r>
              <w:rPr>
                <w:rFonts w:cs="宋体" w:asciiTheme="minorEastAsia" w:hAnsiTheme="minorEastAsia" w:eastAsiaTheme="minorEastAsia"/>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Merge w:val="continue"/>
          </w:tcPr>
          <w:p>
            <w:pPr>
              <w:widowControl/>
              <w:spacing w:line="360" w:lineRule="auto"/>
              <w:ind w:firstLine="94" w:firstLineChars="45"/>
              <w:jc w:val="left"/>
              <w:rPr>
                <w:rFonts w:cs="宋体" w:asciiTheme="minorEastAsia" w:hAnsiTheme="minorEastAsia" w:eastAsiaTheme="minorEastAsia"/>
                <w:kern w:val="0"/>
                <w:szCs w:val="21"/>
              </w:rPr>
            </w:pPr>
          </w:p>
        </w:tc>
        <w:tc>
          <w:tcPr>
            <w:tcW w:w="254" w:type="pct"/>
            <w:vMerge w:val="continue"/>
          </w:tcPr>
          <w:p>
            <w:pPr>
              <w:widowControl/>
              <w:spacing w:line="280" w:lineRule="exact"/>
              <w:jc w:val="center"/>
              <w:rPr>
                <w:rFonts w:cs="宋体" w:asciiTheme="minorEastAsia" w:hAnsiTheme="minorEastAsia" w:eastAsiaTheme="minorEastAsia"/>
                <w:kern w:val="0"/>
                <w:szCs w:val="21"/>
              </w:rPr>
            </w:pPr>
          </w:p>
        </w:tc>
        <w:tc>
          <w:tcPr>
            <w:tcW w:w="370"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7</w:t>
            </w:r>
          </w:p>
        </w:tc>
        <w:tc>
          <w:tcPr>
            <w:tcW w:w="500"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w:t>
            </w:r>
            <w:r>
              <w:rPr>
                <w:rFonts w:cs="宋体" w:asciiTheme="minorEastAsia" w:hAnsiTheme="minorEastAsia" w:eastAsiaTheme="minorEastAsia"/>
                <w:kern w:val="0"/>
                <w:szCs w:val="21"/>
              </w:rPr>
              <w:t>0</w:t>
            </w:r>
          </w:p>
        </w:tc>
        <w:tc>
          <w:tcPr>
            <w:tcW w:w="692" w:type="pct"/>
          </w:tcPr>
          <w:p>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31.5</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25</w:t>
            </w:r>
          </w:p>
        </w:tc>
        <w:tc>
          <w:tcPr>
            <w:tcW w:w="488" w:type="pct"/>
          </w:tcPr>
          <w:p>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w:t>
            </w:r>
          </w:p>
        </w:tc>
        <w:tc>
          <w:tcPr>
            <w:tcW w:w="598" w:type="pct"/>
          </w:tcPr>
          <w:p>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w:t>
            </w:r>
          </w:p>
        </w:tc>
        <w:tc>
          <w:tcPr>
            <w:tcW w:w="323" w:type="pct"/>
          </w:tcPr>
          <w:p>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413"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M</w:t>
            </w:r>
            <w:r>
              <w:rPr>
                <w:rFonts w:cs="宋体" w:asciiTheme="minorEastAsia" w:hAnsiTheme="minorEastAsia" w:eastAsiaTheme="minorEastAsia"/>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Merge w:val="restart"/>
          </w:tcPr>
          <w:p>
            <w:pPr>
              <w:widowControl/>
              <w:spacing w:line="360" w:lineRule="auto"/>
              <w:ind w:firstLine="72" w:firstLineChars="45"/>
              <w:jc w:val="left"/>
              <w:rPr>
                <w:rFonts w:cs="宋体" w:asciiTheme="minorEastAsia" w:hAnsiTheme="minorEastAsia" w:eastAsiaTheme="minorEastAsia"/>
                <w:kern w:val="0"/>
                <w:szCs w:val="21"/>
              </w:rPr>
            </w:pPr>
            <w:r>
              <w:rPr>
                <w:rFonts w:cs="宋体" w:asciiTheme="minorEastAsia" w:hAnsiTheme="minorEastAsia" w:eastAsiaTheme="minorEastAsia"/>
                <w:sz w:val="16"/>
                <w:szCs w:val="16"/>
              </w:rPr>
              <w:drawing>
                <wp:inline distT="0" distB="0" distL="114300" distR="114300">
                  <wp:extent cx="1038860" cy="817880"/>
                  <wp:effectExtent l="0" t="0" r="8890" b="1270"/>
                  <wp:docPr id="18" name="图片 18" descr="168500151087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8" name="图片 18" descr="1685001510872"/>
                          <pic:cNvPicPr>
                            <a:picLocks noChangeAspect="true"/>
                          </pic:cNvPicPr>
                        </pic:nvPicPr>
                        <pic:blipFill>
                          <a:blip r:embed="rId18"/>
                          <a:stretch>
                            <a:fillRect/>
                          </a:stretch>
                        </pic:blipFill>
                        <pic:spPr>
                          <a:xfrm>
                            <a:off x="0" y="0"/>
                            <a:ext cx="1038860" cy="817880"/>
                          </a:xfrm>
                          <a:prstGeom prst="rect">
                            <a:avLst/>
                          </a:prstGeom>
                        </pic:spPr>
                      </pic:pic>
                    </a:graphicData>
                  </a:graphic>
                </wp:inline>
              </w:drawing>
            </w:r>
          </w:p>
        </w:tc>
        <w:tc>
          <w:tcPr>
            <w:tcW w:w="254" w:type="pct"/>
            <w:vMerge w:val="restart"/>
          </w:tcPr>
          <w:p>
            <w:pPr>
              <w:widowControl/>
              <w:spacing w:line="28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垂直连接</w:t>
            </w:r>
          </w:p>
        </w:tc>
        <w:tc>
          <w:tcPr>
            <w:tcW w:w="370"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8</w:t>
            </w:r>
          </w:p>
        </w:tc>
        <w:tc>
          <w:tcPr>
            <w:tcW w:w="500"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r>
              <w:rPr>
                <w:rFonts w:cs="宋体" w:asciiTheme="minorEastAsia" w:hAnsiTheme="minorEastAsia" w:eastAsiaTheme="minorEastAsia"/>
                <w:kern w:val="0"/>
                <w:szCs w:val="21"/>
              </w:rPr>
              <w:t>0</w:t>
            </w:r>
          </w:p>
        </w:tc>
        <w:tc>
          <w:tcPr>
            <w:tcW w:w="692" w:type="pct"/>
          </w:tcPr>
          <w:p>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40</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31.5</w:t>
            </w:r>
          </w:p>
        </w:tc>
        <w:tc>
          <w:tcPr>
            <w:tcW w:w="488" w:type="pct"/>
          </w:tcPr>
          <w:p>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598" w:type="pct"/>
          </w:tcPr>
          <w:p>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3</w:t>
            </w:r>
          </w:p>
        </w:tc>
        <w:tc>
          <w:tcPr>
            <w:tcW w:w="323" w:type="pct"/>
          </w:tcPr>
          <w:p>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413"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M</w:t>
            </w:r>
            <w:r>
              <w:rPr>
                <w:rFonts w:cs="宋体" w:asciiTheme="minorEastAsia" w:hAnsiTheme="minorEastAsia" w:eastAsiaTheme="minorEastAsia"/>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Merge w:val="continue"/>
          </w:tcPr>
          <w:p>
            <w:pPr>
              <w:widowControl/>
              <w:spacing w:line="280" w:lineRule="exact"/>
              <w:ind w:firstLine="94" w:firstLineChars="45"/>
              <w:jc w:val="left"/>
              <w:rPr>
                <w:rFonts w:cs="宋体" w:asciiTheme="minorEastAsia" w:hAnsiTheme="minorEastAsia" w:eastAsiaTheme="minorEastAsia"/>
                <w:kern w:val="0"/>
                <w:szCs w:val="21"/>
              </w:rPr>
            </w:pPr>
          </w:p>
        </w:tc>
        <w:tc>
          <w:tcPr>
            <w:tcW w:w="254" w:type="pct"/>
            <w:vMerge w:val="continue"/>
          </w:tcPr>
          <w:p>
            <w:pPr>
              <w:widowControl/>
              <w:spacing w:line="280" w:lineRule="exact"/>
              <w:ind w:firstLine="94" w:firstLineChars="45"/>
              <w:jc w:val="left"/>
              <w:rPr>
                <w:rFonts w:cs="宋体" w:asciiTheme="minorEastAsia" w:hAnsiTheme="minorEastAsia" w:eastAsiaTheme="minorEastAsia"/>
                <w:kern w:val="0"/>
                <w:szCs w:val="21"/>
              </w:rPr>
            </w:pPr>
          </w:p>
        </w:tc>
        <w:tc>
          <w:tcPr>
            <w:tcW w:w="370"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9</w:t>
            </w:r>
          </w:p>
        </w:tc>
        <w:tc>
          <w:tcPr>
            <w:tcW w:w="500"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40</w:t>
            </w:r>
          </w:p>
        </w:tc>
        <w:tc>
          <w:tcPr>
            <w:tcW w:w="692"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5</w:t>
            </w:r>
          </w:p>
        </w:tc>
        <w:tc>
          <w:tcPr>
            <w:tcW w:w="488" w:type="pct"/>
          </w:tcPr>
          <w:p>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598" w:type="pct"/>
          </w:tcPr>
          <w:p>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w:t>
            </w:r>
          </w:p>
        </w:tc>
        <w:tc>
          <w:tcPr>
            <w:tcW w:w="323" w:type="pct"/>
          </w:tcPr>
          <w:p>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413"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M</w:t>
            </w:r>
            <w:r>
              <w:rPr>
                <w:rFonts w:cs="宋体" w:asciiTheme="minorEastAsia" w:hAnsiTheme="minorEastAsia" w:eastAsiaTheme="minorEastAsia"/>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3" w:type="pct"/>
            <w:vMerge w:val="continue"/>
          </w:tcPr>
          <w:p>
            <w:pPr>
              <w:widowControl/>
              <w:spacing w:line="280" w:lineRule="exact"/>
              <w:ind w:firstLine="94" w:firstLineChars="45"/>
              <w:jc w:val="left"/>
              <w:rPr>
                <w:rFonts w:cs="宋体" w:asciiTheme="minorEastAsia" w:hAnsiTheme="minorEastAsia" w:eastAsiaTheme="minorEastAsia"/>
                <w:kern w:val="0"/>
                <w:szCs w:val="21"/>
              </w:rPr>
            </w:pPr>
          </w:p>
        </w:tc>
        <w:tc>
          <w:tcPr>
            <w:tcW w:w="254" w:type="pct"/>
            <w:vMerge w:val="continue"/>
          </w:tcPr>
          <w:p>
            <w:pPr>
              <w:widowControl/>
              <w:spacing w:line="280" w:lineRule="exact"/>
              <w:ind w:firstLine="94" w:firstLineChars="45"/>
              <w:jc w:val="left"/>
              <w:rPr>
                <w:rFonts w:cs="宋体" w:asciiTheme="minorEastAsia" w:hAnsiTheme="minorEastAsia" w:eastAsiaTheme="minorEastAsia"/>
                <w:kern w:val="0"/>
                <w:szCs w:val="21"/>
              </w:rPr>
            </w:pPr>
          </w:p>
        </w:tc>
        <w:tc>
          <w:tcPr>
            <w:tcW w:w="370"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r>
              <w:rPr>
                <w:rFonts w:cs="宋体" w:asciiTheme="minorEastAsia" w:hAnsiTheme="minorEastAsia" w:eastAsiaTheme="minorEastAsia"/>
                <w:kern w:val="0"/>
                <w:szCs w:val="21"/>
              </w:rPr>
              <w:t>0</w:t>
            </w:r>
          </w:p>
        </w:tc>
        <w:tc>
          <w:tcPr>
            <w:tcW w:w="500"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r>
              <w:rPr>
                <w:rFonts w:cs="宋体" w:asciiTheme="minorEastAsia" w:hAnsiTheme="minorEastAsia" w:eastAsiaTheme="minorEastAsia"/>
                <w:kern w:val="0"/>
                <w:szCs w:val="21"/>
              </w:rPr>
              <w:t>1.5</w:t>
            </w:r>
          </w:p>
        </w:tc>
        <w:tc>
          <w:tcPr>
            <w:tcW w:w="692" w:type="pct"/>
          </w:tcPr>
          <w:p>
            <w:pPr>
              <w:widowControl/>
              <w:spacing w:line="28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31.5</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25</w:t>
            </w:r>
          </w:p>
        </w:tc>
        <w:tc>
          <w:tcPr>
            <w:tcW w:w="488" w:type="pct"/>
          </w:tcPr>
          <w:p>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598" w:type="pct"/>
          </w:tcPr>
          <w:p>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1</w:t>
            </w:r>
          </w:p>
        </w:tc>
        <w:tc>
          <w:tcPr>
            <w:tcW w:w="323" w:type="pct"/>
          </w:tcPr>
          <w:p>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413"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M</w:t>
            </w:r>
            <w:r>
              <w:rPr>
                <w:rFonts w:cs="宋体" w:asciiTheme="minorEastAsia" w:hAnsiTheme="minorEastAsia" w:eastAsiaTheme="minorEastAsia"/>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Merge w:val="continue"/>
          </w:tcPr>
          <w:p>
            <w:pPr>
              <w:widowControl/>
              <w:spacing w:line="280" w:lineRule="exact"/>
              <w:ind w:firstLine="94" w:firstLineChars="45"/>
              <w:jc w:val="left"/>
              <w:rPr>
                <w:rFonts w:cs="宋体" w:asciiTheme="minorEastAsia" w:hAnsiTheme="minorEastAsia" w:eastAsiaTheme="minorEastAsia"/>
                <w:kern w:val="0"/>
                <w:szCs w:val="21"/>
              </w:rPr>
            </w:pPr>
          </w:p>
        </w:tc>
        <w:tc>
          <w:tcPr>
            <w:tcW w:w="254" w:type="pct"/>
            <w:vMerge w:val="continue"/>
          </w:tcPr>
          <w:p>
            <w:pPr>
              <w:widowControl/>
              <w:spacing w:line="280" w:lineRule="exact"/>
              <w:ind w:firstLine="94" w:firstLineChars="45"/>
              <w:jc w:val="left"/>
              <w:rPr>
                <w:rFonts w:cs="宋体" w:asciiTheme="minorEastAsia" w:hAnsiTheme="minorEastAsia" w:eastAsiaTheme="minorEastAsia"/>
                <w:kern w:val="0"/>
                <w:szCs w:val="21"/>
              </w:rPr>
            </w:pPr>
          </w:p>
        </w:tc>
        <w:tc>
          <w:tcPr>
            <w:tcW w:w="370"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r>
              <w:rPr>
                <w:rFonts w:cs="宋体" w:asciiTheme="minorEastAsia" w:hAnsiTheme="minorEastAsia" w:eastAsiaTheme="minorEastAsia"/>
                <w:kern w:val="0"/>
                <w:szCs w:val="21"/>
              </w:rPr>
              <w:t>1</w:t>
            </w:r>
          </w:p>
        </w:tc>
        <w:tc>
          <w:tcPr>
            <w:tcW w:w="500"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5</w:t>
            </w:r>
          </w:p>
        </w:tc>
        <w:tc>
          <w:tcPr>
            <w:tcW w:w="692"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2</w:t>
            </w:r>
          </w:p>
        </w:tc>
        <w:tc>
          <w:tcPr>
            <w:tcW w:w="488" w:type="pct"/>
          </w:tcPr>
          <w:p>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598" w:type="pct"/>
          </w:tcPr>
          <w:p>
            <w:pPr>
              <w:widowControl/>
              <w:spacing w:line="280" w:lineRule="exact"/>
              <w:ind w:firstLine="94" w:firstLineChars="45"/>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9</w:t>
            </w:r>
          </w:p>
        </w:tc>
        <w:tc>
          <w:tcPr>
            <w:tcW w:w="323" w:type="pct"/>
          </w:tcPr>
          <w:p>
            <w:pPr>
              <w:widowControl/>
              <w:spacing w:line="280" w:lineRule="exact"/>
              <w:ind w:firstLine="94" w:firstLineChars="45"/>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413" w:type="pct"/>
          </w:tcPr>
          <w:p>
            <w:pPr>
              <w:widowControl/>
              <w:spacing w:line="28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M</w:t>
            </w:r>
            <w:r>
              <w:rPr>
                <w:rFonts w:cs="宋体" w:asciiTheme="minorEastAsia" w:hAnsiTheme="minorEastAsia" w:eastAsiaTheme="minorEastAsia"/>
                <w:kern w:val="0"/>
                <w:szCs w:val="21"/>
              </w:rPr>
              <w:t>8</w:t>
            </w:r>
          </w:p>
        </w:tc>
      </w:tr>
    </w:tbl>
    <w:p>
      <w:pPr>
        <w:pStyle w:val="64"/>
        <w:spacing w:after="100" w:line="240" w:lineRule="auto"/>
        <w:ind w:firstLine="0"/>
        <w:jc w:val="center"/>
        <w:rPr>
          <w:rFonts w:asciiTheme="minorEastAsia" w:hAnsiTheme="minorEastAsia" w:eastAsiaTheme="minorEastAsia"/>
          <w:sz w:val="17"/>
          <w:szCs w:val="17"/>
        </w:rPr>
      </w:pPr>
    </w:p>
    <w:p>
      <w:pPr>
        <w:widowControl/>
        <w:jc w:val="left"/>
        <w:rPr>
          <w:rFonts w:asciiTheme="minorEastAsia" w:hAnsiTheme="minorEastAsia" w:eastAsiaTheme="minorEastAsia"/>
          <w:b/>
          <w:bCs/>
          <w:kern w:val="44"/>
          <w:sz w:val="28"/>
          <w:szCs w:val="28"/>
        </w:rPr>
      </w:pPr>
      <w:r>
        <w:rPr>
          <w:rFonts w:asciiTheme="minorEastAsia" w:hAnsiTheme="minorEastAsia" w:eastAsiaTheme="minorEastAsia"/>
          <w:sz w:val="28"/>
          <w:szCs w:val="28"/>
        </w:rPr>
        <w:br w:type="page"/>
      </w:r>
    </w:p>
    <w:p>
      <w:pPr>
        <w:pStyle w:val="2"/>
        <w:numPr>
          <w:ilvl w:val="0"/>
          <w:numId w:val="194"/>
        </w:numPr>
        <w:spacing w:before="120" w:beforeLines="50" w:after="120" w:afterLines="50"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bookmarkStart w:id="220" w:name="_Toc136869105"/>
      <w:bookmarkStart w:id="221" w:name="_Toc136868070"/>
      <w:bookmarkStart w:id="222" w:name="_Toc137216264"/>
      <w:r>
        <w:rPr>
          <w:rFonts w:hint="eastAsia" w:asciiTheme="minorEastAsia" w:hAnsiTheme="minorEastAsia" w:eastAsiaTheme="minorEastAsia"/>
          <w:sz w:val="28"/>
          <w:szCs w:val="28"/>
        </w:rPr>
        <w:t>母线搭接螺栓的拧紧力矩</w:t>
      </w:r>
      <w:bookmarkEnd w:id="220"/>
      <w:bookmarkEnd w:id="221"/>
      <w:bookmarkEnd w:id="222"/>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2990"/>
        <w:gridCol w:w="4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序号</w:t>
            </w:r>
          </w:p>
        </w:tc>
        <w:tc>
          <w:tcPr>
            <w:tcW w:w="1753"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螺 栓 规 格</w:t>
            </w:r>
          </w:p>
        </w:tc>
        <w:tc>
          <w:tcPr>
            <w:tcW w:w="2715"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力 矩 值（N</w:t>
            </w:r>
            <w:r>
              <w:rPr>
                <w:rFonts w:hint="eastAsia" w:ascii="微软雅黑" w:hAnsi="微软雅黑" w:eastAsia="微软雅黑" w:cs="微软雅黑"/>
                <w:kern w:val="0"/>
                <w:szCs w:val="21"/>
              </w:rPr>
              <w:t>・</w:t>
            </w:r>
            <w:r>
              <w:rPr>
                <w:rFonts w:hint="eastAsia" w:cs="微软雅黑" w:asciiTheme="minorEastAsia" w:hAnsiTheme="minorEastAsia" w:eastAsiaTheme="minorEastAsia"/>
                <w:kern w:val="0"/>
                <w:szCs w:val="21"/>
              </w:rPr>
              <w:t>φ</w:t>
            </w:r>
            <w:r>
              <w:rPr>
                <w:rFonts w:cs="宋体" w:asciiTheme="minorEastAsia" w:hAnsiTheme="minorEastAsia" w:eastAsiaTheme="minorEastAsia"/>
                <w:kern w:val="0"/>
                <w:szCs w:val="21"/>
              </w:rPr>
              <w:t>m</w:t>
            </w:r>
            <w:r>
              <w:rPr>
                <w:rFonts w:hint="eastAsia" w:cs="宋体" w:asciiTheme="minorEastAsia" w:hAnsiTheme="minorEastAsia" w:eastAsiaTheme="minor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1753"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M</w:t>
            </w:r>
            <w:r>
              <w:rPr>
                <w:rFonts w:cs="宋体" w:asciiTheme="minorEastAsia" w:hAnsiTheme="minorEastAsia" w:eastAsiaTheme="minorEastAsia"/>
                <w:kern w:val="0"/>
                <w:szCs w:val="21"/>
              </w:rPr>
              <w:t>8</w:t>
            </w:r>
          </w:p>
        </w:tc>
        <w:tc>
          <w:tcPr>
            <w:tcW w:w="2715"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8.8</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1753"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M</w:t>
            </w:r>
            <w:r>
              <w:rPr>
                <w:rFonts w:cs="宋体" w:asciiTheme="minorEastAsia" w:hAnsiTheme="minorEastAsia" w:eastAsiaTheme="minorEastAsia"/>
                <w:kern w:val="0"/>
                <w:szCs w:val="21"/>
              </w:rPr>
              <w:t>10</w:t>
            </w:r>
          </w:p>
        </w:tc>
        <w:tc>
          <w:tcPr>
            <w:tcW w:w="2715"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17.7</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2"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p>
        </w:tc>
        <w:tc>
          <w:tcPr>
            <w:tcW w:w="1753"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M</w:t>
            </w:r>
            <w:r>
              <w:rPr>
                <w:rFonts w:cs="宋体" w:asciiTheme="minorEastAsia" w:hAnsiTheme="minorEastAsia" w:eastAsiaTheme="minorEastAsia"/>
                <w:kern w:val="0"/>
                <w:szCs w:val="21"/>
              </w:rPr>
              <w:t>12</w:t>
            </w:r>
          </w:p>
        </w:tc>
        <w:tc>
          <w:tcPr>
            <w:tcW w:w="2715"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31.4</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1753"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M</w:t>
            </w:r>
            <w:r>
              <w:rPr>
                <w:rFonts w:cs="宋体" w:asciiTheme="minorEastAsia" w:hAnsiTheme="minorEastAsia" w:eastAsiaTheme="minorEastAsia"/>
                <w:kern w:val="0"/>
                <w:szCs w:val="21"/>
              </w:rPr>
              <w:t>14</w:t>
            </w:r>
          </w:p>
        </w:tc>
        <w:tc>
          <w:tcPr>
            <w:tcW w:w="2715"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51.0</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1753"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M</w:t>
            </w:r>
            <w:r>
              <w:rPr>
                <w:rFonts w:cs="宋体" w:asciiTheme="minorEastAsia" w:hAnsiTheme="minorEastAsia" w:eastAsiaTheme="minorEastAsia"/>
                <w:kern w:val="0"/>
                <w:szCs w:val="21"/>
              </w:rPr>
              <w:t>16</w:t>
            </w:r>
          </w:p>
        </w:tc>
        <w:tc>
          <w:tcPr>
            <w:tcW w:w="2715"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78.5</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w:t>
            </w:r>
          </w:p>
        </w:tc>
        <w:tc>
          <w:tcPr>
            <w:tcW w:w="1753"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M</w:t>
            </w:r>
            <w:r>
              <w:rPr>
                <w:rFonts w:cs="宋体" w:asciiTheme="minorEastAsia" w:hAnsiTheme="minorEastAsia" w:eastAsiaTheme="minorEastAsia"/>
                <w:kern w:val="0"/>
                <w:szCs w:val="21"/>
              </w:rPr>
              <w:t>18</w:t>
            </w:r>
          </w:p>
        </w:tc>
        <w:tc>
          <w:tcPr>
            <w:tcW w:w="2715"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98.0</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2"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w:t>
            </w:r>
          </w:p>
        </w:tc>
        <w:tc>
          <w:tcPr>
            <w:tcW w:w="1753"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M</w:t>
            </w:r>
            <w:r>
              <w:rPr>
                <w:rFonts w:cs="宋体" w:asciiTheme="minorEastAsia" w:hAnsiTheme="minorEastAsia" w:eastAsiaTheme="minorEastAsia"/>
                <w:kern w:val="0"/>
                <w:szCs w:val="21"/>
              </w:rPr>
              <w:t>20</w:t>
            </w:r>
          </w:p>
        </w:tc>
        <w:tc>
          <w:tcPr>
            <w:tcW w:w="2715"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156.9</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196.2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w:t>
            </w:r>
          </w:p>
        </w:tc>
        <w:tc>
          <w:tcPr>
            <w:tcW w:w="1753"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M</w:t>
            </w:r>
            <w:r>
              <w:rPr>
                <w:rFonts w:cs="宋体" w:asciiTheme="minorEastAsia" w:hAnsiTheme="minorEastAsia" w:eastAsiaTheme="minorEastAsia"/>
                <w:kern w:val="0"/>
                <w:szCs w:val="21"/>
              </w:rPr>
              <w:t>24</w:t>
            </w:r>
          </w:p>
        </w:tc>
        <w:tc>
          <w:tcPr>
            <w:tcW w:w="2715"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274.6</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343.2</w:t>
            </w:r>
          </w:p>
        </w:tc>
      </w:tr>
    </w:tbl>
    <w:p>
      <w:pPr>
        <w:pStyle w:val="64"/>
        <w:spacing w:after="100" w:line="240" w:lineRule="auto"/>
        <w:ind w:firstLine="0"/>
        <w:jc w:val="center"/>
        <w:rPr>
          <w:rFonts w:asciiTheme="minorEastAsia" w:hAnsiTheme="minorEastAsia" w:eastAsiaTheme="minorEastAsia"/>
          <w:sz w:val="28"/>
          <w:szCs w:val="28"/>
        </w:rPr>
      </w:pPr>
    </w:p>
    <w:p>
      <w:pPr>
        <w:pStyle w:val="64"/>
        <w:spacing w:after="100" w:line="240" w:lineRule="auto"/>
        <w:ind w:firstLine="0"/>
        <w:jc w:val="center"/>
        <w:rPr>
          <w:rFonts w:asciiTheme="minorEastAsia" w:hAnsiTheme="minorEastAsia" w:eastAsiaTheme="minorEastAsia"/>
          <w:sz w:val="28"/>
          <w:szCs w:val="28"/>
        </w:rPr>
      </w:pPr>
    </w:p>
    <w:p>
      <w:pPr>
        <w:pStyle w:val="64"/>
        <w:spacing w:after="100" w:line="240" w:lineRule="auto"/>
        <w:ind w:firstLine="0"/>
        <w:jc w:val="center"/>
        <w:rPr>
          <w:rFonts w:asciiTheme="minorEastAsia" w:hAnsiTheme="minorEastAsia" w:eastAsiaTheme="minorEastAsia"/>
          <w:sz w:val="28"/>
          <w:szCs w:val="28"/>
        </w:rPr>
      </w:pPr>
    </w:p>
    <w:p>
      <w:pPr>
        <w:pStyle w:val="64"/>
        <w:spacing w:after="100" w:line="240" w:lineRule="auto"/>
        <w:ind w:firstLine="0"/>
        <w:jc w:val="center"/>
        <w:rPr>
          <w:rFonts w:asciiTheme="minorEastAsia" w:hAnsiTheme="minorEastAsia" w:eastAsiaTheme="minorEastAsia"/>
          <w:sz w:val="28"/>
          <w:szCs w:val="28"/>
        </w:rPr>
      </w:pPr>
    </w:p>
    <w:p>
      <w:pPr>
        <w:pStyle w:val="64"/>
        <w:spacing w:after="100" w:line="240" w:lineRule="auto"/>
        <w:ind w:firstLine="0"/>
        <w:jc w:val="center"/>
        <w:rPr>
          <w:rFonts w:asciiTheme="minorEastAsia" w:hAnsiTheme="minorEastAsia" w:eastAsiaTheme="minorEastAsia"/>
          <w:sz w:val="28"/>
          <w:szCs w:val="28"/>
        </w:rPr>
      </w:pPr>
    </w:p>
    <w:p>
      <w:pPr>
        <w:pStyle w:val="64"/>
        <w:spacing w:after="100" w:line="240" w:lineRule="auto"/>
        <w:ind w:firstLine="0"/>
        <w:jc w:val="center"/>
        <w:rPr>
          <w:rFonts w:asciiTheme="minorEastAsia" w:hAnsiTheme="minorEastAsia" w:eastAsiaTheme="minorEastAsia"/>
          <w:sz w:val="28"/>
          <w:szCs w:val="28"/>
        </w:rPr>
      </w:pPr>
    </w:p>
    <w:p>
      <w:pPr>
        <w:pStyle w:val="64"/>
        <w:spacing w:after="100" w:line="240" w:lineRule="auto"/>
        <w:ind w:firstLine="0"/>
        <w:jc w:val="center"/>
        <w:rPr>
          <w:rFonts w:asciiTheme="minorEastAsia" w:hAnsiTheme="minorEastAsia" w:eastAsiaTheme="minorEastAsia"/>
          <w:sz w:val="28"/>
          <w:szCs w:val="28"/>
        </w:rPr>
      </w:pPr>
    </w:p>
    <w:p>
      <w:pPr>
        <w:pStyle w:val="64"/>
        <w:spacing w:after="100" w:line="240" w:lineRule="auto"/>
        <w:ind w:firstLine="0"/>
        <w:jc w:val="center"/>
        <w:rPr>
          <w:rFonts w:asciiTheme="minorEastAsia" w:hAnsiTheme="minorEastAsia" w:eastAsiaTheme="minorEastAsia"/>
          <w:sz w:val="28"/>
          <w:szCs w:val="28"/>
        </w:rPr>
      </w:pPr>
    </w:p>
    <w:p>
      <w:pPr>
        <w:pStyle w:val="64"/>
        <w:spacing w:after="100" w:line="240" w:lineRule="auto"/>
        <w:ind w:firstLine="0"/>
        <w:jc w:val="center"/>
        <w:rPr>
          <w:rFonts w:asciiTheme="minorEastAsia" w:hAnsiTheme="minorEastAsia" w:eastAsiaTheme="minorEastAsia"/>
          <w:sz w:val="28"/>
          <w:szCs w:val="28"/>
        </w:rPr>
      </w:pPr>
    </w:p>
    <w:p>
      <w:pPr>
        <w:pStyle w:val="64"/>
        <w:spacing w:after="100" w:line="240" w:lineRule="auto"/>
        <w:ind w:firstLine="0"/>
        <w:jc w:val="center"/>
        <w:rPr>
          <w:rFonts w:asciiTheme="minorEastAsia" w:hAnsiTheme="minorEastAsia" w:eastAsiaTheme="minorEastAsia"/>
          <w:sz w:val="28"/>
          <w:szCs w:val="28"/>
        </w:rPr>
      </w:pPr>
    </w:p>
    <w:p>
      <w:pPr>
        <w:pStyle w:val="64"/>
        <w:spacing w:after="100" w:line="240" w:lineRule="auto"/>
        <w:ind w:firstLine="0"/>
        <w:jc w:val="center"/>
        <w:rPr>
          <w:rFonts w:asciiTheme="minorEastAsia" w:hAnsiTheme="minorEastAsia" w:eastAsiaTheme="minorEastAsia"/>
          <w:sz w:val="28"/>
          <w:szCs w:val="28"/>
        </w:rPr>
      </w:pPr>
    </w:p>
    <w:p>
      <w:pPr>
        <w:pStyle w:val="64"/>
        <w:spacing w:after="100" w:line="240" w:lineRule="auto"/>
        <w:ind w:firstLine="0"/>
        <w:jc w:val="center"/>
        <w:rPr>
          <w:rFonts w:asciiTheme="minorEastAsia" w:hAnsiTheme="minorEastAsia" w:eastAsiaTheme="minorEastAsia"/>
          <w:sz w:val="28"/>
          <w:szCs w:val="28"/>
        </w:rPr>
      </w:pPr>
    </w:p>
    <w:p>
      <w:pPr>
        <w:pStyle w:val="64"/>
        <w:spacing w:after="100" w:line="240" w:lineRule="auto"/>
        <w:ind w:firstLine="0"/>
        <w:jc w:val="center"/>
        <w:rPr>
          <w:rFonts w:asciiTheme="minorEastAsia" w:hAnsiTheme="minorEastAsia" w:eastAsiaTheme="minorEastAsia"/>
          <w:sz w:val="28"/>
          <w:szCs w:val="28"/>
        </w:rPr>
      </w:pPr>
    </w:p>
    <w:p>
      <w:pPr>
        <w:pStyle w:val="64"/>
        <w:spacing w:after="100" w:line="240" w:lineRule="auto"/>
        <w:ind w:firstLine="0"/>
        <w:jc w:val="center"/>
        <w:rPr>
          <w:rFonts w:asciiTheme="minorEastAsia" w:hAnsiTheme="minorEastAsia" w:eastAsiaTheme="minorEastAsia"/>
          <w:sz w:val="28"/>
          <w:szCs w:val="28"/>
        </w:rPr>
      </w:pPr>
    </w:p>
    <w:p>
      <w:pPr>
        <w:pStyle w:val="64"/>
        <w:spacing w:after="100" w:line="240" w:lineRule="auto"/>
        <w:ind w:firstLine="0"/>
        <w:jc w:val="center"/>
        <w:rPr>
          <w:rFonts w:asciiTheme="minorEastAsia" w:hAnsiTheme="minorEastAsia" w:eastAsiaTheme="minorEastAsia"/>
          <w:sz w:val="28"/>
          <w:szCs w:val="28"/>
        </w:rPr>
      </w:pPr>
    </w:p>
    <w:p>
      <w:pPr>
        <w:pStyle w:val="64"/>
        <w:spacing w:after="100" w:line="240" w:lineRule="auto"/>
        <w:ind w:firstLine="0"/>
        <w:jc w:val="center"/>
        <w:rPr>
          <w:rFonts w:asciiTheme="minorEastAsia" w:hAnsiTheme="minorEastAsia" w:eastAsiaTheme="minorEastAsia"/>
          <w:sz w:val="28"/>
          <w:szCs w:val="28"/>
        </w:rPr>
      </w:pPr>
    </w:p>
    <w:p>
      <w:pPr>
        <w:pStyle w:val="64"/>
        <w:spacing w:after="100" w:line="240" w:lineRule="auto"/>
        <w:ind w:firstLine="0"/>
        <w:jc w:val="center"/>
        <w:rPr>
          <w:rFonts w:asciiTheme="minorEastAsia" w:hAnsiTheme="minorEastAsia" w:eastAsiaTheme="minorEastAsia"/>
          <w:sz w:val="28"/>
          <w:szCs w:val="28"/>
        </w:rPr>
      </w:pPr>
    </w:p>
    <w:p>
      <w:pPr>
        <w:pStyle w:val="64"/>
        <w:spacing w:after="100" w:line="240" w:lineRule="auto"/>
        <w:ind w:firstLine="0"/>
        <w:jc w:val="center"/>
        <w:rPr>
          <w:rFonts w:asciiTheme="minorEastAsia" w:hAnsiTheme="minorEastAsia" w:eastAsiaTheme="minorEastAsia"/>
          <w:sz w:val="28"/>
          <w:szCs w:val="28"/>
        </w:rPr>
      </w:pPr>
    </w:p>
    <w:p>
      <w:pPr>
        <w:widowControl/>
        <w:jc w:val="left"/>
        <w:rPr>
          <w:rFonts w:asciiTheme="minorEastAsia" w:hAnsiTheme="minorEastAsia" w:eastAsiaTheme="minorEastAsia"/>
          <w:b/>
          <w:bCs/>
          <w:kern w:val="44"/>
          <w:sz w:val="28"/>
          <w:szCs w:val="28"/>
        </w:rPr>
      </w:pPr>
      <w:r>
        <w:rPr>
          <w:rFonts w:asciiTheme="minorEastAsia" w:hAnsiTheme="minorEastAsia" w:eastAsiaTheme="minorEastAsia"/>
          <w:sz w:val="28"/>
          <w:szCs w:val="28"/>
        </w:rPr>
        <w:br w:type="page"/>
      </w:r>
    </w:p>
    <w:p>
      <w:pPr>
        <w:pStyle w:val="2"/>
        <w:numPr>
          <w:ilvl w:val="0"/>
          <w:numId w:val="194"/>
        </w:numPr>
        <w:spacing w:before="120" w:beforeLines="50" w:after="120" w:afterLines="50"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bookmarkStart w:id="223" w:name="_Toc137216265"/>
      <w:bookmarkStart w:id="224" w:name="_Toc136868071"/>
      <w:bookmarkStart w:id="225" w:name="_Toc136869106"/>
      <w:r>
        <w:rPr>
          <w:rFonts w:hint="eastAsia" w:asciiTheme="minorEastAsia" w:hAnsiTheme="minorEastAsia" w:eastAsiaTheme="minorEastAsia"/>
          <w:sz w:val="28"/>
          <w:szCs w:val="28"/>
        </w:rPr>
        <w:t>母线槽及电缆梯架、托盘和槽盒与管道的最小净距</w:t>
      </w:r>
      <w:bookmarkEnd w:id="223"/>
      <w:bookmarkEnd w:id="224"/>
      <w:bookmarkEnd w:id="225"/>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1511"/>
        <w:gridCol w:w="2618"/>
        <w:gridCol w:w="3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pct"/>
            <w:gridSpan w:val="2"/>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管 道 类 别</w:t>
            </w:r>
          </w:p>
        </w:tc>
        <w:tc>
          <w:tcPr>
            <w:tcW w:w="1535" w:type="pct"/>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平 行 净 距（mm）</w:t>
            </w:r>
          </w:p>
        </w:tc>
        <w:tc>
          <w:tcPr>
            <w:tcW w:w="1905" w:type="pct"/>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交 叉 净 距（mm）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pct"/>
            <w:gridSpan w:val="2"/>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一般工艺管道</w:t>
            </w:r>
          </w:p>
        </w:tc>
        <w:tc>
          <w:tcPr>
            <w:tcW w:w="1535"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r>
              <w:rPr>
                <w:rFonts w:cs="宋体" w:asciiTheme="minorEastAsia" w:hAnsiTheme="minorEastAsia" w:eastAsiaTheme="minorEastAsia"/>
                <w:kern w:val="0"/>
                <w:szCs w:val="21"/>
              </w:rPr>
              <w:t>00</w:t>
            </w:r>
          </w:p>
        </w:tc>
        <w:tc>
          <w:tcPr>
            <w:tcW w:w="1905"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r>
              <w:rPr>
                <w:rFonts w:cs="宋体" w:asciiTheme="minorEastAsia" w:hAnsiTheme="minorEastAsia" w:eastAsiaTheme="minorEastAsia"/>
                <w:kern w:val="0"/>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pct"/>
            <w:gridSpan w:val="2"/>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可燃或易燃易爆气体管道</w:t>
            </w:r>
          </w:p>
        </w:tc>
        <w:tc>
          <w:tcPr>
            <w:tcW w:w="1535"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r>
              <w:rPr>
                <w:rFonts w:cs="宋体" w:asciiTheme="minorEastAsia" w:hAnsiTheme="minorEastAsia" w:eastAsiaTheme="minorEastAsia"/>
                <w:kern w:val="0"/>
                <w:szCs w:val="21"/>
              </w:rPr>
              <w:t>00</w:t>
            </w:r>
          </w:p>
        </w:tc>
        <w:tc>
          <w:tcPr>
            <w:tcW w:w="1905"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4" w:type="pct"/>
            <w:vMerge w:val="restar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热力管道</w:t>
            </w:r>
          </w:p>
        </w:tc>
        <w:tc>
          <w:tcPr>
            <w:tcW w:w="886" w:type="pct"/>
          </w:tcPr>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有保温层</w:t>
            </w:r>
          </w:p>
        </w:tc>
        <w:tc>
          <w:tcPr>
            <w:tcW w:w="1535"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r>
              <w:rPr>
                <w:rFonts w:cs="宋体" w:asciiTheme="minorEastAsia" w:hAnsiTheme="minorEastAsia" w:eastAsiaTheme="minorEastAsia"/>
                <w:kern w:val="0"/>
                <w:szCs w:val="21"/>
              </w:rPr>
              <w:t>00</w:t>
            </w:r>
          </w:p>
        </w:tc>
        <w:tc>
          <w:tcPr>
            <w:tcW w:w="1905"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r>
              <w:rPr>
                <w:rFonts w:cs="宋体" w:asciiTheme="minorEastAsia" w:hAnsiTheme="minorEastAsia" w:eastAsiaTheme="minorEastAsia"/>
                <w:kern w:val="0"/>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pct"/>
            <w:vMerge w:val="continue"/>
          </w:tcPr>
          <w:p>
            <w:pPr>
              <w:widowControl/>
              <w:spacing w:line="360" w:lineRule="auto"/>
              <w:ind w:firstLine="94" w:firstLineChars="45"/>
              <w:jc w:val="center"/>
              <w:rPr>
                <w:rFonts w:cs="宋体" w:asciiTheme="minorEastAsia" w:hAnsiTheme="minorEastAsia" w:eastAsiaTheme="minorEastAsia"/>
                <w:kern w:val="0"/>
                <w:szCs w:val="21"/>
              </w:rPr>
            </w:pPr>
          </w:p>
        </w:tc>
        <w:tc>
          <w:tcPr>
            <w:tcW w:w="886" w:type="pct"/>
          </w:tcPr>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无保温层</w:t>
            </w:r>
          </w:p>
        </w:tc>
        <w:tc>
          <w:tcPr>
            <w:tcW w:w="1535"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1</w:t>
            </w:r>
            <w:r>
              <w:rPr>
                <w:rFonts w:cs="宋体" w:asciiTheme="minorEastAsia" w:hAnsiTheme="minorEastAsia" w:eastAsiaTheme="minorEastAsia"/>
                <w:color w:val="000000"/>
                <w:kern w:val="0"/>
                <w:szCs w:val="21"/>
              </w:rPr>
              <w:t>000</w:t>
            </w:r>
          </w:p>
        </w:tc>
        <w:tc>
          <w:tcPr>
            <w:tcW w:w="1905"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r>
              <w:rPr>
                <w:rFonts w:cs="宋体" w:asciiTheme="minorEastAsia" w:hAnsiTheme="minorEastAsia" w:eastAsiaTheme="minorEastAsia"/>
                <w:kern w:val="0"/>
                <w:szCs w:val="21"/>
              </w:rPr>
              <w:t>00</w:t>
            </w:r>
          </w:p>
        </w:tc>
      </w:tr>
    </w:tbl>
    <w:p>
      <w:pPr>
        <w:pStyle w:val="64"/>
        <w:spacing w:after="100" w:line="240" w:lineRule="auto"/>
        <w:ind w:firstLine="0"/>
        <w:jc w:val="center"/>
        <w:rPr>
          <w:rFonts w:asciiTheme="minorEastAsia" w:hAnsiTheme="minorEastAsia" w:eastAsiaTheme="minorEastAsia"/>
          <w:sz w:val="17"/>
          <w:szCs w:val="17"/>
        </w:rPr>
      </w:pPr>
    </w:p>
    <w:p>
      <w:pPr>
        <w:pStyle w:val="64"/>
        <w:spacing w:after="100" w:line="240" w:lineRule="auto"/>
        <w:ind w:firstLine="0"/>
        <w:jc w:val="center"/>
        <w:rPr>
          <w:rFonts w:asciiTheme="minorEastAsia" w:hAnsiTheme="minorEastAsia" w:eastAsiaTheme="minorEastAsia"/>
          <w:sz w:val="17"/>
          <w:szCs w:val="17"/>
        </w:rPr>
      </w:pPr>
    </w:p>
    <w:p>
      <w:pPr>
        <w:pStyle w:val="64"/>
        <w:spacing w:after="100" w:line="240" w:lineRule="auto"/>
        <w:ind w:firstLine="0"/>
        <w:jc w:val="center"/>
        <w:rPr>
          <w:rFonts w:asciiTheme="minorEastAsia" w:hAnsiTheme="minorEastAsia" w:eastAsiaTheme="minorEastAsia"/>
          <w:sz w:val="17"/>
          <w:szCs w:val="17"/>
        </w:rPr>
      </w:pPr>
    </w:p>
    <w:p>
      <w:pPr>
        <w:pStyle w:val="64"/>
        <w:spacing w:after="100" w:line="240" w:lineRule="auto"/>
        <w:ind w:firstLine="0"/>
        <w:jc w:val="center"/>
        <w:rPr>
          <w:rFonts w:asciiTheme="minorEastAsia" w:hAnsiTheme="minorEastAsia" w:eastAsiaTheme="minorEastAsia"/>
          <w:sz w:val="17"/>
          <w:szCs w:val="17"/>
        </w:rPr>
      </w:pPr>
    </w:p>
    <w:p>
      <w:pPr>
        <w:pStyle w:val="64"/>
        <w:spacing w:after="100" w:line="240" w:lineRule="auto"/>
        <w:ind w:firstLine="0"/>
        <w:jc w:val="center"/>
        <w:rPr>
          <w:rFonts w:asciiTheme="minorEastAsia" w:hAnsiTheme="minorEastAsia" w:eastAsiaTheme="minorEastAsia"/>
          <w:sz w:val="17"/>
          <w:szCs w:val="17"/>
        </w:rPr>
      </w:pPr>
    </w:p>
    <w:p>
      <w:pPr>
        <w:pStyle w:val="64"/>
        <w:spacing w:after="100" w:line="240" w:lineRule="auto"/>
        <w:ind w:firstLine="0"/>
        <w:jc w:val="center"/>
        <w:rPr>
          <w:rFonts w:asciiTheme="minorEastAsia" w:hAnsiTheme="minorEastAsia" w:eastAsiaTheme="minorEastAsia"/>
          <w:sz w:val="17"/>
          <w:szCs w:val="17"/>
        </w:rPr>
      </w:pPr>
    </w:p>
    <w:p>
      <w:pPr>
        <w:pStyle w:val="64"/>
        <w:spacing w:after="100" w:line="240" w:lineRule="auto"/>
        <w:ind w:firstLine="0"/>
        <w:jc w:val="center"/>
        <w:rPr>
          <w:rFonts w:asciiTheme="minorEastAsia" w:hAnsiTheme="minorEastAsia" w:eastAsiaTheme="minorEastAsia"/>
          <w:sz w:val="17"/>
          <w:szCs w:val="17"/>
        </w:rPr>
      </w:pPr>
    </w:p>
    <w:p>
      <w:pPr>
        <w:pStyle w:val="64"/>
        <w:spacing w:after="100" w:line="240" w:lineRule="auto"/>
        <w:ind w:firstLine="0"/>
        <w:jc w:val="center"/>
        <w:rPr>
          <w:rFonts w:asciiTheme="minorEastAsia" w:hAnsiTheme="minorEastAsia" w:eastAsiaTheme="minorEastAsia"/>
          <w:sz w:val="17"/>
          <w:szCs w:val="17"/>
        </w:rPr>
      </w:pPr>
    </w:p>
    <w:p>
      <w:pPr>
        <w:pStyle w:val="64"/>
        <w:spacing w:after="100" w:line="240" w:lineRule="auto"/>
        <w:ind w:firstLine="0"/>
        <w:jc w:val="center"/>
        <w:rPr>
          <w:rFonts w:asciiTheme="minorEastAsia" w:hAnsiTheme="minorEastAsia" w:eastAsiaTheme="minorEastAsia"/>
          <w:sz w:val="17"/>
          <w:szCs w:val="17"/>
        </w:rPr>
      </w:pPr>
    </w:p>
    <w:p>
      <w:pPr>
        <w:pStyle w:val="64"/>
        <w:spacing w:after="100" w:line="240" w:lineRule="auto"/>
        <w:ind w:firstLine="0"/>
        <w:jc w:val="center"/>
        <w:rPr>
          <w:rFonts w:asciiTheme="minorEastAsia" w:hAnsiTheme="minorEastAsia" w:eastAsiaTheme="minorEastAsia"/>
          <w:sz w:val="17"/>
          <w:szCs w:val="17"/>
        </w:rPr>
      </w:pPr>
    </w:p>
    <w:p>
      <w:pPr>
        <w:pStyle w:val="64"/>
        <w:spacing w:after="100" w:line="240" w:lineRule="auto"/>
        <w:ind w:firstLine="0"/>
        <w:jc w:val="center"/>
        <w:rPr>
          <w:rFonts w:asciiTheme="minorEastAsia" w:hAnsiTheme="minorEastAsia" w:eastAsiaTheme="minorEastAsia"/>
          <w:sz w:val="17"/>
          <w:szCs w:val="17"/>
        </w:rPr>
      </w:pPr>
    </w:p>
    <w:p>
      <w:pPr>
        <w:pStyle w:val="64"/>
        <w:spacing w:after="100" w:line="240" w:lineRule="auto"/>
        <w:ind w:firstLine="0"/>
        <w:jc w:val="center"/>
        <w:rPr>
          <w:rFonts w:asciiTheme="minorEastAsia" w:hAnsiTheme="minorEastAsia" w:eastAsiaTheme="minorEastAsia"/>
          <w:sz w:val="17"/>
          <w:szCs w:val="17"/>
        </w:rPr>
      </w:pPr>
    </w:p>
    <w:p>
      <w:pPr>
        <w:pStyle w:val="64"/>
        <w:spacing w:after="100" w:line="240" w:lineRule="auto"/>
        <w:ind w:firstLine="0"/>
        <w:jc w:val="center"/>
        <w:rPr>
          <w:rFonts w:asciiTheme="minorEastAsia" w:hAnsiTheme="minorEastAsia" w:eastAsiaTheme="minorEastAsia"/>
          <w:sz w:val="17"/>
          <w:szCs w:val="17"/>
        </w:rPr>
      </w:pPr>
    </w:p>
    <w:p>
      <w:pPr>
        <w:pStyle w:val="64"/>
        <w:spacing w:after="100" w:line="240" w:lineRule="auto"/>
        <w:ind w:firstLine="0"/>
        <w:jc w:val="center"/>
        <w:rPr>
          <w:rFonts w:asciiTheme="minorEastAsia" w:hAnsiTheme="minorEastAsia" w:eastAsiaTheme="minorEastAsia"/>
          <w:sz w:val="17"/>
          <w:szCs w:val="17"/>
        </w:rPr>
      </w:pPr>
    </w:p>
    <w:p>
      <w:pPr>
        <w:pStyle w:val="64"/>
        <w:spacing w:after="100" w:line="240" w:lineRule="auto"/>
        <w:ind w:firstLine="0"/>
        <w:jc w:val="center"/>
        <w:rPr>
          <w:rFonts w:asciiTheme="minorEastAsia" w:hAnsiTheme="minorEastAsia" w:eastAsiaTheme="minorEastAsia"/>
          <w:sz w:val="17"/>
          <w:szCs w:val="17"/>
        </w:rPr>
      </w:pPr>
    </w:p>
    <w:p>
      <w:pPr>
        <w:pStyle w:val="64"/>
        <w:spacing w:after="100" w:line="240" w:lineRule="auto"/>
        <w:ind w:firstLine="0"/>
        <w:jc w:val="center"/>
        <w:rPr>
          <w:rFonts w:asciiTheme="minorEastAsia" w:hAnsiTheme="minorEastAsia" w:eastAsiaTheme="minorEastAsia"/>
          <w:sz w:val="17"/>
          <w:szCs w:val="17"/>
        </w:rPr>
      </w:pPr>
    </w:p>
    <w:p>
      <w:pPr>
        <w:pStyle w:val="64"/>
        <w:spacing w:after="100" w:line="240" w:lineRule="auto"/>
        <w:ind w:firstLine="0"/>
        <w:jc w:val="center"/>
        <w:rPr>
          <w:rFonts w:asciiTheme="minorEastAsia" w:hAnsiTheme="minorEastAsia" w:eastAsiaTheme="minorEastAsia"/>
          <w:sz w:val="17"/>
          <w:szCs w:val="17"/>
        </w:rPr>
      </w:pPr>
    </w:p>
    <w:p>
      <w:pPr>
        <w:pStyle w:val="64"/>
        <w:spacing w:after="100" w:line="240" w:lineRule="auto"/>
        <w:ind w:firstLine="0"/>
        <w:jc w:val="center"/>
        <w:rPr>
          <w:rFonts w:asciiTheme="minorEastAsia" w:hAnsiTheme="minorEastAsia" w:eastAsiaTheme="minorEastAsia"/>
          <w:sz w:val="17"/>
          <w:szCs w:val="17"/>
        </w:rPr>
      </w:pPr>
    </w:p>
    <w:p>
      <w:pPr>
        <w:pStyle w:val="64"/>
        <w:spacing w:after="100" w:line="240" w:lineRule="auto"/>
        <w:ind w:firstLine="0"/>
        <w:jc w:val="center"/>
        <w:rPr>
          <w:rFonts w:asciiTheme="minorEastAsia" w:hAnsiTheme="minorEastAsia" w:eastAsiaTheme="minorEastAsia"/>
          <w:sz w:val="17"/>
          <w:szCs w:val="17"/>
        </w:rPr>
      </w:pPr>
    </w:p>
    <w:p>
      <w:pPr>
        <w:pStyle w:val="64"/>
        <w:spacing w:after="100" w:line="240" w:lineRule="auto"/>
        <w:ind w:firstLine="0"/>
        <w:jc w:val="center"/>
        <w:rPr>
          <w:rFonts w:asciiTheme="minorEastAsia" w:hAnsiTheme="minorEastAsia" w:eastAsiaTheme="minorEastAsia"/>
          <w:sz w:val="17"/>
          <w:szCs w:val="17"/>
        </w:rPr>
      </w:pPr>
    </w:p>
    <w:p>
      <w:pPr>
        <w:pStyle w:val="64"/>
        <w:spacing w:after="100" w:line="240" w:lineRule="auto"/>
        <w:ind w:firstLine="0"/>
        <w:jc w:val="center"/>
        <w:rPr>
          <w:rFonts w:asciiTheme="minorEastAsia" w:hAnsiTheme="minorEastAsia" w:eastAsiaTheme="minorEastAsia"/>
          <w:sz w:val="17"/>
          <w:szCs w:val="17"/>
        </w:rPr>
      </w:pPr>
    </w:p>
    <w:p>
      <w:pPr>
        <w:pStyle w:val="64"/>
        <w:spacing w:after="100" w:line="240" w:lineRule="auto"/>
        <w:ind w:firstLine="0"/>
        <w:jc w:val="center"/>
        <w:rPr>
          <w:rFonts w:asciiTheme="minorEastAsia" w:hAnsiTheme="minorEastAsia" w:eastAsiaTheme="minorEastAsia"/>
          <w:sz w:val="17"/>
          <w:szCs w:val="17"/>
        </w:rPr>
      </w:pPr>
    </w:p>
    <w:p>
      <w:pPr>
        <w:pStyle w:val="64"/>
        <w:spacing w:after="100" w:line="240" w:lineRule="auto"/>
        <w:ind w:firstLine="0"/>
        <w:jc w:val="center"/>
        <w:rPr>
          <w:rFonts w:asciiTheme="minorEastAsia" w:hAnsiTheme="minorEastAsia" w:eastAsiaTheme="minorEastAsia"/>
          <w:sz w:val="17"/>
          <w:szCs w:val="17"/>
        </w:rPr>
      </w:pPr>
    </w:p>
    <w:p>
      <w:pPr>
        <w:pStyle w:val="64"/>
        <w:spacing w:after="100" w:line="240" w:lineRule="auto"/>
        <w:ind w:firstLine="0"/>
        <w:jc w:val="center"/>
        <w:rPr>
          <w:rFonts w:asciiTheme="minorEastAsia" w:hAnsiTheme="minorEastAsia" w:eastAsiaTheme="minorEastAsia"/>
          <w:sz w:val="17"/>
          <w:szCs w:val="17"/>
        </w:rPr>
      </w:pPr>
    </w:p>
    <w:p>
      <w:pPr>
        <w:pStyle w:val="64"/>
        <w:spacing w:after="100" w:line="240" w:lineRule="auto"/>
        <w:ind w:firstLine="0"/>
        <w:jc w:val="center"/>
        <w:rPr>
          <w:rFonts w:asciiTheme="minorEastAsia" w:hAnsiTheme="minorEastAsia" w:eastAsiaTheme="minorEastAsia"/>
          <w:sz w:val="17"/>
          <w:szCs w:val="17"/>
        </w:rPr>
      </w:pPr>
    </w:p>
    <w:p>
      <w:pPr>
        <w:pStyle w:val="64"/>
        <w:spacing w:after="100" w:line="240" w:lineRule="auto"/>
        <w:ind w:firstLine="0"/>
        <w:jc w:val="center"/>
        <w:rPr>
          <w:rFonts w:asciiTheme="minorEastAsia" w:hAnsiTheme="minorEastAsia" w:eastAsiaTheme="minorEastAsia"/>
          <w:sz w:val="17"/>
          <w:szCs w:val="17"/>
        </w:rPr>
      </w:pPr>
    </w:p>
    <w:p>
      <w:pPr>
        <w:pStyle w:val="64"/>
        <w:spacing w:after="100" w:line="240" w:lineRule="auto"/>
        <w:ind w:firstLine="0"/>
        <w:jc w:val="center"/>
        <w:rPr>
          <w:rFonts w:asciiTheme="minorEastAsia" w:hAnsiTheme="minorEastAsia" w:eastAsiaTheme="minorEastAsia"/>
          <w:sz w:val="17"/>
          <w:szCs w:val="17"/>
        </w:rPr>
      </w:pPr>
    </w:p>
    <w:p>
      <w:pPr>
        <w:pStyle w:val="64"/>
        <w:spacing w:after="100" w:line="240" w:lineRule="auto"/>
        <w:ind w:firstLine="0"/>
        <w:jc w:val="center"/>
        <w:rPr>
          <w:rFonts w:asciiTheme="minorEastAsia" w:hAnsiTheme="minorEastAsia" w:eastAsiaTheme="minorEastAsia"/>
          <w:sz w:val="17"/>
          <w:szCs w:val="17"/>
        </w:rPr>
      </w:pPr>
    </w:p>
    <w:p>
      <w:pPr>
        <w:pStyle w:val="64"/>
        <w:spacing w:after="100" w:line="240" w:lineRule="auto"/>
        <w:ind w:firstLine="0"/>
        <w:jc w:val="center"/>
        <w:rPr>
          <w:rFonts w:asciiTheme="minorEastAsia" w:hAnsiTheme="minorEastAsia" w:eastAsiaTheme="minorEastAsia"/>
          <w:sz w:val="17"/>
          <w:szCs w:val="17"/>
        </w:rPr>
      </w:pPr>
    </w:p>
    <w:p>
      <w:pPr>
        <w:pStyle w:val="64"/>
        <w:spacing w:after="100" w:line="240" w:lineRule="auto"/>
        <w:ind w:firstLine="0"/>
        <w:jc w:val="center"/>
        <w:rPr>
          <w:rFonts w:asciiTheme="minorEastAsia" w:hAnsiTheme="minorEastAsia" w:eastAsiaTheme="minorEastAsia"/>
          <w:sz w:val="17"/>
          <w:szCs w:val="17"/>
        </w:rPr>
      </w:pPr>
    </w:p>
    <w:p>
      <w:pPr>
        <w:pStyle w:val="64"/>
        <w:spacing w:after="100" w:line="240" w:lineRule="auto"/>
        <w:ind w:firstLine="0"/>
        <w:jc w:val="center"/>
        <w:rPr>
          <w:rFonts w:asciiTheme="minorEastAsia" w:hAnsiTheme="minorEastAsia" w:eastAsiaTheme="minorEastAsia"/>
          <w:sz w:val="17"/>
          <w:szCs w:val="17"/>
        </w:rPr>
      </w:pPr>
    </w:p>
    <w:p>
      <w:pPr>
        <w:pStyle w:val="64"/>
        <w:spacing w:after="100" w:line="240" w:lineRule="auto"/>
        <w:ind w:firstLine="0"/>
        <w:jc w:val="center"/>
        <w:rPr>
          <w:rFonts w:asciiTheme="minorEastAsia" w:hAnsiTheme="minorEastAsia" w:eastAsiaTheme="minorEastAsia"/>
          <w:sz w:val="17"/>
          <w:szCs w:val="17"/>
        </w:rPr>
      </w:pPr>
    </w:p>
    <w:p>
      <w:pPr>
        <w:widowControl/>
        <w:jc w:val="left"/>
        <w:rPr>
          <w:rFonts w:asciiTheme="minorEastAsia" w:hAnsiTheme="minorEastAsia" w:eastAsiaTheme="minorEastAsia"/>
          <w:b/>
          <w:bCs/>
          <w:kern w:val="44"/>
          <w:sz w:val="28"/>
          <w:szCs w:val="28"/>
        </w:rPr>
      </w:pPr>
      <w:r>
        <w:rPr>
          <w:rFonts w:asciiTheme="minorEastAsia" w:hAnsiTheme="minorEastAsia" w:eastAsiaTheme="minorEastAsia"/>
          <w:sz w:val="28"/>
          <w:szCs w:val="28"/>
        </w:rPr>
        <w:br w:type="page"/>
      </w:r>
    </w:p>
    <w:p>
      <w:pPr>
        <w:pStyle w:val="2"/>
        <w:numPr>
          <w:ilvl w:val="0"/>
          <w:numId w:val="194"/>
        </w:numPr>
        <w:spacing w:before="120" w:beforeLines="50" w:after="120" w:afterLines="50"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bookmarkStart w:id="226" w:name="_Toc136869108"/>
      <w:bookmarkStart w:id="227" w:name="_Toc136868073"/>
      <w:bookmarkStart w:id="228" w:name="_Toc137216266"/>
      <w:r>
        <w:rPr>
          <w:rFonts w:hint="eastAsia" w:asciiTheme="minorEastAsia" w:hAnsiTheme="minorEastAsia" w:eastAsiaTheme="minorEastAsia"/>
          <w:sz w:val="28"/>
          <w:szCs w:val="28"/>
        </w:rPr>
        <w:t>螺纹</w:t>
      </w:r>
      <w:r>
        <w:rPr>
          <w:rFonts w:hint="eastAsia" w:asciiTheme="minorEastAsia" w:hAnsiTheme="minorEastAsia" w:eastAsiaTheme="minorEastAsia"/>
          <w:color w:val="000000"/>
          <w:sz w:val="28"/>
          <w:szCs w:val="28"/>
        </w:rPr>
        <w:t>型</w:t>
      </w:r>
      <w:r>
        <w:rPr>
          <w:rFonts w:hint="eastAsia" w:asciiTheme="minorEastAsia" w:hAnsiTheme="minorEastAsia" w:eastAsiaTheme="minorEastAsia"/>
          <w:sz w:val="28"/>
          <w:szCs w:val="28"/>
        </w:rPr>
        <w:t>接线端子的拧紧力矩</w:t>
      </w:r>
      <w:bookmarkEnd w:id="226"/>
      <w:bookmarkEnd w:id="227"/>
      <w:bookmarkEnd w:id="228"/>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7"/>
        <w:gridCol w:w="1905"/>
        <w:gridCol w:w="1515"/>
        <w:gridCol w:w="1689"/>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106" w:type="pct"/>
            <w:gridSpan w:val="2"/>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螺纹直径</w:t>
            </w:r>
            <w:r>
              <w:rPr>
                <w:rFonts w:hint="eastAsia" w:cs="宋体" w:asciiTheme="minorEastAsia" w:hAnsiTheme="minorEastAsia" w:eastAsiaTheme="minorEastAsia"/>
                <w:color w:val="000000"/>
                <w:kern w:val="0"/>
                <w:szCs w:val="21"/>
              </w:rPr>
              <w:t>（</w:t>
            </w:r>
            <w:r>
              <w:rPr>
                <w:rFonts w:cs="宋体" w:asciiTheme="minorEastAsia" w:hAnsiTheme="minorEastAsia" w:eastAsiaTheme="minorEastAsia"/>
                <w:kern w:val="0"/>
                <w:szCs w:val="21"/>
              </w:rPr>
              <w:t>mm</w:t>
            </w:r>
            <w:r>
              <w:rPr>
                <w:rFonts w:hint="eastAsia" w:cs="宋体" w:asciiTheme="minorEastAsia" w:hAnsiTheme="minorEastAsia" w:eastAsiaTheme="minorEastAsia"/>
                <w:kern w:val="0"/>
                <w:szCs w:val="21"/>
              </w:rPr>
              <w:t>）</w:t>
            </w:r>
          </w:p>
        </w:tc>
        <w:tc>
          <w:tcPr>
            <w:tcW w:w="2894" w:type="pct"/>
            <w:gridSpan w:val="3"/>
            <w:vAlign w:val="center"/>
          </w:tcPr>
          <w:p>
            <w:pPr>
              <w:widowControl/>
              <w:spacing w:line="360" w:lineRule="auto"/>
              <w:ind w:firstLine="94" w:firstLineChars="45"/>
              <w:jc w:val="center"/>
              <w:rPr>
                <w:rFonts w:cs="宋体" w:asciiTheme="minorEastAsia" w:hAnsiTheme="minorEastAsia"/>
                <w:kern w:val="0"/>
                <w:szCs w:val="21"/>
              </w:rPr>
            </w:pPr>
            <w:r>
              <w:rPr>
                <w:rFonts w:cs="宋体" w:asciiTheme="minorEastAsia" w:hAnsiTheme="minorEastAsia" w:eastAsiaTheme="minorEastAsia"/>
                <w:kern w:val="0"/>
                <w:szCs w:val="21"/>
              </w:rPr>
              <w:t>拧紧</w:t>
            </w:r>
            <w:r>
              <w:rPr>
                <w:rFonts w:hint="eastAsia" w:cs="宋体" w:asciiTheme="minorEastAsia" w:hAnsiTheme="minorEastAsia" w:eastAsiaTheme="minorEastAsia"/>
                <w:kern w:val="0"/>
                <w:szCs w:val="21"/>
              </w:rPr>
              <w:t>力</w:t>
            </w:r>
            <w:r>
              <w:rPr>
                <w:rFonts w:cs="宋体" w:asciiTheme="minorEastAsia" w:hAnsiTheme="minorEastAsia" w:eastAsiaTheme="minorEastAsia"/>
                <w:kern w:val="0"/>
                <w:szCs w:val="21"/>
              </w:rPr>
              <w:t>矩</w:t>
            </w:r>
            <w:r>
              <w:rPr>
                <w:rFonts w:hint="eastAsia" w:cs="宋体" w:asciiTheme="minorEastAsia" w:hAnsiTheme="minorEastAsia" w:eastAsiaTheme="minorEastAsia"/>
                <w:color w:val="000000"/>
                <w:kern w:val="0"/>
                <w:szCs w:val="21"/>
              </w:rPr>
              <w:t>（</w:t>
            </w:r>
            <w:r>
              <w:rPr>
                <w:rFonts w:cs="宋体" w:asciiTheme="minorEastAsia" w:hAnsiTheme="minorEastAsia" w:eastAsiaTheme="minorEastAsia"/>
                <w:color w:val="000000"/>
                <w:kern w:val="0"/>
                <w:szCs w:val="21"/>
              </w:rPr>
              <w:t>N</w:t>
            </w:r>
            <w:r>
              <w:rPr>
                <w:rFonts w:hint="eastAsia" w:ascii="微软雅黑" w:hAnsi="微软雅黑" w:eastAsia="微软雅黑" w:cs="微软雅黑"/>
                <w:color w:val="000000"/>
                <w:kern w:val="0"/>
                <w:szCs w:val="21"/>
              </w:rPr>
              <w:t>・</w:t>
            </w:r>
            <w:r>
              <w:rPr>
                <w:rFonts w:cs="宋体" w:asciiTheme="minorEastAsia" w:hAnsiTheme="minorEastAsia" w:eastAsiaTheme="minorEastAsia"/>
                <w:color w:val="000000"/>
                <w:kern w:val="0"/>
                <w:szCs w:val="21"/>
              </w:rPr>
              <w:t>m</w:t>
            </w:r>
            <w:r>
              <w:rPr>
                <w:rFonts w:hint="eastAsia" w:cs="宋体" w:asciiTheme="minorEastAsia" w:hAnsiTheme="minorEastAsia" w:eastAsiaTheme="minor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标准值</w:t>
            </w:r>
          </w:p>
        </w:tc>
        <w:tc>
          <w:tcPr>
            <w:tcW w:w="1117"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直径范围</w:t>
            </w:r>
          </w:p>
        </w:tc>
        <w:tc>
          <w:tcPr>
            <w:tcW w:w="888"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Ⅰ</w:t>
            </w:r>
          </w:p>
        </w:tc>
        <w:tc>
          <w:tcPr>
            <w:tcW w:w="990"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Ⅱ</w:t>
            </w:r>
          </w:p>
        </w:tc>
        <w:tc>
          <w:tcPr>
            <w:tcW w:w="1016"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2.5</w:t>
            </w:r>
          </w:p>
        </w:tc>
        <w:tc>
          <w:tcPr>
            <w:tcW w:w="1117" w:type="pct"/>
            <w:vAlign w:val="center"/>
          </w:tcPr>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φ≤2</w:t>
            </w:r>
            <w:r>
              <w:rPr>
                <w:rFonts w:cs="宋体" w:asciiTheme="minorEastAsia" w:hAnsiTheme="minorEastAsia" w:eastAsiaTheme="minorEastAsia"/>
                <w:kern w:val="0"/>
                <w:szCs w:val="21"/>
              </w:rPr>
              <w:t>.8</w:t>
            </w:r>
          </w:p>
        </w:tc>
        <w:tc>
          <w:tcPr>
            <w:tcW w:w="888"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0.2</w:t>
            </w:r>
          </w:p>
        </w:tc>
        <w:tc>
          <w:tcPr>
            <w:tcW w:w="990"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0.4</w:t>
            </w:r>
          </w:p>
        </w:tc>
        <w:tc>
          <w:tcPr>
            <w:tcW w:w="1016"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w:t>
            </w:r>
            <w:r>
              <w:rPr>
                <w:rFonts w:cs="宋体" w:asciiTheme="minorEastAsia" w:hAnsiTheme="minorEastAsia" w:eastAsiaTheme="minorEastAsia"/>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3.0</w:t>
            </w:r>
          </w:p>
        </w:tc>
        <w:tc>
          <w:tcPr>
            <w:tcW w:w="1117" w:type="pct"/>
            <w:vAlign w:val="center"/>
          </w:tcPr>
          <w:p>
            <w:pPr>
              <w:widowControl/>
              <w:spacing w:line="360" w:lineRule="auto"/>
              <w:ind w:left="-109" w:leftChars="-52"/>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.8</w:t>
            </w:r>
            <w:r>
              <w:rPr>
                <w:rFonts w:hint="eastAsia" w:cs="宋体" w:asciiTheme="minorEastAsia" w:hAnsiTheme="minorEastAsia" w:eastAsiaTheme="minorEastAsia"/>
                <w:kern w:val="0"/>
                <w:szCs w:val="21"/>
              </w:rPr>
              <w:t>＜φ≤3</w:t>
            </w:r>
            <w:r>
              <w:rPr>
                <w:rFonts w:cs="宋体" w:asciiTheme="minorEastAsia" w:hAnsiTheme="minorEastAsia" w:eastAsiaTheme="minorEastAsia"/>
                <w:kern w:val="0"/>
                <w:szCs w:val="21"/>
              </w:rPr>
              <w:t>.0</w:t>
            </w:r>
          </w:p>
        </w:tc>
        <w:tc>
          <w:tcPr>
            <w:tcW w:w="888"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w:t>
            </w:r>
            <w:r>
              <w:rPr>
                <w:rFonts w:cs="宋体" w:asciiTheme="minorEastAsia" w:hAnsiTheme="minorEastAsia" w:eastAsiaTheme="minorEastAsia"/>
                <w:kern w:val="0"/>
                <w:szCs w:val="21"/>
              </w:rPr>
              <w:t>.25</w:t>
            </w:r>
          </w:p>
        </w:tc>
        <w:tc>
          <w:tcPr>
            <w:tcW w:w="990"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w:t>
            </w:r>
            <w:r>
              <w:rPr>
                <w:rFonts w:cs="宋体" w:asciiTheme="minorEastAsia" w:hAnsiTheme="minorEastAsia" w:eastAsiaTheme="minorEastAsia"/>
                <w:kern w:val="0"/>
                <w:szCs w:val="21"/>
              </w:rPr>
              <w:t>.5</w:t>
            </w:r>
          </w:p>
        </w:tc>
        <w:tc>
          <w:tcPr>
            <w:tcW w:w="1016"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w:t>
            </w:r>
            <w:r>
              <w:rPr>
                <w:rFonts w:cs="宋体" w:asciiTheme="minorEastAsia" w:hAnsiTheme="minorEastAsia" w:eastAsiaTheme="minorEastAsia"/>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1117" w:type="pct"/>
          </w:tcPr>
          <w:p>
            <w:pPr>
              <w:widowControl/>
              <w:spacing w:line="360" w:lineRule="auto"/>
              <w:ind w:left="-109" w:leftChars="-52"/>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r>
              <w:rPr>
                <w:rFonts w:cs="宋体" w:asciiTheme="minorEastAsia" w:hAnsiTheme="minorEastAsia" w:eastAsiaTheme="minorEastAsia"/>
                <w:kern w:val="0"/>
                <w:szCs w:val="21"/>
              </w:rPr>
              <w:t>.0</w:t>
            </w:r>
            <w:r>
              <w:rPr>
                <w:rFonts w:hint="eastAsia" w:cs="宋体" w:asciiTheme="minorEastAsia" w:hAnsiTheme="minorEastAsia" w:eastAsiaTheme="minorEastAsia"/>
                <w:kern w:val="0"/>
                <w:szCs w:val="21"/>
              </w:rPr>
              <w:t>＜φ≤3</w:t>
            </w:r>
            <w:r>
              <w:rPr>
                <w:rFonts w:cs="宋体" w:asciiTheme="minorEastAsia" w:hAnsiTheme="minorEastAsia" w:eastAsiaTheme="minorEastAsia"/>
                <w:kern w:val="0"/>
                <w:szCs w:val="21"/>
              </w:rPr>
              <w:t>.2</w:t>
            </w:r>
          </w:p>
        </w:tc>
        <w:tc>
          <w:tcPr>
            <w:tcW w:w="888"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w:t>
            </w:r>
            <w:r>
              <w:rPr>
                <w:rFonts w:cs="宋体" w:asciiTheme="minorEastAsia" w:hAnsiTheme="minorEastAsia" w:eastAsiaTheme="minorEastAsia"/>
                <w:kern w:val="0"/>
                <w:szCs w:val="21"/>
              </w:rPr>
              <w:t>.3</w:t>
            </w:r>
          </w:p>
        </w:tc>
        <w:tc>
          <w:tcPr>
            <w:tcW w:w="990"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w:t>
            </w:r>
            <w:r>
              <w:rPr>
                <w:rFonts w:cs="宋体" w:asciiTheme="minorEastAsia" w:hAnsiTheme="minorEastAsia" w:eastAsiaTheme="minorEastAsia"/>
                <w:kern w:val="0"/>
                <w:szCs w:val="21"/>
              </w:rPr>
              <w:t>6</w:t>
            </w:r>
          </w:p>
        </w:tc>
        <w:tc>
          <w:tcPr>
            <w:tcW w:w="1016"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w:t>
            </w:r>
            <w:r>
              <w:rPr>
                <w:rFonts w:cs="宋体" w:asciiTheme="minorEastAsia" w:hAnsiTheme="minorEastAsia" w:eastAsiaTheme="minorEastAsia"/>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3.5</w:t>
            </w:r>
          </w:p>
        </w:tc>
        <w:tc>
          <w:tcPr>
            <w:tcW w:w="1117" w:type="pct"/>
          </w:tcPr>
          <w:p>
            <w:pPr>
              <w:widowControl/>
              <w:spacing w:line="360" w:lineRule="auto"/>
              <w:ind w:left="-109" w:leftChars="-52"/>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＜φ≤3</w:t>
            </w:r>
            <w:r>
              <w:rPr>
                <w:rFonts w:cs="宋体" w:asciiTheme="minorEastAsia" w:hAnsiTheme="minorEastAsia" w:eastAsiaTheme="minorEastAsia"/>
                <w:kern w:val="0"/>
                <w:szCs w:val="21"/>
              </w:rPr>
              <w:t>.6</w:t>
            </w:r>
          </w:p>
        </w:tc>
        <w:tc>
          <w:tcPr>
            <w:tcW w:w="888"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w:t>
            </w:r>
            <w:r>
              <w:rPr>
                <w:rFonts w:cs="宋体" w:asciiTheme="minorEastAsia" w:hAnsiTheme="minorEastAsia" w:eastAsiaTheme="minorEastAsia"/>
                <w:kern w:val="0"/>
                <w:szCs w:val="21"/>
              </w:rPr>
              <w:t>.4</w:t>
            </w:r>
          </w:p>
        </w:tc>
        <w:tc>
          <w:tcPr>
            <w:tcW w:w="990"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w:t>
            </w:r>
            <w:r>
              <w:rPr>
                <w:rFonts w:cs="宋体" w:asciiTheme="minorEastAsia" w:hAnsiTheme="minorEastAsia" w:eastAsiaTheme="minorEastAsia"/>
                <w:kern w:val="0"/>
                <w:szCs w:val="21"/>
              </w:rPr>
              <w:t>8</w:t>
            </w:r>
          </w:p>
        </w:tc>
        <w:tc>
          <w:tcPr>
            <w:tcW w:w="1016"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w:t>
            </w:r>
            <w:r>
              <w:rPr>
                <w:rFonts w:cs="宋体" w:asciiTheme="minorEastAsia" w:hAnsiTheme="minorEastAsia" w:eastAsiaTheme="minorEastAsia"/>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p>
        </w:tc>
        <w:tc>
          <w:tcPr>
            <w:tcW w:w="1117" w:type="pct"/>
          </w:tcPr>
          <w:p>
            <w:pPr>
              <w:widowControl/>
              <w:spacing w:line="360" w:lineRule="auto"/>
              <w:ind w:left="-109" w:leftChars="-52"/>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r>
              <w:rPr>
                <w:rFonts w:cs="宋体" w:asciiTheme="minorEastAsia" w:hAnsiTheme="minorEastAsia" w:eastAsiaTheme="minorEastAsia"/>
                <w:kern w:val="0"/>
                <w:szCs w:val="21"/>
              </w:rPr>
              <w:t>.6</w:t>
            </w:r>
            <w:r>
              <w:rPr>
                <w:rFonts w:hint="eastAsia" w:cs="宋体" w:asciiTheme="minorEastAsia" w:hAnsiTheme="minorEastAsia" w:eastAsiaTheme="minorEastAsia"/>
                <w:kern w:val="0"/>
                <w:szCs w:val="21"/>
              </w:rPr>
              <w:t>＜φ≤4</w:t>
            </w:r>
            <w:r>
              <w:rPr>
                <w:rFonts w:cs="宋体" w:asciiTheme="minorEastAsia" w:hAnsiTheme="minorEastAsia" w:eastAsiaTheme="minorEastAsia"/>
                <w:kern w:val="0"/>
                <w:szCs w:val="21"/>
              </w:rPr>
              <w:t>.1</w:t>
            </w:r>
          </w:p>
        </w:tc>
        <w:tc>
          <w:tcPr>
            <w:tcW w:w="888"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w:t>
            </w:r>
            <w:r>
              <w:rPr>
                <w:rFonts w:cs="宋体" w:asciiTheme="minorEastAsia" w:hAnsiTheme="minorEastAsia" w:eastAsiaTheme="minorEastAsia"/>
                <w:kern w:val="0"/>
                <w:szCs w:val="21"/>
              </w:rPr>
              <w:t>.7</w:t>
            </w:r>
          </w:p>
        </w:tc>
        <w:tc>
          <w:tcPr>
            <w:tcW w:w="990"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.2</w:t>
            </w:r>
          </w:p>
        </w:tc>
        <w:tc>
          <w:tcPr>
            <w:tcW w:w="1016"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4.5</w:t>
            </w:r>
          </w:p>
        </w:tc>
        <w:tc>
          <w:tcPr>
            <w:tcW w:w="1117" w:type="pct"/>
          </w:tcPr>
          <w:p>
            <w:pPr>
              <w:widowControl/>
              <w:spacing w:line="360" w:lineRule="auto"/>
              <w:ind w:left="-109" w:leftChars="-52"/>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＜φ≤4</w:t>
            </w:r>
            <w:r>
              <w:rPr>
                <w:rFonts w:cs="宋体" w:asciiTheme="minorEastAsia" w:hAnsiTheme="minorEastAsia" w:eastAsiaTheme="minorEastAsia"/>
                <w:kern w:val="0"/>
                <w:szCs w:val="21"/>
              </w:rPr>
              <w:t>.7</w:t>
            </w:r>
          </w:p>
        </w:tc>
        <w:tc>
          <w:tcPr>
            <w:tcW w:w="888"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w:t>
            </w:r>
            <w:r>
              <w:rPr>
                <w:rFonts w:cs="宋体" w:asciiTheme="minorEastAsia" w:hAnsiTheme="minorEastAsia" w:eastAsiaTheme="minorEastAsia"/>
                <w:kern w:val="0"/>
                <w:szCs w:val="21"/>
              </w:rPr>
              <w:t>.8</w:t>
            </w:r>
          </w:p>
        </w:tc>
        <w:tc>
          <w:tcPr>
            <w:tcW w:w="990"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8</w:t>
            </w:r>
          </w:p>
        </w:tc>
        <w:tc>
          <w:tcPr>
            <w:tcW w:w="1016"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5</w:t>
            </w:r>
          </w:p>
        </w:tc>
        <w:tc>
          <w:tcPr>
            <w:tcW w:w="1117" w:type="pct"/>
          </w:tcPr>
          <w:p>
            <w:pPr>
              <w:widowControl/>
              <w:spacing w:line="360" w:lineRule="auto"/>
              <w:ind w:left="-109" w:leftChars="-52"/>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r>
              <w:rPr>
                <w:rFonts w:cs="宋体" w:asciiTheme="minorEastAsia" w:hAnsiTheme="minorEastAsia" w:eastAsiaTheme="minorEastAsia"/>
                <w:kern w:val="0"/>
                <w:szCs w:val="21"/>
              </w:rPr>
              <w:t>.7</w:t>
            </w:r>
            <w:r>
              <w:rPr>
                <w:rFonts w:hint="eastAsia" w:cs="宋体" w:asciiTheme="minorEastAsia" w:hAnsiTheme="minorEastAsia" w:eastAsiaTheme="minorEastAsia"/>
                <w:kern w:val="0"/>
                <w:szCs w:val="21"/>
              </w:rPr>
              <w:t>＜φ≤5</w:t>
            </w:r>
            <w:r>
              <w:rPr>
                <w:rFonts w:cs="宋体" w:asciiTheme="minorEastAsia" w:hAnsiTheme="minorEastAsia" w:eastAsiaTheme="minorEastAsia"/>
                <w:kern w:val="0"/>
                <w:szCs w:val="21"/>
              </w:rPr>
              <w:t>.3</w:t>
            </w:r>
          </w:p>
        </w:tc>
        <w:tc>
          <w:tcPr>
            <w:tcW w:w="888"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w:t>
            </w:r>
            <w:r>
              <w:rPr>
                <w:rFonts w:cs="宋体" w:asciiTheme="minorEastAsia" w:hAnsiTheme="minorEastAsia" w:eastAsiaTheme="minorEastAsia"/>
                <w:kern w:val="0"/>
                <w:szCs w:val="21"/>
              </w:rPr>
              <w:t>.8</w:t>
            </w:r>
          </w:p>
        </w:tc>
        <w:tc>
          <w:tcPr>
            <w:tcW w:w="990"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.0</w:t>
            </w:r>
          </w:p>
        </w:tc>
        <w:tc>
          <w:tcPr>
            <w:tcW w:w="1016"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6</w:t>
            </w:r>
          </w:p>
        </w:tc>
        <w:tc>
          <w:tcPr>
            <w:tcW w:w="1117" w:type="pct"/>
          </w:tcPr>
          <w:p>
            <w:pPr>
              <w:widowControl/>
              <w:spacing w:line="360" w:lineRule="auto"/>
              <w:ind w:left="-109" w:leftChars="-52"/>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＜φ≤6</w:t>
            </w:r>
            <w:r>
              <w:rPr>
                <w:rFonts w:cs="宋体" w:asciiTheme="minorEastAsia" w:hAnsiTheme="minorEastAsia" w:eastAsiaTheme="minorEastAsia"/>
                <w:kern w:val="0"/>
                <w:szCs w:val="21"/>
              </w:rPr>
              <w:t>.0</w:t>
            </w:r>
          </w:p>
        </w:tc>
        <w:tc>
          <w:tcPr>
            <w:tcW w:w="888"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.2</w:t>
            </w:r>
          </w:p>
        </w:tc>
        <w:tc>
          <w:tcPr>
            <w:tcW w:w="990"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.5</w:t>
            </w:r>
          </w:p>
        </w:tc>
        <w:tc>
          <w:tcPr>
            <w:tcW w:w="1016"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r>
              <w:rPr>
                <w:rFonts w:cs="宋体" w:asciiTheme="minorEastAsia" w:hAnsiTheme="minorEastAsia" w:eastAsiaTheme="minorEastAsia"/>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8</w:t>
            </w:r>
          </w:p>
        </w:tc>
        <w:tc>
          <w:tcPr>
            <w:tcW w:w="1117" w:type="pct"/>
          </w:tcPr>
          <w:p>
            <w:pPr>
              <w:widowControl/>
              <w:spacing w:line="360" w:lineRule="auto"/>
              <w:ind w:left="-109" w:leftChars="-52"/>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w:t>
            </w:r>
            <w:r>
              <w:rPr>
                <w:rFonts w:cs="宋体" w:asciiTheme="minorEastAsia" w:hAnsiTheme="minorEastAsia" w:eastAsiaTheme="minorEastAsia"/>
                <w:kern w:val="0"/>
                <w:szCs w:val="21"/>
              </w:rPr>
              <w:t>.0</w:t>
            </w:r>
            <w:r>
              <w:rPr>
                <w:rFonts w:hint="eastAsia" w:cs="宋体" w:asciiTheme="minorEastAsia" w:hAnsiTheme="minorEastAsia" w:eastAsiaTheme="minorEastAsia"/>
                <w:kern w:val="0"/>
                <w:szCs w:val="21"/>
              </w:rPr>
              <w:t>＜φ≤8</w:t>
            </w:r>
            <w:r>
              <w:rPr>
                <w:rFonts w:cs="宋体" w:asciiTheme="minorEastAsia" w:hAnsiTheme="minorEastAsia" w:eastAsiaTheme="minorEastAsia"/>
                <w:kern w:val="0"/>
                <w:szCs w:val="21"/>
              </w:rPr>
              <w:t>.0</w:t>
            </w:r>
          </w:p>
        </w:tc>
        <w:tc>
          <w:tcPr>
            <w:tcW w:w="888"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.5</w:t>
            </w:r>
          </w:p>
        </w:tc>
        <w:tc>
          <w:tcPr>
            <w:tcW w:w="990"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r>
              <w:rPr>
                <w:rFonts w:cs="宋体" w:asciiTheme="minorEastAsia" w:hAnsiTheme="minorEastAsia" w:eastAsiaTheme="minorEastAsia"/>
                <w:kern w:val="0"/>
                <w:szCs w:val="21"/>
              </w:rPr>
              <w:t>.5</w:t>
            </w:r>
          </w:p>
        </w:tc>
        <w:tc>
          <w:tcPr>
            <w:tcW w:w="1016"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w:t>
            </w:r>
            <w:r>
              <w:rPr>
                <w:rFonts w:cs="宋体" w:asciiTheme="minorEastAsia" w:hAnsiTheme="minorEastAsia" w:eastAsiaTheme="minorEastAsia"/>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10</w:t>
            </w:r>
          </w:p>
        </w:tc>
        <w:tc>
          <w:tcPr>
            <w:tcW w:w="1117" w:type="pct"/>
          </w:tcPr>
          <w:p>
            <w:pPr>
              <w:widowControl/>
              <w:spacing w:line="360" w:lineRule="auto"/>
              <w:ind w:left="-109" w:leftChars="-52"/>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w:t>
            </w:r>
            <w:r>
              <w:rPr>
                <w:rFonts w:cs="宋体" w:asciiTheme="minorEastAsia" w:hAnsiTheme="minorEastAsia" w:eastAsiaTheme="minorEastAsia"/>
                <w:kern w:val="0"/>
                <w:szCs w:val="21"/>
              </w:rPr>
              <w:t>.0</w:t>
            </w:r>
            <w:r>
              <w:rPr>
                <w:rFonts w:hint="eastAsia" w:cs="宋体" w:asciiTheme="minorEastAsia" w:hAnsiTheme="minorEastAsia" w:eastAsiaTheme="minorEastAsia"/>
                <w:kern w:val="0"/>
                <w:szCs w:val="21"/>
              </w:rPr>
              <w:t>＜φ≤1</w:t>
            </w:r>
            <w:r>
              <w:rPr>
                <w:rFonts w:cs="宋体" w:asciiTheme="minorEastAsia" w:hAnsiTheme="minorEastAsia" w:eastAsiaTheme="minorEastAsia"/>
                <w:kern w:val="0"/>
                <w:szCs w:val="21"/>
              </w:rPr>
              <w:t>0.0</w:t>
            </w:r>
          </w:p>
        </w:tc>
        <w:tc>
          <w:tcPr>
            <w:tcW w:w="888"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990"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4.0</w:t>
            </w:r>
          </w:p>
        </w:tc>
        <w:tc>
          <w:tcPr>
            <w:tcW w:w="1016"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12</w:t>
            </w:r>
          </w:p>
        </w:tc>
        <w:tc>
          <w:tcPr>
            <w:tcW w:w="1117" w:type="pct"/>
          </w:tcPr>
          <w:p>
            <w:pPr>
              <w:widowControl/>
              <w:spacing w:line="360" w:lineRule="auto"/>
              <w:ind w:left="-109" w:leftChars="-52"/>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0</w:t>
            </w:r>
            <w:r>
              <w:rPr>
                <w:rFonts w:hint="eastAsia" w:cs="宋体" w:asciiTheme="minorEastAsia" w:hAnsiTheme="minorEastAsia" w:eastAsiaTheme="minorEastAsia"/>
                <w:kern w:val="0"/>
                <w:szCs w:val="21"/>
              </w:rPr>
              <w:t>＜φ≤1</w:t>
            </w:r>
            <w:r>
              <w:rPr>
                <w:rFonts w:cs="宋体" w:asciiTheme="minorEastAsia" w:hAnsiTheme="minorEastAsia" w:eastAsiaTheme="minorEastAsia"/>
                <w:kern w:val="0"/>
                <w:szCs w:val="21"/>
              </w:rPr>
              <w:t>2</w:t>
            </w:r>
          </w:p>
        </w:tc>
        <w:tc>
          <w:tcPr>
            <w:tcW w:w="888" w:type="pct"/>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990" w:type="pct"/>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1016"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14</w:t>
            </w:r>
          </w:p>
        </w:tc>
        <w:tc>
          <w:tcPr>
            <w:tcW w:w="1117" w:type="pct"/>
          </w:tcPr>
          <w:p>
            <w:pPr>
              <w:widowControl/>
              <w:spacing w:line="360" w:lineRule="auto"/>
              <w:ind w:left="-109" w:leftChars="-52"/>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＜φ≤1</w:t>
            </w:r>
            <w:r>
              <w:rPr>
                <w:rFonts w:cs="宋体" w:asciiTheme="minorEastAsia" w:hAnsiTheme="minorEastAsia" w:eastAsiaTheme="minorEastAsia"/>
                <w:kern w:val="0"/>
                <w:szCs w:val="21"/>
              </w:rPr>
              <w:t>5</w:t>
            </w:r>
          </w:p>
        </w:tc>
        <w:tc>
          <w:tcPr>
            <w:tcW w:w="888" w:type="pct"/>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990" w:type="pct"/>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1016"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16</w:t>
            </w:r>
          </w:p>
        </w:tc>
        <w:tc>
          <w:tcPr>
            <w:tcW w:w="1117" w:type="pct"/>
          </w:tcPr>
          <w:p>
            <w:pPr>
              <w:widowControl/>
              <w:spacing w:line="360" w:lineRule="auto"/>
              <w:ind w:left="-109" w:leftChars="-52"/>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5</w:t>
            </w:r>
            <w:r>
              <w:rPr>
                <w:rFonts w:hint="eastAsia" w:cs="宋体" w:asciiTheme="minorEastAsia" w:hAnsiTheme="minorEastAsia" w:eastAsiaTheme="minorEastAsia"/>
                <w:kern w:val="0"/>
                <w:szCs w:val="21"/>
              </w:rPr>
              <w:t>＜φ≤2</w:t>
            </w:r>
            <w:r>
              <w:rPr>
                <w:rFonts w:cs="宋体" w:asciiTheme="minorEastAsia" w:hAnsiTheme="minorEastAsia" w:eastAsiaTheme="minorEastAsia"/>
                <w:kern w:val="0"/>
                <w:szCs w:val="21"/>
              </w:rPr>
              <w:t>0</w:t>
            </w:r>
          </w:p>
        </w:tc>
        <w:tc>
          <w:tcPr>
            <w:tcW w:w="888" w:type="pct"/>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990" w:type="pct"/>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1016"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20</w:t>
            </w:r>
          </w:p>
        </w:tc>
        <w:tc>
          <w:tcPr>
            <w:tcW w:w="1117" w:type="pct"/>
          </w:tcPr>
          <w:p>
            <w:pPr>
              <w:widowControl/>
              <w:spacing w:line="360" w:lineRule="auto"/>
              <w:ind w:left="-109" w:leftChars="-52"/>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0</w:t>
            </w:r>
            <w:r>
              <w:rPr>
                <w:rFonts w:hint="eastAsia" w:cs="宋体" w:asciiTheme="minorEastAsia" w:hAnsiTheme="minorEastAsia" w:eastAsiaTheme="minorEastAsia"/>
                <w:kern w:val="0"/>
                <w:szCs w:val="21"/>
              </w:rPr>
              <w:t>＜φ≤2</w:t>
            </w:r>
            <w:r>
              <w:rPr>
                <w:rFonts w:cs="宋体" w:asciiTheme="minorEastAsia" w:hAnsiTheme="minorEastAsia" w:eastAsiaTheme="minorEastAsia"/>
                <w:kern w:val="0"/>
                <w:szCs w:val="21"/>
              </w:rPr>
              <w:t>4</w:t>
            </w:r>
          </w:p>
        </w:tc>
        <w:tc>
          <w:tcPr>
            <w:tcW w:w="888" w:type="pct"/>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990" w:type="pct"/>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1016"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r>
              <w:rPr>
                <w:rFonts w:cs="宋体" w:asciiTheme="minorEastAsia" w:hAnsiTheme="minorEastAsia" w:eastAsiaTheme="minorEastAsia"/>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24</w:t>
            </w:r>
          </w:p>
        </w:tc>
        <w:tc>
          <w:tcPr>
            <w:tcW w:w="1117" w:type="pct"/>
          </w:tcPr>
          <w:p>
            <w:pPr>
              <w:widowControl/>
              <w:spacing w:line="360" w:lineRule="auto"/>
              <w:ind w:left="-109" w:leftChars="-52"/>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φ＞2</w:t>
            </w:r>
            <w:r>
              <w:rPr>
                <w:rFonts w:cs="宋体" w:asciiTheme="minorEastAsia" w:hAnsiTheme="minorEastAsia" w:eastAsiaTheme="minorEastAsia"/>
                <w:kern w:val="0"/>
                <w:szCs w:val="21"/>
              </w:rPr>
              <w:t>4</w:t>
            </w:r>
          </w:p>
        </w:tc>
        <w:tc>
          <w:tcPr>
            <w:tcW w:w="888" w:type="pct"/>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990" w:type="pct"/>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c>
          <w:tcPr>
            <w:tcW w:w="1016" w:type="pct"/>
            <w:vAlign w:val="center"/>
          </w:tcPr>
          <w:p>
            <w:pPr>
              <w:widowControl/>
              <w:spacing w:line="360" w:lineRule="auto"/>
              <w:ind w:firstLine="94" w:firstLineChars="45"/>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r>
              <w:rPr>
                <w:rFonts w:cs="宋体" w:asciiTheme="minorEastAsia" w:hAnsiTheme="minorEastAsia" w:eastAsiaTheme="minorEastAsia"/>
                <w:kern w:val="0"/>
                <w:szCs w:val="21"/>
              </w:rPr>
              <w:t>0.0</w:t>
            </w:r>
          </w:p>
        </w:tc>
      </w:tr>
    </w:tbl>
    <w:p>
      <w:pPr>
        <w:pStyle w:val="64"/>
        <w:spacing w:before="120" w:beforeLines="50" w:after="120" w:afterLines="50" w:line="360" w:lineRule="auto"/>
        <w:ind w:firstLine="0"/>
        <w:rPr>
          <w:rFonts w:asciiTheme="minorEastAsia" w:hAnsiTheme="minorEastAsia" w:eastAsiaTheme="minorEastAsia"/>
          <w:sz w:val="21"/>
          <w:szCs w:val="21"/>
        </w:rPr>
      </w:pPr>
      <w:r>
        <w:rPr>
          <w:rFonts w:asciiTheme="minorEastAsia" w:hAnsiTheme="minorEastAsia" w:eastAsiaTheme="minorEastAsia"/>
          <w:sz w:val="21"/>
          <w:szCs w:val="21"/>
        </w:rPr>
        <w:t>注</w:t>
      </w:r>
      <w:r>
        <w:rPr>
          <w:rFonts w:hint="eastAsia" w:asciiTheme="minorEastAsia" w:hAnsiTheme="minorEastAsia" w:eastAsiaTheme="minorEastAsia"/>
          <w:color w:val="000000"/>
          <w:sz w:val="21"/>
          <w:szCs w:val="21"/>
        </w:rPr>
        <w:t>：</w:t>
      </w:r>
      <w:r>
        <w:rPr>
          <w:rFonts w:asciiTheme="minorEastAsia" w:hAnsiTheme="minorEastAsia" w:eastAsiaTheme="minorEastAsia"/>
          <w:sz w:val="21"/>
          <w:szCs w:val="21"/>
        </w:rPr>
        <w:t>第</w:t>
      </w:r>
      <w:r>
        <w:rPr>
          <w:rFonts w:hint="eastAsia" w:asciiTheme="minorEastAsia" w:hAnsiTheme="minorEastAsia" w:eastAsiaTheme="minorEastAsia"/>
          <w:sz w:val="21"/>
          <w:szCs w:val="21"/>
        </w:rPr>
        <w:t>Ⅰ</w:t>
      </w:r>
      <w:r>
        <w:rPr>
          <w:rFonts w:asciiTheme="minorEastAsia" w:hAnsiTheme="minorEastAsia" w:eastAsiaTheme="minorEastAsia"/>
          <w:sz w:val="21"/>
          <w:szCs w:val="21"/>
        </w:rPr>
        <w:t>列</w:t>
      </w:r>
      <w:r>
        <w:rPr>
          <w:rFonts w:hint="eastAsia" w:asciiTheme="minorEastAsia" w:hAnsiTheme="minorEastAsia" w:eastAsiaTheme="minorEastAsia"/>
          <w:color w:val="000000"/>
          <w:sz w:val="21"/>
          <w:szCs w:val="21"/>
        </w:rPr>
        <w:t>：</w:t>
      </w:r>
      <w:r>
        <w:rPr>
          <w:rFonts w:asciiTheme="minorEastAsia" w:hAnsiTheme="minorEastAsia" w:eastAsiaTheme="minorEastAsia"/>
          <w:sz w:val="21"/>
          <w:szCs w:val="21"/>
        </w:rPr>
        <w:t>适用于拧紧时不突出孔外的无头螺钉和不能用刀口宽度大于螺钉顶部直径的螺丝刀拧紧的其他螺钉</w:t>
      </w:r>
      <w:r>
        <w:rPr>
          <w:rFonts w:hint="eastAsia" w:asciiTheme="minorEastAsia" w:hAnsiTheme="minorEastAsia" w:eastAsiaTheme="minorEastAsia"/>
          <w:color w:val="000000"/>
          <w:sz w:val="21"/>
          <w:szCs w:val="21"/>
        </w:rPr>
        <w:t>；</w:t>
      </w:r>
    </w:p>
    <w:p>
      <w:pPr>
        <w:pStyle w:val="64"/>
        <w:spacing w:before="120" w:beforeLines="50" w:after="120" w:afterLines="50" w:line="360" w:lineRule="auto"/>
        <w:ind w:firstLine="283" w:firstLineChars="135"/>
        <w:rPr>
          <w:rFonts w:asciiTheme="minorEastAsia" w:hAnsiTheme="minorEastAsia" w:eastAsiaTheme="minorEastAsia"/>
          <w:sz w:val="21"/>
          <w:szCs w:val="21"/>
        </w:rPr>
      </w:pPr>
      <w:r>
        <w:rPr>
          <w:rFonts w:asciiTheme="minorEastAsia" w:hAnsiTheme="minorEastAsia" w:eastAsiaTheme="minorEastAsia"/>
          <w:sz w:val="21"/>
          <w:szCs w:val="21"/>
        </w:rPr>
        <w:t>第</w:t>
      </w:r>
      <w:r>
        <w:rPr>
          <w:rFonts w:hint="eastAsia" w:asciiTheme="minorEastAsia" w:hAnsiTheme="minorEastAsia" w:eastAsiaTheme="minorEastAsia"/>
          <w:sz w:val="21"/>
          <w:szCs w:val="21"/>
        </w:rPr>
        <w:t>Ⅱ</w:t>
      </w:r>
      <w:r>
        <w:rPr>
          <w:rFonts w:asciiTheme="minorEastAsia" w:hAnsiTheme="minorEastAsia" w:eastAsiaTheme="minorEastAsia"/>
          <w:sz w:val="21"/>
          <w:szCs w:val="21"/>
        </w:rPr>
        <w:t>列</w:t>
      </w:r>
      <w:r>
        <w:rPr>
          <w:rFonts w:hint="eastAsia" w:asciiTheme="minorEastAsia" w:hAnsiTheme="minorEastAsia" w:eastAsiaTheme="minorEastAsia"/>
          <w:color w:val="000000"/>
          <w:sz w:val="21"/>
          <w:szCs w:val="21"/>
        </w:rPr>
        <w:t>：</w:t>
      </w:r>
      <w:r>
        <w:rPr>
          <w:rFonts w:asciiTheme="minorEastAsia" w:hAnsiTheme="minorEastAsia" w:eastAsiaTheme="minorEastAsia"/>
          <w:sz w:val="21"/>
          <w:szCs w:val="21"/>
        </w:rPr>
        <w:t>适用于可用螺丝刀拧紧的螺钉和螺母</w:t>
      </w:r>
      <w:r>
        <w:rPr>
          <w:rFonts w:hint="eastAsia" w:asciiTheme="minorEastAsia" w:hAnsiTheme="minorEastAsia" w:eastAsiaTheme="minorEastAsia"/>
          <w:color w:val="000000"/>
          <w:sz w:val="21"/>
          <w:szCs w:val="21"/>
        </w:rPr>
        <w:t>；</w:t>
      </w:r>
    </w:p>
    <w:p>
      <w:pPr>
        <w:pStyle w:val="64"/>
        <w:spacing w:before="120" w:beforeLines="50" w:after="120" w:afterLines="50" w:line="360" w:lineRule="auto"/>
        <w:ind w:firstLine="283" w:firstLineChars="135"/>
        <w:rPr>
          <w:rFonts w:asciiTheme="minorEastAsia" w:hAnsiTheme="minorEastAsia" w:eastAsiaTheme="minorEastAsia"/>
          <w:sz w:val="21"/>
          <w:szCs w:val="21"/>
        </w:rPr>
      </w:pPr>
      <w:r>
        <w:rPr>
          <w:rFonts w:asciiTheme="minorEastAsia" w:hAnsiTheme="minorEastAsia" w:eastAsiaTheme="minorEastAsia"/>
          <w:sz w:val="21"/>
          <w:szCs w:val="21"/>
        </w:rPr>
        <w:t>第</w:t>
      </w:r>
      <w:r>
        <w:rPr>
          <w:rFonts w:hint="eastAsia" w:asciiTheme="minorEastAsia" w:hAnsiTheme="minorEastAsia" w:eastAsiaTheme="minorEastAsia"/>
          <w:sz w:val="21"/>
          <w:szCs w:val="21"/>
        </w:rPr>
        <w:t>Ⅲ</w:t>
      </w:r>
      <w:r>
        <w:rPr>
          <w:rFonts w:asciiTheme="minorEastAsia" w:hAnsiTheme="minorEastAsia" w:eastAsiaTheme="minorEastAsia"/>
          <w:sz w:val="21"/>
          <w:szCs w:val="21"/>
        </w:rPr>
        <w:t>列</w:t>
      </w:r>
      <w:r>
        <w:rPr>
          <w:rFonts w:hint="eastAsia" w:asciiTheme="minorEastAsia" w:hAnsiTheme="minorEastAsia" w:eastAsiaTheme="minorEastAsia"/>
          <w:color w:val="000000"/>
          <w:sz w:val="21"/>
          <w:szCs w:val="21"/>
        </w:rPr>
        <w:t>：</w:t>
      </w:r>
      <w:r>
        <w:rPr>
          <w:rFonts w:asciiTheme="minorEastAsia" w:hAnsiTheme="minorEastAsia" w:eastAsiaTheme="minorEastAsia"/>
          <w:sz w:val="21"/>
          <w:szCs w:val="21"/>
        </w:rPr>
        <w:t>适用于不可用螺丝刀拧紧的螺钉和螺母。</w:t>
      </w:r>
    </w:p>
    <w:p>
      <w:pPr>
        <w:pStyle w:val="64"/>
        <w:spacing w:before="120" w:beforeLines="50" w:after="120" w:afterLines="50" w:line="360" w:lineRule="auto"/>
        <w:ind w:firstLine="283" w:firstLineChars="135"/>
        <w:rPr>
          <w:rFonts w:asciiTheme="minorEastAsia" w:hAnsiTheme="minorEastAsia" w:eastAsiaTheme="minorEastAsia"/>
          <w:sz w:val="21"/>
          <w:szCs w:val="21"/>
        </w:rPr>
      </w:pPr>
    </w:p>
    <w:p>
      <w:pPr>
        <w:pStyle w:val="64"/>
        <w:spacing w:before="120" w:beforeLines="50" w:after="120" w:afterLines="50" w:line="360" w:lineRule="auto"/>
        <w:ind w:firstLine="283" w:firstLineChars="135"/>
        <w:rPr>
          <w:rFonts w:asciiTheme="minorEastAsia" w:hAnsiTheme="minorEastAsia" w:eastAsiaTheme="minorEastAsia"/>
          <w:sz w:val="21"/>
          <w:szCs w:val="21"/>
        </w:rPr>
      </w:pPr>
    </w:p>
    <w:p>
      <w:pPr>
        <w:pStyle w:val="64"/>
        <w:spacing w:before="120" w:beforeLines="50" w:after="120" w:afterLines="50" w:line="360" w:lineRule="auto"/>
        <w:ind w:firstLine="283" w:firstLineChars="135"/>
        <w:rPr>
          <w:rFonts w:asciiTheme="minorEastAsia" w:hAnsiTheme="minorEastAsia" w:eastAsiaTheme="minorEastAsia"/>
          <w:sz w:val="21"/>
          <w:szCs w:val="21"/>
        </w:rPr>
      </w:pPr>
    </w:p>
    <w:p>
      <w:pPr>
        <w:pStyle w:val="64"/>
        <w:spacing w:before="120" w:beforeLines="50" w:after="120" w:afterLines="50" w:line="360" w:lineRule="auto"/>
        <w:ind w:firstLine="283" w:firstLineChars="135"/>
        <w:rPr>
          <w:rFonts w:asciiTheme="minorEastAsia" w:hAnsiTheme="minorEastAsia" w:eastAsiaTheme="minorEastAsia"/>
          <w:sz w:val="21"/>
          <w:szCs w:val="21"/>
        </w:rPr>
      </w:pPr>
    </w:p>
    <w:p>
      <w:pPr>
        <w:pStyle w:val="64"/>
        <w:spacing w:before="120" w:beforeLines="50" w:after="120" w:afterLines="50" w:line="360" w:lineRule="auto"/>
        <w:ind w:firstLine="283" w:firstLineChars="135"/>
        <w:rPr>
          <w:rFonts w:asciiTheme="minorEastAsia" w:hAnsiTheme="minorEastAsia" w:eastAsiaTheme="minorEastAsia"/>
          <w:sz w:val="21"/>
          <w:szCs w:val="21"/>
        </w:rPr>
      </w:pPr>
    </w:p>
    <w:p>
      <w:pPr>
        <w:pStyle w:val="64"/>
        <w:spacing w:before="120" w:beforeLines="50" w:after="120" w:afterLines="50" w:line="360" w:lineRule="auto"/>
        <w:ind w:firstLine="283" w:firstLineChars="135"/>
        <w:rPr>
          <w:rFonts w:asciiTheme="minorEastAsia" w:hAnsiTheme="minorEastAsia" w:eastAsiaTheme="minorEastAsia"/>
          <w:sz w:val="21"/>
          <w:szCs w:val="21"/>
        </w:rPr>
      </w:pPr>
    </w:p>
    <w:p>
      <w:pPr>
        <w:widowControl/>
        <w:jc w:val="left"/>
        <w:rPr>
          <w:rFonts w:asciiTheme="minorEastAsia" w:hAnsiTheme="minorEastAsia" w:eastAsiaTheme="minorEastAsia"/>
          <w:b/>
          <w:bCs/>
          <w:kern w:val="44"/>
          <w:sz w:val="28"/>
          <w:szCs w:val="28"/>
        </w:rPr>
      </w:pPr>
      <w:r>
        <w:rPr>
          <w:rFonts w:asciiTheme="minorEastAsia" w:hAnsiTheme="minorEastAsia" w:eastAsiaTheme="minorEastAsia"/>
          <w:sz w:val="28"/>
          <w:szCs w:val="28"/>
        </w:rPr>
        <w:br w:type="page"/>
      </w:r>
    </w:p>
    <w:p>
      <w:pPr>
        <w:pStyle w:val="78"/>
        <w:spacing w:before="240" w:after="240"/>
        <w:ind w:firstLine="0" w:firstLineChars="0"/>
      </w:pPr>
      <w:bookmarkStart w:id="229" w:name="_Toc136869115"/>
      <w:bookmarkStart w:id="230" w:name="_Toc534960932"/>
      <w:bookmarkStart w:id="231" w:name="_Toc136868080"/>
      <w:bookmarkStart w:id="232" w:name="_Toc137216267"/>
      <w:bookmarkStart w:id="233" w:name="_Toc534710143"/>
      <w:bookmarkStart w:id="234" w:name="_Toc534907275"/>
      <w:bookmarkStart w:id="235" w:name="_Toc456277668"/>
      <w:r>
        <w:t>本规范用词说明</w:t>
      </w:r>
      <w:bookmarkEnd w:id="229"/>
      <w:bookmarkEnd w:id="230"/>
      <w:bookmarkEnd w:id="231"/>
      <w:bookmarkEnd w:id="232"/>
      <w:bookmarkEnd w:id="233"/>
      <w:bookmarkEnd w:id="234"/>
      <w:bookmarkEnd w:id="235"/>
    </w:p>
    <w:p>
      <w:pPr>
        <w:spacing w:before="120" w:after="120" w:line="360" w:lineRule="auto"/>
        <w:ind w:firstLine="420" w:firstLineChars="200"/>
      </w:pPr>
      <w:r>
        <w:t xml:space="preserve">1  为便于在执行本规范条文时区别对待，对要求严格程度不同的用词说明如下： </w:t>
      </w:r>
    </w:p>
    <w:p>
      <w:pPr>
        <w:spacing w:before="120" w:after="120" w:line="360" w:lineRule="auto"/>
        <w:ind w:firstLine="840" w:firstLineChars="400"/>
      </w:pPr>
      <w:r>
        <w:t>1）表示很严格，非这样做不可</w:t>
      </w:r>
      <w:r>
        <w:rPr>
          <w:color w:val="000000"/>
        </w:rPr>
        <w:t>的</w:t>
      </w:r>
      <w:r>
        <w:t>。</w:t>
      </w:r>
    </w:p>
    <w:p>
      <w:pPr>
        <w:spacing w:before="120" w:after="120" w:line="360" w:lineRule="auto"/>
        <w:ind w:firstLine="1157" w:firstLineChars="551"/>
      </w:pPr>
      <w:r>
        <w:t>正面词采用“必须”；反面词采用“严禁”。</w:t>
      </w:r>
    </w:p>
    <w:p>
      <w:pPr>
        <w:spacing w:before="120" w:after="120" w:line="360" w:lineRule="auto"/>
        <w:ind w:firstLine="840" w:firstLineChars="400"/>
      </w:pPr>
      <w:r>
        <w:t>2）表示严格，在正常情况下均应这样做的。</w:t>
      </w:r>
    </w:p>
    <w:p>
      <w:pPr>
        <w:spacing w:before="120" w:after="120" w:line="360" w:lineRule="auto"/>
        <w:ind w:firstLine="1157" w:firstLineChars="551"/>
      </w:pPr>
      <w:r>
        <w:t>正面词采用“应”；反面词采用“不应”或“不得”。</w:t>
      </w:r>
    </w:p>
    <w:p>
      <w:pPr>
        <w:spacing w:before="120" w:after="120" w:line="360" w:lineRule="auto"/>
        <w:ind w:firstLine="840" w:firstLineChars="400"/>
      </w:pPr>
      <w:r>
        <w:t>3）表示允许稍有选择，在条件许可时首先应这样做的。</w:t>
      </w:r>
    </w:p>
    <w:p>
      <w:pPr>
        <w:spacing w:before="120" w:after="120" w:line="360" w:lineRule="auto"/>
        <w:ind w:firstLine="1157" w:firstLineChars="551"/>
      </w:pPr>
      <w:r>
        <w:t>正面词采用“宜”，反面词采用“不宜”。</w:t>
      </w:r>
    </w:p>
    <w:p>
      <w:pPr>
        <w:spacing w:before="120" w:after="120" w:line="360" w:lineRule="auto"/>
        <w:ind w:firstLine="840" w:firstLineChars="400"/>
      </w:pPr>
      <w:r>
        <w:t>4）表示有选择，在一定条件下可以这样做的，采用“可”。</w:t>
      </w:r>
    </w:p>
    <w:p>
      <w:pPr>
        <w:spacing w:before="120" w:after="120" w:line="360" w:lineRule="auto"/>
        <w:ind w:firstLine="420" w:firstLineChars="200"/>
      </w:pPr>
      <w:r>
        <w:t>2  条文中指明应按其他有关标准执行的写法为</w:t>
      </w:r>
      <w:r>
        <w:rPr>
          <w:rFonts w:hint="eastAsia"/>
        </w:rPr>
        <w:t>：</w:t>
      </w:r>
      <w:r>
        <w:t>“应符合……</w:t>
      </w:r>
      <w:r>
        <w:rPr>
          <w:rFonts w:hint="eastAsia"/>
        </w:rPr>
        <w:t>的</w:t>
      </w:r>
      <w:r>
        <w:t>规定”或“应按……执行”。</w:t>
      </w: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widowControl/>
        <w:jc w:val="left"/>
        <w:rPr>
          <w:rFonts w:asciiTheme="minorEastAsia" w:hAnsiTheme="minorEastAsia" w:eastAsiaTheme="minorEastAsia"/>
        </w:rPr>
      </w:pPr>
      <w:r>
        <w:rPr>
          <w:rFonts w:asciiTheme="minorEastAsia" w:hAnsiTheme="minorEastAsia" w:eastAsiaTheme="minorEastAsia"/>
        </w:rPr>
        <w:br w:type="page"/>
      </w:r>
    </w:p>
    <w:p>
      <w:pPr>
        <w:pStyle w:val="78"/>
        <w:spacing w:before="240" w:after="240"/>
        <w:ind w:firstLine="0" w:firstLineChars="0"/>
      </w:pPr>
      <w:bookmarkStart w:id="236" w:name="_Toc534907276"/>
      <w:bookmarkStart w:id="237" w:name="_Toc137216268"/>
      <w:bookmarkStart w:id="238" w:name="_Toc534960933"/>
      <w:bookmarkStart w:id="239" w:name="_Toc136869116"/>
      <w:bookmarkStart w:id="240" w:name="_Toc534710144"/>
      <w:bookmarkStart w:id="241" w:name="_Toc136868081"/>
      <w:r>
        <w:t>引用标准名录</w:t>
      </w:r>
      <w:bookmarkEnd w:id="236"/>
      <w:bookmarkEnd w:id="237"/>
      <w:bookmarkEnd w:id="238"/>
      <w:bookmarkEnd w:id="239"/>
      <w:bookmarkEnd w:id="240"/>
      <w:bookmarkEnd w:id="241"/>
    </w:p>
    <w:p>
      <w:pPr>
        <w:numPr>
          <w:ilvl w:val="0"/>
          <w:numId w:val="195"/>
        </w:numPr>
        <w:spacing w:line="360" w:lineRule="auto"/>
        <w:rPr>
          <w:rFonts w:ascii="宋体" w:hAnsi="宋体"/>
          <w:szCs w:val="21"/>
        </w:rPr>
      </w:pPr>
      <w:r>
        <w:rPr>
          <w:rFonts w:hint="eastAsia" w:ascii="宋体" w:hAnsi="宋体"/>
          <w:szCs w:val="21"/>
        </w:rPr>
        <w:t xml:space="preserve">《低压配电设计规范》 </w:t>
      </w:r>
      <w:r>
        <w:rPr>
          <w:rFonts w:ascii="宋体" w:hAnsi="宋体"/>
          <w:szCs w:val="21"/>
        </w:rPr>
        <w:t xml:space="preserve">                                      </w:t>
      </w:r>
      <w:r>
        <w:rPr>
          <w:rFonts w:hint="eastAsia" w:ascii="宋体" w:hAnsi="宋体"/>
          <w:szCs w:val="21"/>
        </w:rPr>
        <w:t>GB</w:t>
      </w:r>
      <w:r>
        <w:rPr>
          <w:rFonts w:ascii="宋体" w:hAnsi="宋体"/>
          <w:szCs w:val="21"/>
        </w:rPr>
        <w:t xml:space="preserve"> </w:t>
      </w:r>
      <w:r>
        <w:rPr>
          <w:rFonts w:hint="eastAsia" w:ascii="宋体" w:hAnsi="宋体"/>
          <w:szCs w:val="21"/>
        </w:rPr>
        <w:t>50054</w:t>
      </w:r>
    </w:p>
    <w:p>
      <w:pPr>
        <w:numPr>
          <w:ilvl w:val="0"/>
          <w:numId w:val="195"/>
        </w:numPr>
        <w:spacing w:line="360" w:lineRule="auto"/>
        <w:rPr>
          <w:rFonts w:ascii="宋体" w:hAnsi="宋体"/>
          <w:szCs w:val="21"/>
        </w:rPr>
      </w:pPr>
      <w:r>
        <w:rPr>
          <w:rFonts w:hint="eastAsia" w:ascii="宋体" w:hAnsi="宋体"/>
          <w:color w:val="000000"/>
          <w:szCs w:val="21"/>
        </w:rPr>
        <w:t xml:space="preserve">《建筑物防雷设计规范》 </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GB 50057</w:t>
      </w:r>
    </w:p>
    <w:p>
      <w:pPr>
        <w:numPr>
          <w:ilvl w:val="0"/>
          <w:numId w:val="195"/>
        </w:numPr>
        <w:spacing w:line="360" w:lineRule="auto"/>
        <w:rPr>
          <w:rFonts w:ascii="宋体" w:hAnsi="宋体"/>
          <w:szCs w:val="21"/>
        </w:rPr>
      </w:pPr>
      <w:r>
        <w:rPr>
          <w:rFonts w:hint="eastAsia" w:ascii="宋体" w:hAnsi="宋体"/>
          <w:szCs w:val="21"/>
        </w:rPr>
        <w:t xml:space="preserve">《火灾自动报警系统设计规范》 </w:t>
      </w:r>
      <w:r>
        <w:rPr>
          <w:rFonts w:ascii="宋体" w:hAnsi="宋体"/>
          <w:szCs w:val="21"/>
        </w:rPr>
        <w:t xml:space="preserve">                              </w:t>
      </w:r>
      <w:r>
        <w:rPr>
          <w:rFonts w:hint="eastAsia" w:ascii="宋体" w:hAnsi="宋体"/>
          <w:szCs w:val="21"/>
        </w:rPr>
        <w:t>GB 50116</w:t>
      </w:r>
    </w:p>
    <w:p>
      <w:pPr>
        <w:numPr>
          <w:ilvl w:val="0"/>
          <w:numId w:val="195"/>
        </w:numPr>
        <w:spacing w:line="360" w:lineRule="auto"/>
        <w:rPr>
          <w:rFonts w:ascii="宋体" w:hAnsi="宋体"/>
          <w:szCs w:val="21"/>
        </w:rPr>
      </w:pPr>
      <w:r>
        <w:rPr>
          <w:rFonts w:hint="eastAsia" w:ascii="宋体" w:hAnsi="宋体"/>
          <w:color w:val="000000"/>
          <w:szCs w:val="21"/>
        </w:rPr>
        <w:t xml:space="preserve">《电气装置安装工程母线装置施工及验收规范》 </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GB</w:t>
      </w:r>
      <w:r>
        <w:rPr>
          <w:rFonts w:ascii="宋体" w:hAnsi="宋体"/>
          <w:color w:val="000000"/>
          <w:szCs w:val="21"/>
        </w:rPr>
        <w:t xml:space="preserve"> </w:t>
      </w:r>
      <w:r>
        <w:rPr>
          <w:rFonts w:hint="eastAsia" w:ascii="宋体" w:hAnsi="宋体"/>
          <w:color w:val="000000"/>
          <w:szCs w:val="21"/>
        </w:rPr>
        <w:t>50149</w:t>
      </w:r>
    </w:p>
    <w:p>
      <w:pPr>
        <w:numPr>
          <w:ilvl w:val="0"/>
          <w:numId w:val="195"/>
        </w:numPr>
        <w:spacing w:line="360" w:lineRule="auto"/>
        <w:rPr>
          <w:rFonts w:ascii="宋体" w:hAnsi="宋体"/>
          <w:szCs w:val="21"/>
        </w:rPr>
      </w:pPr>
      <w:r>
        <w:rPr>
          <w:rFonts w:hint="eastAsia" w:ascii="宋体" w:hAnsi="宋体"/>
          <w:color w:val="000000"/>
          <w:szCs w:val="21"/>
        </w:rPr>
        <w:t xml:space="preserve">《电气装置安装工程电气设备交接试验标准》 </w:t>
      </w:r>
      <w:r>
        <w:rPr>
          <w:rFonts w:ascii="宋体" w:hAnsi="宋体"/>
          <w:color w:val="000000"/>
          <w:szCs w:val="21"/>
        </w:rPr>
        <w:t xml:space="preserve">                  </w:t>
      </w:r>
      <w:r>
        <w:rPr>
          <w:rFonts w:hint="eastAsia" w:ascii="宋体" w:hAnsi="宋体"/>
          <w:color w:val="000000"/>
          <w:szCs w:val="21"/>
        </w:rPr>
        <w:t>GB</w:t>
      </w:r>
      <w:r>
        <w:rPr>
          <w:rFonts w:ascii="宋体" w:hAnsi="宋体"/>
          <w:color w:val="000000"/>
          <w:szCs w:val="21"/>
        </w:rPr>
        <w:t xml:space="preserve"> </w:t>
      </w:r>
      <w:r>
        <w:rPr>
          <w:rFonts w:hint="eastAsia" w:ascii="宋体" w:hAnsi="宋体"/>
          <w:color w:val="000000"/>
          <w:szCs w:val="21"/>
        </w:rPr>
        <w:t>50150</w:t>
      </w:r>
    </w:p>
    <w:p>
      <w:pPr>
        <w:numPr>
          <w:ilvl w:val="0"/>
          <w:numId w:val="195"/>
        </w:numPr>
        <w:spacing w:line="360" w:lineRule="auto"/>
        <w:rPr>
          <w:rFonts w:ascii="宋体" w:hAnsi="宋体"/>
          <w:szCs w:val="21"/>
        </w:rPr>
      </w:pPr>
      <w:r>
        <w:rPr>
          <w:rFonts w:hint="eastAsia" w:ascii="宋体" w:hAnsi="宋体"/>
          <w:color w:val="000000"/>
          <w:szCs w:val="21"/>
        </w:rPr>
        <w:t xml:space="preserve">《电气装置安装工程盘、柜及二次回路接线施工及验收规范》  </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 xml:space="preserve"> GB 50171</w:t>
      </w:r>
    </w:p>
    <w:p>
      <w:pPr>
        <w:numPr>
          <w:ilvl w:val="0"/>
          <w:numId w:val="195"/>
        </w:numPr>
        <w:spacing w:line="360" w:lineRule="auto"/>
        <w:rPr>
          <w:rFonts w:ascii="宋体" w:hAnsi="宋体"/>
          <w:szCs w:val="21"/>
        </w:rPr>
      </w:pPr>
      <w:r>
        <w:rPr>
          <w:rFonts w:hint="eastAsia" w:ascii="宋体" w:hAnsi="宋体"/>
          <w:color w:val="000000"/>
          <w:szCs w:val="21"/>
        </w:rPr>
        <w:t xml:space="preserve">《建筑工程施工质量统一验收标准》 </w:t>
      </w:r>
      <w:r>
        <w:rPr>
          <w:rFonts w:ascii="宋体" w:hAnsi="宋体"/>
          <w:color w:val="000000"/>
          <w:szCs w:val="21"/>
        </w:rPr>
        <w:t xml:space="preserve">                          </w:t>
      </w:r>
      <w:r>
        <w:rPr>
          <w:rFonts w:hint="eastAsia" w:ascii="宋体" w:hAnsi="宋体"/>
          <w:color w:val="000000"/>
          <w:szCs w:val="21"/>
        </w:rPr>
        <w:t>GB 50300</w:t>
      </w:r>
    </w:p>
    <w:p>
      <w:pPr>
        <w:numPr>
          <w:ilvl w:val="0"/>
          <w:numId w:val="195"/>
        </w:numPr>
        <w:spacing w:line="360" w:lineRule="auto"/>
        <w:rPr>
          <w:rFonts w:ascii="宋体" w:hAnsi="宋体"/>
          <w:szCs w:val="21"/>
        </w:rPr>
      </w:pPr>
      <w:r>
        <w:rPr>
          <w:rFonts w:hint="eastAsia" w:ascii="宋体" w:hAnsi="宋体"/>
          <w:szCs w:val="21"/>
        </w:rPr>
        <w:t xml:space="preserve">《建筑电气与智能化通用规范》 </w:t>
      </w:r>
      <w:r>
        <w:rPr>
          <w:rFonts w:ascii="宋体" w:hAnsi="宋体"/>
          <w:szCs w:val="21"/>
        </w:rPr>
        <w:t xml:space="preserve">                              </w:t>
      </w:r>
      <w:r>
        <w:rPr>
          <w:rFonts w:hint="eastAsia" w:ascii="宋体" w:hAnsi="宋体"/>
          <w:szCs w:val="21"/>
        </w:rPr>
        <w:t>GB</w:t>
      </w:r>
      <w:r>
        <w:rPr>
          <w:rFonts w:ascii="宋体" w:hAnsi="宋体"/>
          <w:szCs w:val="21"/>
        </w:rPr>
        <w:t xml:space="preserve"> </w:t>
      </w:r>
      <w:r>
        <w:rPr>
          <w:rFonts w:hint="eastAsia" w:ascii="宋体" w:hAnsi="宋体"/>
          <w:szCs w:val="21"/>
        </w:rPr>
        <w:t>55024</w:t>
      </w:r>
    </w:p>
    <w:p>
      <w:pPr>
        <w:numPr>
          <w:ilvl w:val="0"/>
          <w:numId w:val="195"/>
        </w:numPr>
        <w:spacing w:line="360" w:lineRule="auto"/>
        <w:rPr>
          <w:rFonts w:ascii="宋体" w:hAnsi="宋体"/>
          <w:szCs w:val="21"/>
        </w:rPr>
      </w:pPr>
      <w:r>
        <w:rPr>
          <w:rFonts w:hint="eastAsia" w:ascii="宋体" w:hAnsi="宋体"/>
          <w:color w:val="000000"/>
          <w:szCs w:val="21"/>
        </w:rPr>
        <w:t xml:space="preserve">《低压成套开关设备和控制设备第1部分：总则》 </w:t>
      </w:r>
      <w:r>
        <w:rPr>
          <w:rFonts w:ascii="宋体" w:hAnsi="宋体"/>
          <w:color w:val="000000"/>
          <w:szCs w:val="21"/>
        </w:rPr>
        <w:t xml:space="preserve">             </w:t>
      </w:r>
      <w:r>
        <w:rPr>
          <w:rFonts w:hint="eastAsia" w:ascii="宋体" w:hAnsi="宋体"/>
          <w:color w:val="000000"/>
          <w:szCs w:val="21"/>
        </w:rPr>
        <w:t xml:space="preserve"> GB</w:t>
      </w:r>
      <w:r>
        <w:rPr>
          <w:rFonts w:ascii="宋体" w:hAnsi="宋体"/>
          <w:color w:val="000000"/>
          <w:szCs w:val="21"/>
        </w:rPr>
        <w:t xml:space="preserve"> </w:t>
      </w:r>
      <w:r>
        <w:rPr>
          <w:rFonts w:hint="eastAsia" w:ascii="宋体" w:hAnsi="宋体"/>
          <w:color w:val="000000"/>
          <w:szCs w:val="21"/>
        </w:rPr>
        <w:t>7251.1</w:t>
      </w:r>
    </w:p>
    <w:p>
      <w:pPr>
        <w:numPr>
          <w:ilvl w:val="0"/>
          <w:numId w:val="195"/>
        </w:numPr>
        <w:spacing w:line="360" w:lineRule="auto"/>
        <w:rPr>
          <w:rFonts w:ascii="宋体" w:hAnsi="宋体"/>
          <w:szCs w:val="21"/>
        </w:rPr>
      </w:pPr>
      <w:r>
        <w:rPr>
          <w:rFonts w:hint="eastAsia" w:ascii="宋体" w:hAnsi="宋体"/>
          <w:szCs w:val="21"/>
        </w:rPr>
        <w:t xml:space="preserve">《低压系统内设备的绝缘配合 第1部分：原理、要求和试验》 </w:t>
      </w:r>
      <w:r>
        <w:rPr>
          <w:rFonts w:ascii="宋体" w:hAnsi="宋体"/>
          <w:szCs w:val="21"/>
        </w:rPr>
        <w:t xml:space="preserve">   </w:t>
      </w:r>
      <w:r>
        <w:rPr>
          <w:rFonts w:hint="eastAsia" w:ascii="宋体" w:hAnsi="宋体"/>
          <w:szCs w:val="21"/>
        </w:rPr>
        <w:t>GB/T 16935.1</w:t>
      </w:r>
    </w:p>
    <w:p>
      <w:pPr>
        <w:numPr>
          <w:ilvl w:val="0"/>
          <w:numId w:val="195"/>
        </w:numPr>
        <w:spacing w:line="360" w:lineRule="auto"/>
        <w:rPr>
          <w:rFonts w:ascii="宋体" w:hAnsi="宋体"/>
          <w:szCs w:val="21"/>
        </w:rPr>
      </w:pPr>
      <w:r>
        <w:rPr>
          <w:rFonts w:hint="eastAsia" w:ascii="宋体" w:hAnsi="宋体"/>
          <w:szCs w:val="21"/>
        </w:rPr>
        <w:t xml:space="preserve">《高压/低压预装式变电站》 </w:t>
      </w:r>
      <w:r>
        <w:rPr>
          <w:rFonts w:ascii="宋体" w:hAnsi="宋体"/>
          <w:szCs w:val="21"/>
        </w:rPr>
        <w:t xml:space="preserve">                                 </w:t>
      </w:r>
      <w:r>
        <w:rPr>
          <w:rFonts w:hint="eastAsia" w:ascii="宋体" w:hAnsi="宋体"/>
          <w:szCs w:val="21"/>
        </w:rPr>
        <w:t>GB/T 17467</w:t>
      </w:r>
    </w:p>
    <w:p>
      <w:pPr>
        <w:numPr>
          <w:ilvl w:val="0"/>
          <w:numId w:val="195"/>
        </w:numPr>
        <w:spacing w:line="360" w:lineRule="auto"/>
        <w:rPr>
          <w:rFonts w:ascii="宋体" w:hAnsi="宋体"/>
          <w:szCs w:val="21"/>
        </w:rPr>
      </w:pPr>
      <w:r>
        <w:rPr>
          <w:rFonts w:hint="eastAsia" w:ascii="宋体" w:hAnsi="宋体"/>
          <w:szCs w:val="21"/>
        </w:rPr>
        <w:t xml:space="preserve">《电缆管理用导管系统 第1部分：通用要求》  </w:t>
      </w:r>
      <w:r>
        <w:rPr>
          <w:rFonts w:ascii="宋体" w:hAnsi="宋体"/>
          <w:color w:val="000000"/>
          <w:szCs w:val="21"/>
        </w:rPr>
        <w:t xml:space="preserve">                </w:t>
      </w:r>
      <w:r>
        <w:rPr>
          <w:rFonts w:hint="eastAsia" w:ascii="宋体" w:hAnsi="宋体"/>
          <w:color w:val="000000"/>
          <w:szCs w:val="21"/>
        </w:rPr>
        <w:t>GB/T 20041.1</w:t>
      </w: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
    <w:p/>
    <w:p/>
    <w:p/>
    <w:p/>
    <w:p/>
    <w:p>
      <w:pPr>
        <w:widowControl/>
        <w:jc w:val="left"/>
      </w:pPr>
      <w:r>
        <w:br w:type="page"/>
      </w:r>
    </w:p>
    <w:p/>
    <w:p/>
    <w:p/>
    <w:p/>
    <w:p/>
    <w:p/>
    <w:p/>
    <w:p>
      <w:pPr>
        <w:spacing w:before="120" w:after="120"/>
        <w:jc w:val="center"/>
        <w:rPr>
          <w:rFonts w:eastAsia="黑体"/>
          <w:b/>
          <w:sz w:val="32"/>
          <w:szCs w:val="32"/>
        </w:rPr>
      </w:pPr>
      <w:r>
        <w:rPr>
          <w:rFonts w:eastAsia="黑体"/>
          <w:b/>
          <w:sz w:val="32"/>
          <w:szCs w:val="32"/>
        </w:rPr>
        <w:t>北京市地方标准</w:t>
      </w:r>
    </w:p>
    <w:p/>
    <w:p/>
    <w:p>
      <w:pPr>
        <w:spacing w:line="360" w:lineRule="auto"/>
        <w:jc w:val="center"/>
        <w:rPr>
          <w:rFonts w:eastAsia="黑体"/>
          <w:sz w:val="44"/>
          <w:szCs w:val="44"/>
        </w:rPr>
      </w:pPr>
      <w:r>
        <w:rPr>
          <w:rFonts w:hint="eastAsia" w:eastAsia="黑体"/>
          <w:sz w:val="44"/>
          <w:szCs w:val="44"/>
        </w:rPr>
        <w:t>房屋建筑和市政基础设施电气工程施工质量验收规范</w:t>
      </w:r>
    </w:p>
    <w:p>
      <w:pPr>
        <w:spacing w:line="360" w:lineRule="auto"/>
        <w:jc w:val="center"/>
        <w:rPr>
          <w:rFonts w:eastAsia="黑体"/>
          <w:b/>
          <w:bCs/>
          <w:kern w:val="0"/>
          <w:sz w:val="32"/>
          <w:szCs w:val="32"/>
        </w:rPr>
      </w:pPr>
      <w:r>
        <w:rPr>
          <w:rFonts w:eastAsia="黑体"/>
          <w:b/>
          <w:bCs/>
          <w:kern w:val="0"/>
          <w:sz w:val="32"/>
          <w:szCs w:val="32"/>
        </w:rPr>
        <w:t>Code for Acceptance of Construction Quality of Electrical Engineering in Housing Construction and Municipal Infrastructure</w:t>
      </w:r>
    </w:p>
    <w:p/>
    <w:p/>
    <w:p>
      <w:pPr>
        <w:pStyle w:val="78"/>
        <w:spacing w:before="240" w:after="240"/>
        <w:ind w:firstLine="0" w:firstLineChars="0"/>
      </w:pPr>
      <w:bookmarkStart w:id="242" w:name="_Toc137216269"/>
      <w:bookmarkStart w:id="243" w:name="_Toc136868082"/>
      <w:bookmarkStart w:id="244" w:name="_Toc136869117"/>
      <w:r>
        <w:rPr>
          <w:rFonts w:hint="eastAsia"/>
        </w:rPr>
        <w:t>附：条文说明</w:t>
      </w:r>
      <w:bookmarkEnd w:id="242"/>
      <w:bookmarkEnd w:id="243"/>
      <w:bookmarkEnd w:id="244"/>
    </w:p>
    <w:p/>
    <w:p/>
    <w:p/>
    <w:p>
      <w:pPr>
        <w:spacing w:before="120" w:after="120"/>
        <w:jc w:val="center"/>
        <w:rPr>
          <w:rFonts w:eastAsia="黑体"/>
          <w:sz w:val="32"/>
          <w:szCs w:val="32"/>
        </w:rPr>
      </w:pPr>
      <w:r>
        <w:rPr>
          <w:rFonts w:eastAsia="黑体"/>
          <w:sz w:val="32"/>
          <w:szCs w:val="32"/>
        </w:rPr>
        <w:t>2023 北京</w:t>
      </w:r>
    </w:p>
    <w:p/>
    <w:p/>
    <w:p/>
    <w:p/>
    <w:p/>
    <w:p/>
    <w:p/>
    <w:p/>
    <w:p/>
    <w:p/>
    <w:p/>
    <w:p/>
    <w:p/>
    <w:p/>
    <w:p/>
    <w:p>
      <w:pPr>
        <w:widowControl/>
        <w:jc w:val="left"/>
      </w:pPr>
      <w:r>
        <w:br w:type="page"/>
      </w:r>
    </w:p>
    <w:p>
      <w:pPr>
        <w:pStyle w:val="78"/>
        <w:spacing w:before="240" w:after="240"/>
        <w:ind w:firstLine="0" w:firstLineChars="0"/>
      </w:pPr>
      <w:bookmarkStart w:id="245" w:name="_Toc137203420"/>
      <w:bookmarkStart w:id="246" w:name="_Toc137216270"/>
      <w:bookmarkStart w:id="247" w:name="_Toc136869118"/>
      <w:bookmarkStart w:id="248" w:name="_Toc136868083"/>
      <w:bookmarkStart w:id="249" w:name="_Toc136869534"/>
      <w:r>
        <w:rPr>
          <w:rFonts w:hint="eastAsia" w:ascii="宋体" w:hAnsi="宋体" w:cs="宋体"/>
          <w:bCs w:val="0"/>
          <w:kern w:val="2"/>
        </w:rPr>
        <w:t xml:space="preserve">目 </w:t>
      </w:r>
      <w:r>
        <w:rPr>
          <w:rFonts w:ascii="宋体" w:hAnsi="宋体" w:cs="宋体"/>
          <w:bCs w:val="0"/>
          <w:kern w:val="2"/>
        </w:rPr>
        <w:t xml:space="preserve">   </w:t>
      </w:r>
      <w:r>
        <w:rPr>
          <w:rFonts w:hint="eastAsia" w:ascii="宋体" w:hAnsi="宋体" w:cs="宋体"/>
          <w:bCs w:val="0"/>
          <w:kern w:val="2"/>
        </w:rPr>
        <w:t>次</w:t>
      </w:r>
      <w:bookmarkEnd w:id="245"/>
      <w:bookmarkEnd w:id="246"/>
      <w:bookmarkEnd w:id="247"/>
      <w:bookmarkEnd w:id="248"/>
      <w:bookmarkEnd w:id="249"/>
      <w:r>
        <w:fldChar w:fldCharType="begin"/>
      </w:r>
      <w:r>
        <w:instrText xml:space="preserve"> </w:instrText>
      </w:r>
      <w:r>
        <w:rPr>
          <w:rFonts w:hint="eastAsia"/>
        </w:rPr>
        <w:instrText xml:space="preserve">TOC \o "1-2" \h \z \u</w:instrText>
      </w:r>
      <w:r>
        <w:instrText xml:space="preserve"> </w:instrText>
      </w:r>
      <w:r>
        <w:fldChar w:fldCharType="separate"/>
      </w:r>
    </w:p>
    <w:p>
      <w:pPr>
        <w:pStyle w:val="19"/>
        <w:tabs>
          <w:tab w:val="right" w:leader="dot" w:pos="8303"/>
        </w:tabs>
        <w:spacing w:before="120" w:after="120"/>
        <w:rPr>
          <w:rFonts w:eastAsiaTheme="minorEastAsia" w:cstheme="minorBidi"/>
          <w:b w:val="0"/>
          <w:kern w:val="2"/>
          <w:sz w:val="21"/>
        </w:rPr>
      </w:pPr>
      <w:r>
        <w:fldChar w:fldCharType="begin"/>
      </w:r>
      <w:r>
        <w:instrText xml:space="preserve"> HYPERLINK \l "_Toc136869119" </w:instrText>
      </w:r>
      <w:r>
        <w:fldChar w:fldCharType="separate"/>
      </w:r>
      <w:r>
        <w:rPr>
          <w:rStyle w:val="31"/>
        </w:rPr>
        <w:t>1  总则</w:t>
      </w:r>
      <w:r>
        <w:tab/>
      </w:r>
      <w:r>
        <w:fldChar w:fldCharType="begin"/>
      </w:r>
      <w:r>
        <w:instrText xml:space="preserve"> PAGEREF _Toc136869119 \h </w:instrText>
      </w:r>
      <w:r>
        <w:fldChar w:fldCharType="separate"/>
      </w:r>
      <w:r>
        <w:t>101</w:t>
      </w:r>
      <w:r>
        <w:fldChar w:fldCharType="end"/>
      </w:r>
      <w:r>
        <w:fldChar w:fldCharType="end"/>
      </w:r>
    </w:p>
    <w:p>
      <w:pPr>
        <w:pStyle w:val="19"/>
        <w:tabs>
          <w:tab w:val="right" w:leader="dot" w:pos="8303"/>
        </w:tabs>
        <w:spacing w:before="120" w:after="120"/>
        <w:rPr>
          <w:rFonts w:eastAsiaTheme="minorEastAsia" w:cstheme="minorBidi"/>
          <w:b w:val="0"/>
          <w:kern w:val="2"/>
          <w:sz w:val="21"/>
        </w:rPr>
      </w:pPr>
      <w:r>
        <w:fldChar w:fldCharType="begin"/>
      </w:r>
      <w:r>
        <w:instrText xml:space="preserve"> HYPERLINK \l "_Toc136869120" </w:instrText>
      </w:r>
      <w:r>
        <w:fldChar w:fldCharType="separate"/>
      </w:r>
      <w:r>
        <w:rPr>
          <w:rStyle w:val="31"/>
        </w:rPr>
        <w:t>3  基本规定</w:t>
      </w:r>
      <w:r>
        <w:tab/>
      </w:r>
      <w:r>
        <w:fldChar w:fldCharType="begin"/>
      </w:r>
      <w:r>
        <w:instrText xml:space="preserve"> PAGEREF _Toc136869120 \h </w:instrText>
      </w:r>
      <w:r>
        <w:fldChar w:fldCharType="separate"/>
      </w:r>
      <w:r>
        <w:t>102</w:t>
      </w:r>
      <w:r>
        <w:fldChar w:fldCharType="end"/>
      </w:r>
      <w:r>
        <w:fldChar w:fldCharType="end"/>
      </w:r>
    </w:p>
    <w:p>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"_Toc136869121" </w:instrText>
      </w:r>
      <w:r>
        <w:fldChar w:fldCharType="separate"/>
      </w:r>
      <w:r>
        <w:rPr>
          <w:rStyle w:val="31"/>
          <w:rFonts w:asciiTheme="minorEastAsia" w:hAnsiTheme="minorEastAsia"/>
        </w:rPr>
        <w:t>3.1  一般规定</w:t>
      </w:r>
      <w:r>
        <w:tab/>
      </w:r>
      <w:r>
        <w:fldChar w:fldCharType="begin"/>
      </w:r>
      <w:r>
        <w:instrText xml:space="preserve"> PAGEREF _Toc136869121 \h </w:instrText>
      </w:r>
      <w:r>
        <w:fldChar w:fldCharType="separate"/>
      </w:r>
      <w:r>
        <w:t>102</w:t>
      </w:r>
      <w:r>
        <w:fldChar w:fldCharType="end"/>
      </w:r>
      <w:r>
        <w:fldChar w:fldCharType="end"/>
      </w:r>
    </w:p>
    <w:p>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"_Toc136869122" </w:instrText>
      </w:r>
      <w:r>
        <w:fldChar w:fldCharType="separate"/>
      </w:r>
      <w:r>
        <w:rPr>
          <w:rStyle w:val="31"/>
          <w:rFonts w:asciiTheme="minorEastAsia" w:hAnsiTheme="minorEastAsia"/>
        </w:rPr>
        <w:t>3.2  主要设备、材料、成品和半成品进场验收</w:t>
      </w:r>
      <w:r>
        <w:tab/>
      </w:r>
      <w:r>
        <w:fldChar w:fldCharType="begin"/>
      </w:r>
      <w:r>
        <w:instrText xml:space="preserve"> PAGEREF _Toc136869122 \h </w:instrText>
      </w:r>
      <w:r>
        <w:fldChar w:fldCharType="separate"/>
      </w:r>
      <w:r>
        <w:t>102</w:t>
      </w:r>
      <w:r>
        <w:fldChar w:fldCharType="end"/>
      </w:r>
      <w:r>
        <w:fldChar w:fldCharType="end"/>
      </w:r>
    </w:p>
    <w:p>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"_Toc136869123" </w:instrText>
      </w:r>
      <w:r>
        <w:fldChar w:fldCharType="separate"/>
      </w:r>
      <w:r>
        <w:rPr>
          <w:rStyle w:val="31"/>
          <w:rFonts w:asciiTheme="minorEastAsia" w:hAnsiTheme="minorEastAsia"/>
        </w:rPr>
        <w:t>3.3  工序交接确认</w:t>
      </w:r>
      <w:r>
        <w:tab/>
      </w:r>
      <w:r>
        <w:fldChar w:fldCharType="begin"/>
      </w:r>
      <w:r>
        <w:instrText xml:space="preserve"> PAGEREF _Toc136869123 \h </w:instrText>
      </w:r>
      <w:r>
        <w:fldChar w:fldCharType="separate"/>
      </w:r>
      <w:r>
        <w:t>103</w:t>
      </w:r>
      <w:r>
        <w:fldChar w:fldCharType="end"/>
      </w:r>
      <w:r>
        <w:fldChar w:fldCharType="end"/>
      </w:r>
    </w:p>
    <w:p>
      <w:pPr>
        <w:pStyle w:val="19"/>
        <w:tabs>
          <w:tab w:val="right" w:leader="dot" w:pos="8303"/>
        </w:tabs>
        <w:spacing w:before="120" w:after="120"/>
        <w:rPr>
          <w:rFonts w:eastAsiaTheme="minorEastAsia" w:cstheme="minorBidi"/>
          <w:b w:val="0"/>
          <w:kern w:val="2"/>
          <w:sz w:val="21"/>
        </w:rPr>
      </w:pPr>
      <w:r>
        <w:fldChar w:fldCharType="begin"/>
      </w:r>
      <w:r>
        <w:instrText xml:space="preserve"> HYPERLINK \l "_Toc136869124" </w:instrText>
      </w:r>
      <w:r>
        <w:fldChar w:fldCharType="separate"/>
      </w:r>
      <w:r>
        <w:rPr>
          <w:rStyle w:val="31"/>
        </w:rPr>
        <w:t>4  电源</w:t>
      </w:r>
      <w:r>
        <w:tab/>
      </w:r>
      <w:r>
        <w:fldChar w:fldCharType="begin"/>
      </w:r>
      <w:r>
        <w:instrText xml:space="preserve"> PAGEREF _Toc136869124 \h </w:instrText>
      </w:r>
      <w:r>
        <w:fldChar w:fldCharType="separate"/>
      </w:r>
      <w:r>
        <w:t>104</w:t>
      </w:r>
      <w:r>
        <w:fldChar w:fldCharType="end"/>
      </w:r>
      <w:r>
        <w:fldChar w:fldCharType="end"/>
      </w:r>
    </w:p>
    <w:p>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"_Toc136869125" </w:instrText>
      </w:r>
      <w:r>
        <w:fldChar w:fldCharType="separate"/>
      </w:r>
      <w:r>
        <w:rPr>
          <w:rStyle w:val="31"/>
          <w:rFonts w:asciiTheme="minorEastAsia" w:hAnsiTheme="minorEastAsia"/>
        </w:rPr>
        <w:t>4.1  变压器、箱式变电所、光伏发电设备安装</w:t>
      </w:r>
      <w:r>
        <w:tab/>
      </w:r>
      <w:r>
        <w:fldChar w:fldCharType="begin"/>
      </w:r>
      <w:r>
        <w:instrText xml:space="preserve"> PAGEREF _Toc136869125 \h </w:instrText>
      </w:r>
      <w:r>
        <w:fldChar w:fldCharType="separate"/>
      </w:r>
      <w:r>
        <w:t>104</w:t>
      </w:r>
      <w:r>
        <w:fldChar w:fldCharType="end"/>
      </w:r>
      <w:r>
        <w:fldChar w:fldCharType="end"/>
      </w:r>
    </w:p>
    <w:p>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"_Toc136869126" </w:instrText>
      </w:r>
      <w:r>
        <w:fldChar w:fldCharType="separate"/>
      </w:r>
      <w:r>
        <w:rPr>
          <w:rStyle w:val="31"/>
          <w:rFonts w:asciiTheme="minorEastAsia" w:hAnsiTheme="minorEastAsia"/>
        </w:rPr>
        <w:t>4.2  成套配电柜、控制柜（台、箱）和配电箱（盘）安装</w:t>
      </w:r>
      <w:r>
        <w:tab/>
      </w:r>
      <w:r>
        <w:fldChar w:fldCharType="begin"/>
      </w:r>
      <w:r>
        <w:instrText xml:space="preserve"> PAGEREF _Toc136869126 \h </w:instrText>
      </w:r>
      <w:r>
        <w:fldChar w:fldCharType="separate"/>
      </w:r>
      <w:r>
        <w:t>106</w:t>
      </w:r>
      <w:r>
        <w:fldChar w:fldCharType="end"/>
      </w:r>
      <w:r>
        <w:fldChar w:fldCharType="end"/>
      </w:r>
    </w:p>
    <w:p>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"_Toc136869127" </w:instrText>
      </w:r>
      <w:r>
        <w:fldChar w:fldCharType="separate"/>
      </w:r>
      <w:r>
        <w:rPr>
          <w:rStyle w:val="31"/>
          <w:rFonts w:asciiTheme="minorEastAsia" w:hAnsiTheme="minorEastAsia"/>
        </w:rPr>
        <w:t>4.3  备用电源</w:t>
      </w:r>
      <w:r>
        <w:tab/>
      </w:r>
      <w:r>
        <w:fldChar w:fldCharType="begin"/>
      </w:r>
      <w:r>
        <w:instrText xml:space="preserve"> PAGEREF _Toc136869127 \h </w:instrText>
      </w:r>
      <w:r>
        <w:fldChar w:fldCharType="separate"/>
      </w:r>
      <w:r>
        <w:t>110</w:t>
      </w:r>
      <w:r>
        <w:fldChar w:fldCharType="end"/>
      </w:r>
      <w:r>
        <w:fldChar w:fldCharType="end"/>
      </w:r>
    </w:p>
    <w:p>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"_Toc136869128" </w:instrText>
      </w:r>
      <w:r>
        <w:fldChar w:fldCharType="separate"/>
      </w:r>
      <w:r>
        <w:rPr>
          <w:rStyle w:val="31"/>
          <w:rFonts w:asciiTheme="minorEastAsia" w:hAnsiTheme="minorEastAsia"/>
        </w:rPr>
        <w:t>4.4  消防电源</w:t>
      </w:r>
      <w:r>
        <w:tab/>
      </w:r>
      <w:r>
        <w:fldChar w:fldCharType="begin"/>
      </w:r>
      <w:r>
        <w:instrText xml:space="preserve"> PAGEREF _Toc136869128 \h </w:instrText>
      </w:r>
      <w:r>
        <w:fldChar w:fldCharType="separate"/>
      </w:r>
      <w:r>
        <w:t>112</w:t>
      </w:r>
      <w:r>
        <w:fldChar w:fldCharType="end"/>
      </w:r>
      <w:r>
        <w:fldChar w:fldCharType="end"/>
      </w:r>
    </w:p>
    <w:p>
      <w:pPr>
        <w:pStyle w:val="19"/>
        <w:tabs>
          <w:tab w:val="right" w:leader="dot" w:pos="8303"/>
        </w:tabs>
        <w:spacing w:before="120" w:after="120"/>
        <w:rPr>
          <w:rFonts w:eastAsiaTheme="minorEastAsia" w:cstheme="minorBidi"/>
          <w:b w:val="0"/>
          <w:kern w:val="2"/>
          <w:sz w:val="21"/>
        </w:rPr>
      </w:pPr>
      <w:r>
        <w:fldChar w:fldCharType="begin"/>
      </w:r>
      <w:r>
        <w:instrText xml:space="preserve"> HYPERLINK \l "_Toc136869129" </w:instrText>
      </w:r>
      <w:r>
        <w:fldChar w:fldCharType="separate"/>
      </w:r>
      <w:r>
        <w:rPr>
          <w:rStyle w:val="31"/>
        </w:rPr>
        <w:t>5  管线</w:t>
      </w:r>
      <w:r>
        <w:tab/>
      </w:r>
      <w:r>
        <w:fldChar w:fldCharType="begin"/>
      </w:r>
      <w:r>
        <w:instrText xml:space="preserve"> PAGEREF _Toc136869129 \h </w:instrText>
      </w:r>
      <w:r>
        <w:fldChar w:fldCharType="separate"/>
      </w:r>
      <w:r>
        <w:t>114</w:t>
      </w:r>
      <w:r>
        <w:fldChar w:fldCharType="end"/>
      </w:r>
      <w:r>
        <w:fldChar w:fldCharType="end"/>
      </w:r>
    </w:p>
    <w:p>
      <w:pPr>
        <w:pStyle w:val="22"/>
        <w:tabs>
          <w:tab w:val="left" w:pos="1260"/>
          <w:tab w:val="right" w:leader="dot" w:pos="8303"/>
        </w:tabs>
        <w:spacing w:before="120" w:after="120"/>
        <w:ind w:firstLine="200"/>
        <w:rPr>
          <w:rFonts w:cstheme="minorBidi"/>
          <w:smallCaps w:val="0"/>
          <w:kern w:val="2"/>
          <w:sz w:val="21"/>
        </w:rPr>
      </w:pPr>
      <w:r>
        <w:fldChar w:fldCharType="begin"/>
      </w:r>
      <w:r>
        <w:instrText xml:space="preserve"> HYPERLINK \l "_Toc136869130" </w:instrText>
      </w:r>
      <w:r>
        <w:fldChar w:fldCharType="separate"/>
      </w:r>
      <w:r>
        <w:rPr>
          <w:rStyle w:val="31"/>
          <w:rFonts w:asciiTheme="minorEastAsia" w:hAnsiTheme="minorEastAsia"/>
        </w:rPr>
        <w:t>5.1</w:t>
      </w:r>
      <w:r>
        <w:rPr>
          <w:rFonts w:cstheme="minorBidi"/>
          <w:smallCaps w:val="0"/>
          <w:kern w:val="2"/>
          <w:sz w:val="21"/>
        </w:rPr>
        <w:tab/>
      </w:r>
      <w:r>
        <w:rPr>
          <w:rStyle w:val="31"/>
          <w:rFonts w:asciiTheme="minorEastAsia" w:hAnsiTheme="minorEastAsia"/>
        </w:rPr>
        <w:t>母线槽安装</w:t>
      </w:r>
      <w:r>
        <w:tab/>
      </w:r>
      <w:r>
        <w:fldChar w:fldCharType="begin"/>
      </w:r>
      <w:r>
        <w:instrText xml:space="preserve"> PAGEREF _Toc136869130 \h </w:instrText>
      </w:r>
      <w:r>
        <w:fldChar w:fldCharType="separate"/>
      </w:r>
      <w:r>
        <w:t>114</w:t>
      </w:r>
      <w:r>
        <w:fldChar w:fldCharType="end"/>
      </w:r>
      <w:r>
        <w:fldChar w:fldCharType="end"/>
      </w:r>
    </w:p>
    <w:p>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"_Toc136869131" </w:instrText>
      </w:r>
      <w:r>
        <w:fldChar w:fldCharType="separate"/>
      </w:r>
      <w:r>
        <w:rPr>
          <w:rStyle w:val="31"/>
          <w:rFonts w:asciiTheme="minorEastAsia" w:hAnsiTheme="minorEastAsia"/>
        </w:rPr>
        <w:t>5.2 梯架、托盘和槽盒安装</w:t>
      </w:r>
      <w:r>
        <w:tab/>
      </w:r>
      <w:r>
        <w:fldChar w:fldCharType="begin"/>
      </w:r>
      <w:r>
        <w:instrText xml:space="preserve"> PAGEREF _Toc136869131 \h </w:instrText>
      </w:r>
      <w:r>
        <w:fldChar w:fldCharType="separate"/>
      </w:r>
      <w:r>
        <w:t>115</w:t>
      </w:r>
      <w:r>
        <w:fldChar w:fldCharType="end"/>
      </w:r>
      <w:r>
        <w:fldChar w:fldCharType="end"/>
      </w:r>
    </w:p>
    <w:p>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"_Toc136869132" </w:instrText>
      </w:r>
      <w:r>
        <w:fldChar w:fldCharType="separate"/>
      </w:r>
      <w:r>
        <w:rPr>
          <w:rStyle w:val="31"/>
          <w:rFonts w:asciiTheme="minorEastAsia" w:hAnsiTheme="minorEastAsia"/>
        </w:rPr>
        <w:t>5.3  导管敷设</w:t>
      </w:r>
      <w:r>
        <w:tab/>
      </w:r>
      <w:r>
        <w:fldChar w:fldCharType="begin"/>
      </w:r>
      <w:r>
        <w:instrText xml:space="preserve"> PAGEREF _Toc136869132 \h </w:instrText>
      </w:r>
      <w:r>
        <w:fldChar w:fldCharType="separate"/>
      </w:r>
      <w:r>
        <w:t>116</w:t>
      </w:r>
      <w:r>
        <w:fldChar w:fldCharType="end"/>
      </w:r>
      <w:r>
        <w:fldChar w:fldCharType="end"/>
      </w:r>
    </w:p>
    <w:p>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"_Toc136869133" </w:instrText>
      </w:r>
      <w:r>
        <w:fldChar w:fldCharType="separate"/>
      </w:r>
      <w:r>
        <w:rPr>
          <w:rStyle w:val="31"/>
          <w:rFonts w:asciiTheme="minorEastAsia" w:hAnsiTheme="minorEastAsia"/>
        </w:rPr>
        <w:t>5.4  电缆敷设</w:t>
      </w:r>
      <w:r>
        <w:tab/>
      </w:r>
      <w:r>
        <w:fldChar w:fldCharType="begin"/>
      </w:r>
      <w:r>
        <w:instrText xml:space="preserve"> PAGEREF _Toc136869133 \h </w:instrText>
      </w:r>
      <w:r>
        <w:fldChar w:fldCharType="separate"/>
      </w:r>
      <w:r>
        <w:t>120</w:t>
      </w:r>
      <w:r>
        <w:fldChar w:fldCharType="end"/>
      </w:r>
      <w:r>
        <w:fldChar w:fldCharType="end"/>
      </w:r>
    </w:p>
    <w:p>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"_Toc136869134" </w:instrText>
      </w:r>
      <w:r>
        <w:fldChar w:fldCharType="separate"/>
      </w:r>
      <w:r>
        <w:rPr>
          <w:rStyle w:val="31"/>
          <w:rFonts w:asciiTheme="minorEastAsia" w:hAnsiTheme="minorEastAsia"/>
        </w:rPr>
        <w:t>5.5  矿物电缆敷设</w:t>
      </w:r>
      <w:r>
        <w:tab/>
      </w:r>
      <w:r>
        <w:fldChar w:fldCharType="begin"/>
      </w:r>
      <w:r>
        <w:instrText xml:space="preserve"> PAGEREF _Toc136869134 \h </w:instrText>
      </w:r>
      <w:r>
        <w:fldChar w:fldCharType="separate"/>
      </w:r>
      <w:r>
        <w:t>122</w:t>
      </w:r>
      <w:r>
        <w:fldChar w:fldCharType="end"/>
      </w:r>
      <w:r>
        <w:fldChar w:fldCharType="end"/>
      </w:r>
    </w:p>
    <w:p>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"_Toc136869135" </w:instrText>
      </w:r>
      <w:r>
        <w:fldChar w:fldCharType="separate"/>
      </w:r>
      <w:r>
        <w:rPr>
          <w:rStyle w:val="31"/>
          <w:rFonts w:asciiTheme="minorEastAsia" w:hAnsiTheme="minorEastAsia"/>
        </w:rPr>
        <w:t>5.6  预分支电缆</w:t>
      </w:r>
      <w:r>
        <w:tab/>
      </w:r>
      <w:r>
        <w:fldChar w:fldCharType="begin"/>
      </w:r>
      <w:r>
        <w:instrText xml:space="preserve"> PAGEREF _Toc136869135 \h </w:instrText>
      </w:r>
      <w:r>
        <w:fldChar w:fldCharType="separate"/>
      </w:r>
      <w:r>
        <w:t>123</w:t>
      </w:r>
      <w:r>
        <w:fldChar w:fldCharType="end"/>
      </w:r>
      <w:r>
        <w:fldChar w:fldCharType="end"/>
      </w:r>
    </w:p>
    <w:p>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"_Toc136869136" </w:instrText>
      </w:r>
      <w:r>
        <w:fldChar w:fldCharType="separate"/>
      </w:r>
      <w:r>
        <w:rPr>
          <w:rStyle w:val="31"/>
          <w:rFonts w:asciiTheme="minorEastAsia" w:hAnsiTheme="minorEastAsia"/>
        </w:rPr>
        <w:t>5.7  导管内穿线和槽盒内敷线</w:t>
      </w:r>
      <w:r>
        <w:tab/>
      </w:r>
      <w:r>
        <w:fldChar w:fldCharType="begin"/>
      </w:r>
      <w:r>
        <w:instrText xml:space="preserve"> PAGEREF _Toc136869136 \h </w:instrText>
      </w:r>
      <w:r>
        <w:fldChar w:fldCharType="separate"/>
      </w:r>
      <w:r>
        <w:t>123</w:t>
      </w:r>
      <w:r>
        <w:fldChar w:fldCharType="end"/>
      </w:r>
      <w:r>
        <w:fldChar w:fldCharType="end"/>
      </w:r>
    </w:p>
    <w:p>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"_Toc136869137" </w:instrText>
      </w:r>
      <w:r>
        <w:fldChar w:fldCharType="separate"/>
      </w:r>
      <w:r>
        <w:rPr>
          <w:rStyle w:val="31"/>
          <w:rFonts w:asciiTheme="minorEastAsia" w:hAnsiTheme="minorEastAsia"/>
        </w:rPr>
        <w:t>5.8  塑料护套线直敷布线</w:t>
      </w:r>
      <w:r>
        <w:tab/>
      </w:r>
      <w:r>
        <w:fldChar w:fldCharType="begin"/>
      </w:r>
      <w:r>
        <w:instrText xml:space="preserve"> PAGEREF _Toc136869137 \h </w:instrText>
      </w:r>
      <w:r>
        <w:fldChar w:fldCharType="separate"/>
      </w:r>
      <w:r>
        <w:t>124</w:t>
      </w:r>
      <w:r>
        <w:fldChar w:fldCharType="end"/>
      </w:r>
      <w:r>
        <w:fldChar w:fldCharType="end"/>
      </w:r>
    </w:p>
    <w:p>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"_Toc136869138" </w:instrText>
      </w:r>
      <w:r>
        <w:fldChar w:fldCharType="separate"/>
      </w:r>
      <w:r>
        <w:rPr>
          <w:rStyle w:val="31"/>
          <w:rFonts w:asciiTheme="minorEastAsia" w:hAnsiTheme="minorEastAsia"/>
        </w:rPr>
        <w:t>5.9  钢索配线</w:t>
      </w:r>
      <w:r>
        <w:tab/>
      </w:r>
      <w:r>
        <w:fldChar w:fldCharType="begin"/>
      </w:r>
      <w:r>
        <w:instrText xml:space="preserve"> PAGEREF _Toc136869138 \h </w:instrText>
      </w:r>
      <w:r>
        <w:fldChar w:fldCharType="separate"/>
      </w:r>
      <w:r>
        <w:t>125</w:t>
      </w:r>
      <w:r>
        <w:fldChar w:fldCharType="end"/>
      </w:r>
      <w:r>
        <w:fldChar w:fldCharType="end"/>
      </w:r>
    </w:p>
    <w:p>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"_Toc136869139" </w:instrText>
      </w:r>
      <w:r>
        <w:fldChar w:fldCharType="separate"/>
      </w:r>
      <w:r>
        <w:rPr>
          <w:rStyle w:val="31"/>
          <w:rFonts w:asciiTheme="minorEastAsia" w:hAnsiTheme="minorEastAsia"/>
        </w:rPr>
        <w:t>5.10  电缆头制作、导线连接和线路绝缘测试</w:t>
      </w:r>
      <w:r>
        <w:tab/>
      </w:r>
      <w:r>
        <w:fldChar w:fldCharType="begin"/>
      </w:r>
      <w:r>
        <w:instrText xml:space="preserve"> PAGEREF _Toc136869139 \h </w:instrText>
      </w:r>
      <w:r>
        <w:fldChar w:fldCharType="separate"/>
      </w:r>
      <w:r>
        <w:t>125</w:t>
      </w:r>
      <w:r>
        <w:fldChar w:fldCharType="end"/>
      </w:r>
      <w:r>
        <w:fldChar w:fldCharType="end"/>
      </w:r>
    </w:p>
    <w:p>
      <w:pPr>
        <w:pStyle w:val="19"/>
        <w:tabs>
          <w:tab w:val="right" w:leader="dot" w:pos="8303"/>
        </w:tabs>
        <w:spacing w:before="120" w:after="120"/>
        <w:rPr>
          <w:rFonts w:eastAsiaTheme="minorEastAsia" w:cstheme="minorBidi"/>
          <w:b w:val="0"/>
          <w:kern w:val="2"/>
          <w:sz w:val="21"/>
        </w:rPr>
      </w:pPr>
      <w:r>
        <w:fldChar w:fldCharType="begin"/>
      </w:r>
      <w:r>
        <w:instrText xml:space="preserve"> HYPERLINK \l "_Toc136869140" </w:instrText>
      </w:r>
      <w:r>
        <w:fldChar w:fldCharType="separate"/>
      </w:r>
      <w:r>
        <w:rPr>
          <w:rStyle w:val="31"/>
        </w:rPr>
        <w:t>6  动力设备</w:t>
      </w:r>
      <w:r>
        <w:tab/>
      </w:r>
      <w:r>
        <w:fldChar w:fldCharType="begin"/>
      </w:r>
      <w:r>
        <w:instrText xml:space="preserve"> PAGEREF _Toc136869140 \h </w:instrText>
      </w:r>
      <w:r>
        <w:fldChar w:fldCharType="separate"/>
      </w:r>
      <w:r>
        <w:t>128</w:t>
      </w:r>
      <w:r>
        <w:fldChar w:fldCharType="end"/>
      </w:r>
      <w:r>
        <w:fldChar w:fldCharType="end"/>
      </w:r>
    </w:p>
    <w:p>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"_Toc136869141" </w:instrText>
      </w:r>
      <w:r>
        <w:fldChar w:fldCharType="separate"/>
      </w:r>
      <w:r>
        <w:rPr>
          <w:rStyle w:val="31"/>
          <w:rFonts w:asciiTheme="minorEastAsia" w:hAnsiTheme="minorEastAsia"/>
        </w:rPr>
        <w:t>6.1  电动机、电加热器及电动执行机构检查接线</w:t>
      </w:r>
      <w:r>
        <w:tab/>
      </w:r>
      <w:r>
        <w:fldChar w:fldCharType="begin"/>
      </w:r>
      <w:r>
        <w:instrText xml:space="preserve"> PAGEREF _Toc136869141 \h </w:instrText>
      </w:r>
      <w:r>
        <w:fldChar w:fldCharType="separate"/>
      </w:r>
      <w:r>
        <w:t>128</w:t>
      </w:r>
      <w:r>
        <w:fldChar w:fldCharType="end"/>
      </w:r>
      <w:r>
        <w:fldChar w:fldCharType="end"/>
      </w:r>
    </w:p>
    <w:p>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"_Toc136869142" </w:instrText>
      </w:r>
      <w:r>
        <w:fldChar w:fldCharType="separate"/>
      </w:r>
      <w:r>
        <w:rPr>
          <w:rStyle w:val="31"/>
          <w:rFonts w:asciiTheme="minorEastAsia" w:hAnsiTheme="minorEastAsia"/>
        </w:rPr>
        <w:t>6.2  市政、轨道交通工程特殊动力设备</w:t>
      </w:r>
      <w:r>
        <w:tab/>
      </w:r>
      <w:r>
        <w:fldChar w:fldCharType="begin"/>
      </w:r>
      <w:r>
        <w:instrText xml:space="preserve"> PAGEREF _Toc136869142 \h </w:instrText>
      </w:r>
      <w:r>
        <w:fldChar w:fldCharType="separate"/>
      </w:r>
      <w:r>
        <w:t>129</w:t>
      </w:r>
      <w:r>
        <w:fldChar w:fldCharType="end"/>
      </w:r>
      <w:r>
        <w:fldChar w:fldCharType="end"/>
      </w:r>
    </w:p>
    <w:p>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"_Toc136869143" </w:instrText>
      </w:r>
      <w:r>
        <w:fldChar w:fldCharType="separate"/>
      </w:r>
      <w:r>
        <w:rPr>
          <w:rStyle w:val="31"/>
          <w:rFonts w:asciiTheme="minorEastAsia" w:hAnsiTheme="minorEastAsia"/>
        </w:rPr>
        <w:t>6.3  消防设备安装</w:t>
      </w:r>
      <w:r>
        <w:tab/>
      </w:r>
      <w:r>
        <w:fldChar w:fldCharType="begin"/>
      </w:r>
      <w:r>
        <w:instrText xml:space="preserve"> PAGEREF _Toc136869143 \h </w:instrText>
      </w:r>
      <w:r>
        <w:fldChar w:fldCharType="separate"/>
      </w:r>
      <w:r>
        <w:t>130</w:t>
      </w:r>
      <w:r>
        <w:fldChar w:fldCharType="end"/>
      </w:r>
      <w:r>
        <w:fldChar w:fldCharType="end"/>
      </w:r>
    </w:p>
    <w:p>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"_Toc136869144" </w:instrText>
      </w:r>
      <w:r>
        <w:fldChar w:fldCharType="separate"/>
      </w:r>
      <w:r>
        <w:rPr>
          <w:rStyle w:val="31"/>
          <w:rFonts w:asciiTheme="minorEastAsia" w:hAnsiTheme="minorEastAsia"/>
        </w:rPr>
        <w:t>6.4 电动汽车供电设备</w:t>
      </w:r>
      <w:r>
        <w:tab/>
      </w:r>
      <w:r>
        <w:fldChar w:fldCharType="begin"/>
      </w:r>
      <w:r>
        <w:instrText xml:space="preserve"> PAGEREF _Toc136869144 \h </w:instrText>
      </w:r>
      <w:r>
        <w:fldChar w:fldCharType="separate"/>
      </w:r>
      <w:r>
        <w:t>132</w:t>
      </w:r>
      <w:r>
        <w:fldChar w:fldCharType="end"/>
      </w:r>
      <w:r>
        <w:fldChar w:fldCharType="end"/>
      </w:r>
    </w:p>
    <w:p>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"_Toc136869145" </w:instrText>
      </w:r>
      <w:r>
        <w:fldChar w:fldCharType="separate"/>
      </w:r>
      <w:r>
        <w:rPr>
          <w:rStyle w:val="31"/>
          <w:rFonts w:asciiTheme="minorEastAsia" w:hAnsiTheme="minorEastAsia"/>
        </w:rPr>
        <w:t>6.5 其他常用动力设备安装</w:t>
      </w:r>
      <w:r>
        <w:tab/>
      </w:r>
      <w:r>
        <w:fldChar w:fldCharType="begin"/>
      </w:r>
      <w:r>
        <w:instrText xml:space="preserve"> PAGEREF _Toc136869145 \h </w:instrText>
      </w:r>
      <w:r>
        <w:fldChar w:fldCharType="separate"/>
      </w:r>
      <w:r>
        <w:t>132</w:t>
      </w:r>
      <w:r>
        <w:fldChar w:fldCharType="end"/>
      </w:r>
      <w:r>
        <w:fldChar w:fldCharType="end"/>
      </w:r>
    </w:p>
    <w:p>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"_Toc136869146" </w:instrText>
      </w:r>
      <w:r>
        <w:fldChar w:fldCharType="separate"/>
      </w:r>
      <w:r>
        <w:rPr>
          <w:rStyle w:val="31"/>
          <w:rFonts w:asciiTheme="minorEastAsia" w:hAnsiTheme="minorEastAsia"/>
        </w:rPr>
        <w:t>6.6 电气设备试验和试运行</w:t>
      </w:r>
      <w:r>
        <w:tab/>
      </w:r>
      <w:r>
        <w:fldChar w:fldCharType="begin"/>
      </w:r>
      <w:r>
        <w:instrText xml:space="preserve"> PAGEREF _Toc136869146 \h </w:instrText>
      </w:r>
      <w:r>
        <w:fldChar w:fldCharType="separate"/>
      </w:r>
      <w:r>
        <w:t>133</w:t>
      </w:r>
      <w:r>
        <w:fldChar w:fldCharType="end"/>
      </w:r>
      <w:r>
        <w:fldChar w:fldCharType="end"/>
      </w:r>
    </w:p>
    <w:p>
      <w:pPr>
        <w:pStyle w:val="19"/>
        <w:tabs>
          <w:tab w:val="right" w:leader="dot" w:pos="8303"/>
        </w:tabs>
        <w:spacing w:before="120" w:after="120"/>
        <w:rPr>
          <w:rFonts w:eastAsiaTheme="minorEastAsia" w:cstheme="minorBidi"/>
          <w:b w:val="0"/>
          <w:kern w:val="2"/>
          <w:sz w:val="21"/>
        </w:rPr>
      </w:pPr>
      <w:r>
        <w:fldChar w:fldCharType="begin"/>
      </w:r>
      <w:r>
        <w:instrText xml:space="preserve"> HYPERLINK \l "_Toc136869147" </w:instrText>
      </w:r>
      <w:r>
        <w:fldChar w:fldCharType="separate"/>
      </w:r>
      <w:r>
        <w:rPr>
          <w:rStyle w:val="31"/>
        </w:rPr>
        <w:t>7  照明</w:t>
      </w:r>
      <w:r>
        <w:tab/>
      </w:r>
      <w:r>
        <w:fldChar w:fldCharType="begin"/>
      </w:r>
      <w:r>
        <w:instrText xml:space="preserve"> PAGEREF _Toc136869147 \h </w:instrText>
      </w:r>
      <w:r>
        <w:fldChar w:fldCharType="separate"/>
      </w:r>
      <w:r>
        <w:t>134</w:t>
      </w:r>
      <w:r>
        <w:fldChar w:fldCharType="end"/>
      </w:r>
      <w:r>
        <w:fldChar w:fldCharType="end"/>
      </w:r>
    </w:p>
    <w:p>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"_Toc136869148" </w:instrText>
      </w:r>
      <w:r>
        <w:fldChar w:fldCharType="separate"/>
      </w:r>
      <w:r>
        <w:rPr>
          <w:rStyle w:val="31"/>
          <w:rFonts w:asciiTheme="minorEastAsia" w:hAnsiTheme="minorEastAsia"/>
        </w:rPr>
        <w:t>7.1  电气照明装置安装</w:t>
      </w:r>
      <w:r>
        <w:tab/>
      </w:r>
      <w:r>
        <w:fldChar w:fldCharType="begin"/>
      </w:r>
      <w:r>
        <w:instrText xml:space="preserve"> PAGEREF _Toc136869148 \h </w:instrText>
      </w:r>
      <w:r>
        <w:fldChar w:fldCharType="separate"/>
      </w:r>
      <w:r>
        <w:t>134</w:t>
      </w:r>
      <w:r>
        <w:fldChar w:fldCharType="end"/>
      </w:r>
      <w:r>
        <w:fldChar w:fldCharType="end"/>
      </w:r>
    </w:p>
    <w:p>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"_Toc136869149" </w:instrText>
      </w:r>
      <w:r>
        <w:fldChar w:fldCharType="separate"/>
      </w:r>
      <w:r>
        <w:rPr>
          <w:rStyle w:val="31"/>
          <w:rFonts w:asciiTheme="minorEastAsia" w:hAnsiTheme="minorEastAsia"/>
        </w:rPr>
        <w:t>7.3 建筑物通电试运行</w:t>
      </w:r>
      <w:r>
        <w:tab/>
      </w:r>
      <w:r>
        <w:fldChar w:fldCharType="begin"/>
      </w:r>
      <w:r>
        <w:instrText xml:space="preserve"> PAGEREF _Toc136869149 \h </w:instrText>
      </w:r>
      <w:r>
        <w:fldChar w:fldCharType="separate"/>
      </w:r>
      <w:r>
        <w:t>134</w:t>
      </w:r>
      <w:r>
        <w:fldChar w:fldCharType="end"/>
      </w:r>
      <w:r>
        <w:fldChar w:fldCharType="end"/>
      </w:r>
    </w:p>
    <w:p>
      <w:pPr>
        <w:pStyle w:val="19"/>
        <w:tabs>
          <w:tab w:val="right" w:leader="dot" w:pos="8303"/>
        </w:tabs>
        <w:spacing w:before="120" w:after="120"/>
        <w:rPr>
          <w:rFonts w:eastAsiaTheme="minorEastAsia" w:cstheme="minorBidi"/>
          <w:b w:val="0"/>
          <w:kern w:val="2"/>
          <w:sz w:val="21"/>
        </w:rPr>
      </w:pPr>
      <w:r>
        <w:fldChar w:fldCharType="begin"/>
      </w:r>
      <w:r>
        <w:instrText xml:space="preserve"> HYPERLINK \l "_Toc136869150" </w:instrText>
      </w:r>
      <w:r>
        <w:fldChar w:fldCharType="separate"/>
      </w:r>
      <w:r>
        <w:rPr>
          <w:rStyle w:val="31"/>
        </w:rPr>
        <w:t>8  防雷、</w:t>
      </w:r>
      <w:r>
        <w:rPr>
          <w:rStyle w:val="31"/>
          <w:color w:val="000000"/>
        </w:rPr>
        <w:t>接地及</w:t>
      </w:r>
      <w:r>
        <w:rPr>
          <w:rStyle w:val="31"/>
        </w:rPr>
        <w:t>等电位</w:t>
      </w:r>
      <w:r>
        <w:tab/>
      </w:r>
      <w:r>
        <w:fldChar w:fldCharType="begin"/>
      </w:r>
      <w:r>
        <w:instrText xml:space="preserve"> PAGEREF _Toc136869150 \h </w:instrText>
      </w:r>
      <w:r>
        <w:fldChar w:fldCharType="separate"/>
      </w:r>
      <w:r>
        <w:t>135</w:t>
      </w:r>
      <w:r>
        <w:fldChar w:fldCharType="end"/>
      </w:r>
      <w:r>
        <w:fldChar w:fldCharType="end"/>
      </w:r>
    </w:p>
    <w:p>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"_Toc136869151" </w:instrText>
      </w:r>
      <w:r>
        <w:fldChar w:fldCharType="separate"/>
      </w:r>
      <w:r>
        <w:rPr>
          <w:rStyle w:val="31"/>
          <w:rFonts w:asciiTheme="minorEastAsia" w:hAnsiTheme="minorEastAsia"/>
        </w:rPr>
        <w:t>8.1  电气照明装置安装接地装置安装</w:t>
      </w:r>
      <w:r>
        <w:tab/>
      </w:r>
      <w:r>
        <w:fldChar w:fldCharType="begin"/>
      </w:r>
      <w:r>
        <w:instrText xml:space="preserve"> PAGEREF _Toc136869151 \h </w:instrText>
      </w:r>
      <w:r>
        <w:fldChar w:fldCharType="separate"/>
      </w:r>
      <w:r>
        <w:t>135</w:t>
      </w:r>
      <w:r>
        <w:fldChar w:fldCharType="end"/>
      </w:r>
      <w:r>
        <w:fldChar w:fldCharType="end"/>
      </w:r>
    </w:p>
    <w:p>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"_Toc136869152" </w:instrText>
      </w:r>
      <w:r>
        <w:fldChar w:fldCharType="separate"/>
      </w:r>
      <w:r>
        <w:rPr>
          <w:rStyle w:val="31"/>
          <w:rFonts w:asciiTheme="minorEastAsia" w:hAnsiTheme="minorEastAsia"/>
        </w:rPr>
        <w:t>8.3  防雷引下线及接闪器安装</w:t>
      </w:r>
      <w:r>
        <w:tab/>
      </w:r>
      <w:r>
        <w:fldChar w:fldCharType="begin"/>
      </w:r>
      <w:r>
        <w:instrText xml:space="preserve"> PAGEREF _Toc136869152 \h </w:instrText>
      </w:r>
      <w:r>
        <w:fldChar w:fldCharType="separate"/>
      </w:r>
      <w:r>
        <w:t>135</w:t>
      </w:r>
      <w:r>
        <w:fldChar w:fldCharType="end"/>
      </w:r>
      <w:r>
        <w:fldChar w:fldCharType="end"/>
      </w:r>
    </w:p>
    <w:p>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"_Toc136869153" </w:instrText>
      </w:r>
      <w:r>
        <w:fldChar w:fldCharType="separate"/>
      </w:r>
      <w:r>
        <w:rPr>
          <w:rStyle w:val="31"/>
          <w:rFonts w:asciiTheme="minorEastAsia" w:hAnsiTheme="minorEastAsia"/>
        </w:rPr>
        <w:t>8.4 建筑物等电位联结</w:t>
      </w:r>
      <w:r>
        <w:tab/>
      </w:r>
      <w:r>
        <w:fldChar w:fldCharType="begin"/>
      </w:r>
      <w:r>
        <w:instrText xml:space="preserve"> PAGEREF _Toc136869153 \h </w:instrText>
      </w:r>
      <w:r>
        <w:fldChar w:fldCharType="separate"/>
      </w:r>
      <w:r>
        <w:t>136</w:t>
      </w:r>
      <w:r>
        <w:fldChar w:fldCharType="end"/>
      </w:r>
      <w:r>
        <w:fldChar w:fldCharType="end"/>
      </w:r>
    </w:p>
    <w:p>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"_Toc136869154" </w:instrText>
      </w:r>
      <w:r>
        <w:fldChar w:fldCharType="separate"/>
      </w:r>
      <w:r>
        <w:rPr>
          <w:rStyle w:val="31"/>
          <w:rFonts w:asciiTheme="minorEastAsia" w:hAnsiTheme="minorEastAsia"/>
        </w:rPr>
        <w:t>8.5 市政类项目防雷接地安装</w:t>
      </w:r>
      <w:r>
        <w:tab/>
      </w:r>
      <w:r>
        <w:fldChar w:fldCharType="begin"/>
      </w:r>
      <w:r>
        <w:instrText xml:space="preserve"> PAGEREF _Toc136869154 \h </w:instrText>
      </w:r>
      <w:r>
        <w:fldChar w:fldCharType="separate"/>
      </w:r>
      <w:r>
        <w:t>137</w:t>
      </w:r>
      <w:r>
        <w:fldChar w:fldCharType="end"/>
      </w:r>
      <w:r>
        <w:fldChar w:fldCharType="end"/>
      </w:r>
    </w:p>
    <w:p>
      <w:pPr>
        <w:pStyle w:val="22"/>
        <w:tabs>
          <w:tab w:val="right" w:leader="dot" w:pos="8303"/>
        </w:tabs>
        <w:spacing w:before="120" w:after="120"/>
        <w:ind w:firstLine="200"/>
        <w:rPr>
          <w:rFonts w:cstheme="minorBidi"/>
          <w:smallCaps w:val="0"/>
          <w:kern w:val="2"/>
          <w:sz w:val="21"/>
        </w:rPr>
      </w:pPr>
      <w:r>
        <w:fldChar w:fldCharType="begin"/>
      </w:r>
      <w:r>
        <w:instrText xml:space="preserve"> HYPERLINK \l "_Toc136869155" </w:instrText>
      </w:r>
      <w:r>
        <w:fldChar w:fldCharType="separate"/>
      </w:r>
      <w:r>
        <w:rPr>
          <w:rStyle w:val="31"/>
          <w:rFonts w:asciiTheme="minorEastAsia" w:hAnsiTheme="minorEastAsia"/>
        </w:rPr>
        <w:t>8.6 轨道交通类项目防雷接地安装</w:t>
      </w:r>
      <w:r>
        <w:tab/>
      </w:r>
      <w:r>
        <w:fldChar w:fldCharType="begin"/>
      </w:r>
      <w:r>
        <w:instrText xml:space="preserve"> PAGEREF _Toc136869155 \h </w:instrText>
      </w:r>
      <w:r>
        <w:fldChar w:fldCharType="separate"/>
      </w:r>
      <w:r>
        <w:t>137</w:t>
      </w:r>
      <w:r>
        <w:fldChar w:fldCharType="end"/>
      </w:r>
      <w:r>
        <w:fldChar w:fldCharType="end"/>
      </w:r>
    </w:p>
    <w:p>
      <w:r>
        <w:fldChar w:fldCharType="end"/>
      </w:r>
    </w:p>
    <w:p>
      <w:bookmarkStart w:id="250" w:name="_Toc135299499"/>
    </w:p>
    <w:p/>
    <w:p/>
    <w:p/>
    <w:p/>
    <w:p/>
    <w:p/>
    <w:p/>
    <w:p/>
    <w:p/>
    <w:p/>
    <w:p/>
    <w:p/>
    <w:p/>
    <w:p/>
    <w:p/>
    <w:p/>
    <w:p/>
    <w:p/>
    <w:p/>
    <w:p/>
    <w:p/>
    <w:p/>
    <w:p/>
    <w:p/>
    <w:p/>
    <w:p/>
    <w:p/>
    <w:p/>
    <w:p/>
    <w:p/>
    <w:p/>
    <w:p/>
    <w:p/>
    <w:p/>
    <w:p/>
    <w:p/>
    <w:p/>
    <w:p/>
    <w:p/>
    <w:p/>
    <w:p/>
    <w:p/>
    <w:p/>
    <w:p/>
    <w:p/>
    <w:p/>
    <w:p/>
    <w:p/>
    <w:p>
      <w:pPr>
        <w:widowControl/>
        <w:jc w:val="left"/>
      </w:pPr>
      <w:r>
        <w:br w:type="page"/>
      </w:r>
    </w:p>
    <w:p>
      <w:pPr>
        <w:pStyle w:val="78"/>
        <w:spacing w:before="240" w:after="240"/>
        <w:ind w:firstLine="0" w:firstLineChars="0"/>
        <w:rPr>
          <w:bCs w:val="0"/>
        </w:rPr>
      </w:pPr>
      <w:bookmarkStart w:id="251" w:name="_Toc137203421"/>
      <w:bookmarkStart w:id="252" w:name="_Toc137216271"/>
      <w:bookmarkStart w:id="253" w:name="_Toc136869535"/>
      <w:bookmarkStart w:id="254" w:name="_Toc136869119"/>
      <w:r>
        <w:rPr>
          <w:bCs w:val="0"/>
        </w:rPr>
        <w:t xml:space="preserve">1  </w:t>
      </w:r>
      <w:r>
        <w:rPr>
          <w:rFonts w:hint="eastAsia"/>
          <w:bCs w:val="0"/>
        </w:rPr>
        <w:t>总则</w:t>
      </w:r>
      <w:bookmarkEnd w:id="250"/>
      <w:bookmarkEnd w:id="251"/>
      <w:bookmarkEnd w:id="252"/>
      <w:bookmarkEnd w:id="253"/>
      <w:bookmarkEnd w:id="254"/>
    </w:p>
    <w:p>
      <w:pPr>
        <w:spacing w:line="360" w:lineRule="auto"/>
        <w:rPr>
          <w:rFonts w:ascii="宋体" w:hAnsi="宋体" w:cs="宋体"/>
          <w:szCs w:val="21"/>
        </w:rPr>
      </w:pPr>
      <w:r>
        <w:rPr>
          <w:rFonts w:hint="eastAsia" w:ascii="宋体" w:hAnsi="宋体" w:cs="宋体"/>
          <w:b/>
          <w:szCs w:val="21"/>
        </w:rPr>
        <w:t>1</w:t>
      </w:r>
      <w:r>
        <w:rPr>
          <w:rFonts w:ascii="宋体" w:hAnsi="宋体" w:cs="宋体"/>
          <w:b/>
          <w:szCs w:val="21"/>
        </w:rPr>
        <w:t xml:space="preserve">.0.1  </w:t>
      </w:r>
      <w:r>
        <w:rPr>
          <w:rFonts w:hint="eastAsia" w:ascii="宋体" w:hAnsi="宋体" w:cs="宋体"/>
          <w:szCs w:val="21"/>
        </w:rPr>
        <w:t>本条明确了规范制定的目的、遵循的基本原则和要求。</w:t>
      </w:r>
    </w:p>
    <w:p>
      <w:pPr>
        <w:spacing w:line="360" w:lineRule="auto"/>
        <w:rPr>
          <w:rFonts w:ascii="宋体" w:hAnsi="宋体" w:cs="宋体"/>
          <w:szCs w:val="21"/>
        </w:rPr>
      </w:pPr>
      <w:r>
        <w:rPr>
          <w:rFonts w:ascii="宋体" w:hAnsi="宋体" w:cs="宋体"/>
          <w:b/>
          <w:szCs w:val="21"/>
        </w:rPr>
        <w:t xml:space="preserve">1.0.2  </w:t>
      </w:r>
      <w:r>
        <w:rPr>
          <w:rFonts w:hint="eastAsia" w:ascii="宋体" w:hAnsi="宋体" w:cs="宋体"/>
          <w:szCs w:val="21"/>
        </w:rPr>
        <w:t>本条说明了适用范围和适用的电压等级。随着我国国民经济水平的提高，建筑工程的用电量在不断上升，建筑工程中已大量采用</w:t>
      </w:r>
      <w:r>
        <w:rPr>
          <w:rFonts w:hint="eastAsia" w:ascii="宋体" w:hAnsi="宋体" w:cs="宋体"/>
          <w:color w:val="000000"/>
          <w:szCs w:val="21"/>
        </w:rPr>
        <w:t>35</w:t>
      </w:r>
      <w:r>
        <w:rPr>
          <w:rFonts w:hint="eastAsia" w:cs="仿宋" w:asciiTheme="minorEastAsia" w:hAnsiTheme="minorEastAsia" w:eastAsiaTheme="minorEastAsia"/>
          <w:color w:val="000000"/>
          <w:spacing w:val="0"/>
          <w:w w:val="15"/>
          <w:kern w:val="0"/>
          <w:szCs w:val="21"/>
          <w:fitText w:val="42" w:id="1244354836"/>
        </w:rPr>
        <w:t xml:space="preserve">　 </w:t>
      </w:r>
      <w:r>
        <w:rPr>
          <w:rFonts w:hint="eastAsia" w:cs="仿宋" w:asciiTheme="minorEastAsia" w:hAnsiTheme="minorEastAsia" w:eastAsiaTheme="minorEastAsia"/>
          <w:color w:val="000000"/>
          <w:spacing w:val="-17"/>
          <w:w w:val="15"/>
          <w:kern w:val="0"/>
          <w:szCs w:val="21"/>
          <w:fitText w:val="42" w:id="1244354836"/>
        </w:rPr>
        <w:t>　</w:t>
      </w:r>
      <w:r>
        <w:rPr>
          <w:rFonts w:hint="eastAsia" w:ascii="宋体" w:hAnsi="宋体" w:cs="宋体"/>
          <w:color w:val="000000"/>
          <w:szCs w:val="21"/>
        </w:rPr>
        <w:t>kV</w:t>
      </w:r>
      <w:r>
        <w:rPr>
          <w:rFonts w:hint="eastAsia" w:ascii="宋体" w:hAnsi="宋体" w:cs="宋体"/>
          <w:szCs w:val="21"/>
        </w:rPr>
        <w:t>电压等级的变配电设备，因此将电压等级规定为</w:t>
      </w:r>
      <w:r>
        <w:rPr>
          <w:rFonts w:hint="eastAsia" w:ascii="宋体" w:hAnsi="宋体" w:cs="宋体"/>
          <w:color w:val="000000"/>
          <w:szCs w:val="21"/>
        </w:rPr>
        <w:t>35</w:t>
      </w:r>
      <w:r>
        <w:rPr>
          <w:rFonts w:hint="eastAsia" w:cs="仿宋" w:asciiTheme="minorEastAsia" w:hAnsiTheme="minorEastAsia" w:eastAsiaTheme="minorEastAsia"/>
          <w:color w:val="000000"/>
          <w:spacing w:val="0"/>
          <w:w w:val="15"/>
          <w:kern w:val="0"/>
          <w:szCs w:val="21"/>
          <w:fitText w:val="42" w:id="1993346187"/>
        </w:rPr>
        <w:t xml:space="preserve">　 </w:t>
      </w:r>
      <w:r>
        <w:rPr>
          <w:rFonts w:hint="eastAsia" w:cs="仿宋" w:asciiTheme="minorEastAsia" w:hAnsiTheme="minorEastAsia" w:eastAsiaTheme="minorEastAsia"/>
          <w:color w:val="000000"/>
          <w:spacing w:val="-17"/>
          <w:w w:val="15"/>
          <w:kern w:val="0"/>
          <w:szCs w:val="21"/>
          <w:fitText w:val="42" w:id="1993346187"/>
        </w:rPr>
        <w:t>　</w:t>
      </w:r>
      <w:r>
        <w:rPr>
          <w:rFonts w:hint="eastAsia" w:ascii="宋体" w:hAnsi="宋体" w:cs="宋体"/>
          <w:color w:val="000000"/>
          <w:szCs w:val="21"/>
        </w:rPr>
        <w:t>kV</w:t>
      </w:r>
      <w:r>
        <w:rPr>
          <w:rFonts w:hint="eastAsia" w:ascii="宋体" w:hAnsi="宋体" w:cs="宋体"/>
          <w:szCs w:val="21"/>
        </w:rPr>
        <w:t>。</w:t>
      </w:r>
    </w:p>
    <w:p>
      <w:pPr>
        <w:spacing w:line="360" w:lineRule="auto"/>
        <w:rPr>
          <w:rFonts w:ascii="宋体" w:hAnsi="宋体" w:cs="宋体"/>
          <w:b/>
          <w:iCs/>
          <w:szCs w:val="21"/>
        </w:rPr>
      </w:pPr>
      <w:r>
        <w:rPr>
          <w:rFonts w:hint="eastAsia" w:ascii="宋体" w:hAnsi="宋体" w:cs="宋体"/>
          <w:b/>
          <w:szCs w:val="21"/>
        </w:rPr>
        <w:t>1</w:t>
      </w:r>
      <w:r>
        <w:rPr>
          <w:rFonts w:ascii="宋体" w:hAnsi="宋体" w:cs="宋体"/>
          <w:b/>
          <w:szCs w:val="21"/>
        </w:rPr>
        <w:t xml:space="preserve">.0.3 </w:t>
      </w:r>
      <w:r>
        <w:rPr>
          <w:rFonts w:ascii="宋体" w:hAnsi="宋体" w:cs="宋体"/>
          <w:szCs w:val="21"/>
        </w:rPr>
        <w:t xml:space="preserve"> </w:t>
      </w:r>
      <w:r>
        <w:rPr>
          <w:rFonts w:hint="eastAsia" w:ascii="宋体" w:hAnsi="宋体" w:cs="宋体"/>
          <w:szCs w:val="21"/>
        </w:rPr>
        <w:t>本条规定有两层含义：第一，虽然制订规范时，已注意到相关法律、法规、技术标准和管理标准的有关规定，使之不违反且协调一致，但不可能全部反映出来，尤其是国家颁发的产品制造技术标准、技术条件中，对安装、试验和使用要求部分，更是不可能全部、完整反映。所以制订本规范时，已注意到这个情况，对新产品安装、新技术应用的施工质量验收作了比较灵活的描述。第二，随着经济发展和技术进步的加快，新的生产力发展迅猛。自我国加入世贸组织以来，经济、技术管理更趋向于国际化，与规范相关的法律、法规、技术标准和管理标准更迭或修正已趋于常态化，本规范也在所难免，这层含义是说明要有动态观念，密切注意变化，能及时顺利执行本规范，尤其在产品质量的验收上应符合国家现行有关标准的规定。</w:t>
      </w:r>
      <w:r>
        <w:rPr>
          <w:rFonts w:hint="eastAsia" w:ascii="宋体" w:hAnsi="宋体" w:cs="宋体"/>
          <w:b/>
          <w:iCs/>
          <w:szCs w:val="21"/>
        </w:rPr>
        <w:t xml:space="preserve"> </w:t>
      </w:r>
    </w:p>
    <w:p>
      <w:pPr>
        <w:widowControl/>
        <w:jc w:val="left"/>
        <w:rPr>
          <w:b/>
          <w:kern w:val="0"/>
          <w:sz w:val="28"/>
          <w:szCs w:val="28"/>
        </w:rPr>
      </w:pPr>
      <w:bookmarkStart w:id="255" w:name="_Toc136869120"/>
      <w:bookmarkStart w:id="256" w:name="_Toc136869536"/>
      <w:bookmarkStart w:id="257" w:name="_Toc135299503"/>
      <w:r>
        <w:rPr>
          <w:bCs/>
        </w:rPr>
        <w:br w:type="page"/>
      </w:r>
    </w:p>
    <w:p>
      <w:pPr>
        <w:pStyle w:val="78"/>
        <w:spacing w:before="240" w:after="240"/>
        <w:ind w:firstLine="0" w:firstLineChars="0"/>
        <w:rPr>
          <w:bCs w:val="0"/>
        </w:rPr>
      </w:pPr>
      <w:bookmarkStart w:id="258" w:name="_Toc137203422"/>
      <w:bookmarkStart w:id="259" w:name="_Toc137216272"/>
      <w:r>
        <w:rPr>
          <w:rFonts w:hint="eastAsia"/>
          <w:bCs w:val="0"/>
        </w:rPr>
        <w:t>3</w:t>
      </w:r>
      <w:r>
        <w:rPr>
          <w:bCs w:val="0"/>
        </w:rPr>
        <w:t xml:space="preserve">  </w:t>
      </w:r>
      <w:r>
        <w:rPr>
          <w:rFonts w:hint="eastAsia"/>
          <w:bCs w:val="0"/>
        </w:rPr>
        <w:t>基本规定</w:t>
      </w:r>
      <w:bookmarkEnd w:id="255"/>
      <w:bookmarkEnd w:id="256"/>
      <w:bookmarkEnd w:id="257"/>
      <w:bookmarkEnd w:id="258"/>
      <w:bookmarkEnd w:id="259"/>
    </w:p>
    <w:p>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260" w:name="_Toc137203423"/>
      <w:bookmarkStart w:id="261" w:name="_Toc136869537"/>
      <w:bookmarkStart w:id="262" w:name="_Toc135299504"/>
      <w:bookmarkStart w:id="263" w:name="_Toc136869121"/>
      <w:bookmarkStart w:id="264" w:name="_Toc137216273"/>
      <w:r>
        <w:rPr>
          <w:rFonts w:hint="eastAsia" w:asciiTheme="minorEastAsia" w:hAnsiTheme="minorEastAsia" w:eastAsiaTheme="minorEastAsia"/>
          <w:sz w:val="24"/>
          <w:szCs w:val="24"/>
        </w:rPr>
        <w:t>3</w:t>
      </w:r>
      <w:r>
        <w:rPr>
          <w:rFonts w:asciiTheme="minorEastAsia" w:hAnsiTheme="minorEastAsia" w:eastAsiaTheme="minorEastAsia"/>
          <w:sz w:val="24"/>
          <w:szCs w:val="24"/>
        </w:rPr>
        <w:t xml:space="preserve">.1  </w:t>
      </w:r>
      <w:r>
        <w:rPr>
          <w:rFonts w:hint="eastAsia" w:asciiTheme="minorEastAsia" w:hAnsiTheme="minorEastAsia" w:eastAsiaTheme="minorEastAsia"/>
          <w:sz w:val="24"/>
          <w:szCs w:val="24"/>
        </w:rPr>
        <w:t>一般规定</w:t>
      </w:r>
      <w:bookmarkEnd w:id="260"/>
      <w:bookmarkEnd w:id="261"/>
      <w:bookmarkEnd w:id="262"/>
      <w:bookmarkEnd w:id="263"/>
      <w:bookmarkEnd w:id="264"/>
    </w:p>
    <w:p>
      <w:pPr>
        <w:spacing w:line="360" w:lineRule="auto"/>
        <w:rPr>
          <w:rFonts w:ascii="宋体" w:hAnsi="宋体" w:cs="宋体"/>
          <w:szCs w:val="21"/>
        </w:rPr>
      </w:pPr>
      <w:r>
        <w:rPr>
          <w:rFonts w:ascii="宋体" w:hAnsi="宋体" w:cs="宋体"/>
          <w:b/>
          <w:bCs/>
          <w:szCs w:val="21"/>
        </w:rPr>
        <w:t>3.</w:t>
      </w:r>
      <w:r>
        <w:rPr>
          <w:rFonts w:hint="eastAsia" w:ascii="宋体" w:hAnsi="宋体" w:cs="宋体"/>
          <w:b/>
          <w:bCs/>
          <w:szCs w:val="21"/>
        </w:rPr>
        <w:t>1</w:t>
      </w:r>
      <w:r>
        <w:rPr>
          <w:rFonts w:ascii="宋体" w:hAnsi="宋体" w:cs="宋体"/>
          <w:b/>
          <w:bCs/>
          <w:szCs w:val="21"/>
        </w:rPr>
        <w:t xml:space="preserve">.5  </w:t>
      </w:r>
      <w:r>
        <w:rPr>
          <w:rFonts w:hint="eastAsia" w:ascii="宋体" w:hAnsi="宋体" w:cs="宋体"/>
          <w:szCs w:val="21"/>
        </w:rPr>
        <w:t>建筑电气动力工程的空载试运行，是指通电，不带负载；照明工程一般不做空载试运行，通电试灯即为负荷试运行。动力工程的空载试运行则有两层含义，一是电动机或其他电动执行机构等与建筑设备脱离，无机械上的连接单独通电运转，这对电气线路、开关、保护系统等是有载的，不过负荷很小，而电动机或其他电动执行机构等是空载的；二是电动机或其他电动执行机构等与建筑设备相连接，通电运转，但建筑设备既不输入，也不输出，如泵不打水，空压机不输气等。这时建筑设备处于空载状态，如建筑设备有输入输出，则就成为负荷试运行，本规范指的负荷试运行就是建筑设备有输入输出情况下的试运行。</w:t>
      </w:r>
    </w:p>
    <w:p>
      <w:pPr>
        <w:pStyle w:val="41"/>
        <w:spacing w:line="360" w:lineRule="auto"/>
        <w:ind w:firstLine="0" w:firstLineChars="0"/>
        <w:rPr>
          <w:rFonts w:ascii="宋体" w:hAnsi="宋体" w:cs="宋体"/>
          <w:szCs w:val="21"/>
        </w:rPr>
      </w:pPr>
      <w:r>
        <w:rPr>
          <w:rFonts w:hint="eastAsia" w:ascii="宋体" w:hAnsi="宋体" w:cs="宋体"/>
          <w:b/>
          <w:bCs/>
          <w:szCs w:val="21"/>
        </w:rPr>
        <w:t>3</w:t>
      </w:r>
      <w:r>
        <w:rPr>
          <w:rFonts w:ascii="宋体" w:hAnsi="宋体" w:cs="宋体"/>
          <w:b/>
          <w:bCs/>
          <w:szCs w:val="21"/>
        </w:rPr>
        <w:t xml:space="preserve">.1.6  </w:t>
      </w:r>
      <w:r>
        <w:rPr>
          <w:rFonts w:hint="eastAsia" w:ascii="宋体" w:hAnsi="宋体" w:cs="宋体"/>
          <w:szCs w:val="21"/>
        </w:rPr>
        <w:t>交接试验包括高压的电气设备、高压的布线系统以及继电保护系统。继电保护系统包括二次接线部分。高压的电气设备、布线系统以及继电保护系统，在建筑电气工程中是电力供应的高压终端，在投入运行前必须做交接试验。值得注意的是，由于技术进步设备制造技术标准更新、进口设备的引进，交接试验标准也会随着修订完善，应密切注意试验标准的更新，并应符合现行国家标准《电气装置安装工程 电气设备交接试验标准》GB 50150 的规定。</w:t>
      </w:r>
    </w:p>
    <w:p>
      <w:pPr>
        <w:pStyle w:val="41"/>
        <w:spacing w:line="360" w:lineRule="auto"/>
        <w:ind w:firstLine="0" w:firstLineChars="0"/>
        <w:rPr>
          <w:rFonts w:ascii="宋体" w:hAnsi="宋体" w:cs="宋体"/>
          <w:szCs w:val="21"/>
        </w:rPr>
      </w:pPr>
      <w:r>
        <w:rPr>
          <w:rFonts w:ascii="宋体" w:hAnsi="宋体" w:cs="宋体"/>
          <w:b/>
          <w:bCs/>
          <w:szCs w:val="21"/>
        </w:rPr>
        <w:t xml:space="preserve">3.1.7  </w:t>
      </w:r>
      <w:r>
        <w:rPr>
          <w:rFonts w:hint="eastAsia" w:ascii="宋体" w:hAnsi="宋体" w:cs="宋体"/>
          <w:szCs w:val="21"/>
        </w:rPr>
        <w:t>为保证电气设备的预期使用和运行安全考虑，低压和特低 压的电气设备和布线系统运行前应进行检测或交接试验，其检测 或交接试验要求在各分项工程中</w:t>
      </w:r>
      <w:r>
        <w:rPr>
          <w:rFonts w:hint="eastAsia"/>
        </w:rPr>
        <w:t>已</w:t>
      </w:r>
      <w:r>
        <w:rPr>
          <w:rFonts w:hint="eastAsia" w:ascii="宋体" w:hAnsi="宋体" w:cs="宋体"/>
          <w:szCs w:val="21"/>
        </w:rPr>
        <w:t>作了补充规定。</w:t>
      </w:r>
    </w:p>
    <w:p>
      <w:pPr>
        <w:pStyle w:val="41"/>
        <w:spacing w:line="360" w:lineRule="auto"/>
        <w:ind w:firstLine="0" w:firstLineChars="0"/>
        <w:rPr>
          <w:rFonts w:ascii="宋体" w:hAnsi="宋体" w:cs="宋体"/>
          <w:szCs w:val="21"/>
        </w:rPr>
      </w:pPr>
      <w:r>
        <w:rPr>
          <w:rFonts w:hint="eastAsia" w:ascii="宋体" w:hAnsi="宋体" w:cs="宋体"/>
          <w:b/>
          <w:bCs/>
          <w:szCs w:val="21"/>
        </w:rPr>
        <w:t>3</w:t>
      </w:r>
      <w:r>
        <w:rPr>
          <w:rFonts w:ascii="宋体" w:hAnsi="宋体" w:cs="宋体"/>
          <w:b/>
          <w:bCs/>
          <w:szCs w:val="21"/>
        </w:rPr>
        <w:t xml:space="preserve">.1.8  </w:t>
      </w:r>
      <w:r>
        <w:rPr>
          <w:rFonts w:hint="eastAsia" w:ascii="宋体" w:hAnsi="宋体" w:cs="宋体"/>
          <w:szCs w:val="21"/>
        </w:rPr>
        <w:t>电气设备的外露可导电部分应与保护导体单独连接，也就是要求与保护导体直接连接，本规范所涉及的电气设备的外露可导电部分与保护导体的连接均应符合本条规定。要求电气设备的外露可导电部分单独与保护导体相连接是确保电气设备安全运行的条件，需要强调的是，单独连接也就是要求不得串联连接，而是要求与保护导体干线连接。施工时应首先确认与电气设备连接的保护导体应为保护导体干线，在建筑物设备层等电气设备集中的场所，有可能选用断面为矩形的钢或铜母线做接地干线，可在其上钻孔后，将每个电气设备的接地线与钢或铜母线接地干线直接连接，电气设备移位或维修拆卸都不会使钢或铜母线接地干线中断电气连通。同样情况，建筑工程中的每一插座（灯 具）回路的保护接地导体（ PE）在插座（灯具）接线盒内也不应剪断与插座（灯具）连接，当然末端插座（灯具）的保护接地导体（PE ）连 接时是要剪断的。连接导体的材质、截面积设计是根据电气设备 的技术参数、所处的不同环境和条件进行计算和选择的，施工时应严格按设计要求执行。</w:t>
      </w:r>
    </w:p>
    <w:p>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265" w:name="_Toc136869538"/>
      <w:bookmarkStart w:id="266" w:name="_Toc137203424"/>
      <w:bookmarkStart w:id="267" w:name="_Toc135299505"/>
      <w:bookmarkStart w:id="268" w:name="_Toc137216274"/>
      <w:bookmarkStart w:id="269" w:name="_Toc136869122"/>
      <w:r>
        <w:rPr>
          <w:rFonts w:hint="eastAsia" w:asciiTheme="minorEastAsia" w:hAnsiTheme="minorEastAsia" w:eastAsiaTheme="minorEastAsia"/>
          <w:sz w:val="24"/>
          <w:szCs w:val="24"/>
        </w:rPr>
        <w:t>3</w:t>
      </w:r>
      <w:r>
        <w:rPr>
          <w:rFonts w:asciiTheme="minorEastAsia" w:hAnsiTheme="minorEastAsia" w:eastAsiaTheme="minorEastAsia"/>
          <w:sz w:val="24"/>
          <w:szCs w:val="24"/>
        </w:rPr>
        <w:t xml:space="preserve">.2  </w:t>
      </w:r>
      <w:r>
        <w:rPr>
          <w:rFonts w:hint="eastAsia" w:asciiTheme="minorEastAsia" w:hAnsiTheme="minorEastAsia" w:eastAsiaTheme="minorEastAsia"/>
          <w:sz w:val="24"/>
          <w:szCs w:val="24"/>
        </w:rPr>
        <w:t>主要设备、材料、成品和半成品进场验收</w:t>
      </w:r>
      <w:bookmarkEnd w:id="265"/>
      <w:bookmarkEnd w:id="266"/>
      <w:bookmarkEnd w:id="267"/>
      <w:bookmarkEnd w:id="268"/>
      <w:bookmarkEnd w:id="269"/>
    </w:p>
    <w:p>
      <w:pPr>
        <w:pStyle w:val="41"/>
        <w:spacing w:line="360" w:lineRule="auto"/>
        <w:ind w:firstLine="0" w:firstLineChars="0"/>
        <w:rPr>
          <w:rFonts w:ascii="宋体" w:hAnsi="宋体" w:cs="宋体"/>
          <w:szCs w:val="21"/>
        </w:rPr>
      </w:pPr>
      <w:r>
        <w:rPr>
          <w:rFonts w:hint="eastAsia" w:ascii="宋体" w:hAnsi="宋体" w:cs="宋体"/>
          <w:b/>
          <w:bCs/>
          <w:szCs w:val="21"/>
        </w:rPr>
        <w:t>3</w:t>
      </w:r>
      <w:r>
        <w:rPr>
          <w:rFonts w:ascii="宋体" w:hAnsi="宋体" w:cs="宋体"/>
          <w:b/>
          <w:bCs/>
          <w:szCs w:val="21"/>
        </w:rPr>
        <w:t>.2.1</w:t>
      </w:r>
      <w:r>
        <w:rPr>
          <w:rFonts w:hint="eastAsia" w:ascii="宋体" w:hAnsi="宋体" w:cs="宋体"/>
          <w:b/>
          <w:bCs/>
          <w:szCs w:val="21"/>
        </w:rPr>
        <w:t xml:space="preserve"> </w:t>
      </w:r>
      <w:r>
        <w:rPr>
          <w:rFonts w:ascii="宋体" w:hAnsi="宋体" w:cs="宋体"/>
          <w:b/>
          <w:bCs/>
          <w:szCs w:val="21"/>
        </w:rPr>
        <w:t xml:space="preserve"> </w:t>
      </w:r>
      <w:r>
        <w:rPr>
          <w:rFonts w:hint="eastAsia" w:ascii="宋体" w:hAnsi="宋体" w:cs="宋体"/>
          <w:szCs w:val="21"/>
        </w:rPr>
        <w:t>新型电气设备、器具、材料随着技术进步和创新，必然会不断涌现而被积极推广应用。正因为新型，认知的人少，也必然有新的安装技术要求和使用维修保养的特定规定。为使新型设备、器具、材料顺利进入市场，故作出本条规定。</w:t>
      </w:r>
    </w:p>
    <w:p>
      <w:pPr>
        <w:pStyle w:val="41"/>
        <w:spacing w:line="360" w:lineRule="auto"/>
        <w:rPr>
          <w:rFonts w:ascii="宋体" w:hAnsi="宋体" w:cs="宋体"/>
          <w:szCs w:val="21"/>
        </w:rPr>
      </w:pPr>
      <w:r>
        <w:rPr>
          <w:rFonts w:hint="eastAsia" w:ascii="宋体" w:hAnsi="宋体" w:cs="宋体"/>
          <w:szCs w:val="21"/>
        </w:rPr>
        <w:t>现场抽样检测</w:t>
      </w:r>
      <w:r>
        <w:rPr>
          <w:rFonts w:ascii="宋体" w:hAnsi="宋体" w:cs="宋体"/>
          <w:szCs w:val="21"/>
        </w:rPr>
        <w:t>：</w:t>
      </w:r>
      <w:r>
        <w:rPr>
          <w:rFonts w:hint="eastAsia" w:ascii="宋体" w:hAnsi="宋体" w:cs="宋体"/>
          <w:szCs w:val="21"/>
        </w:rPr>
        <w:t>对于</w:t>
      </w:r>
      <w:r>
        <w:rPr>
          <w:rFonts w:hint="eastAsia" w:ascii="宋体" w:hAnsi="宋体" w:cs="宋体"/>
          <w:szCs w:val="21"/>
          <w:lang w:eastAsia="zh-Hans"/>
        </w:rPr>
        <w:t>管线类材料</w:t>
      </w:r>
      <w:r>
        <w:rPr>
          <w:rFonts w:hint="eastAsia" w:ascii="宋体" w:hAnsi="宋体" w:cs="宋体"/>
          <w:szCs w:val="21"/>
        </w:rPr>
        <w:t>，同厂家、同批次、同型号、同规格的，每批至少抽取1个样本；对于</w:t>
      </w:r>
      <w:r>
        <w:rPr>
          <w:rFonts w:hint="eastAsia" w:ascii="宋体" w:hAnsi="宋体" w:cs="宋体"/>
          <w:szCs w:val="21"/>
          <w:lang w:eastAsia="zh-Hans"/>
        </w:rPr>
        <w:t>照明类</w:t>
      </w:r>
      <w:r>
        <w:rPr>
          <w:rFonts w:hint="eastAsia" w:ascii="宋体" w:hAnsi="宋体" w:cs="宋体"/>
          <w:color w:val="000000"/>
          <w:szCs w:val="21"/>
        </w:rPr>
        <w:t>电器设备</w:t>
      </w:r>
      <w:r>
        <w:rPr>
          <w:rFonts w:hint="eastAsia" w:ascii="宋体" w:hAnsi="宋体" w:cs="宋体"/>
          <w:szCs w:val="21"/>
        </w:rPr>
        <w:t>，同厂家、同材质、同类型的，应各抽检3%，自带蓄电池的灯具应按5%抽检，且均不应少于1个（套）。</w:t>
      </w:r>
    </w:p>
    <w:p>
      <w:pPr>
        <w:pStyle w:val="41"/>
        <w:spacing w:line="360" w:lineRule="auto"/>
        <w:rPr>
          <w:rFonts w:ascii="宋体" w:hAnsi="宋体" w:cs="宋体"/>
          <w:szCs w:val="21"/>
        </w:rPr>
      </w:pPr>
      <w:r>
        <w:rPr>
          <w:rFonts w:hint="eastAsia" w:ascii="宋体" w:hAnsi="宋体" w:cs="宋体"/>
          <w:szCs w:val="21"/>
        </w:rPr>
        <w:t>因有异议送有资质的试验室而抽样检测：对于</w:t>
      </w:r>
      <w:r>
        <w:rPr>
          <w:rFonts w:hint="eastAsia" w:ascii="宋体" w:hAnsi="宋体" w:cs="宋体"/>
          <w:szCs w:val="21"/>
          <w:lang w:eastAsia="zh-Hans"/>
        </w:rPr>
        <w:t>管线类材料</w:t>
      </w:r>
      <w:r>
        <w:rPr>
          <w:rFonts w:hint="eastAsia" w:ascii="宋体" w:hAnsi="宋体" w:cs="宋体"/>
          <w:szCs w:val="21"/>
        </w:rPr>
        <w:t>，同厂家、同批次、不同规格的，应抽检10%，且不少于2个规格；对于</w:t>
      </w:r>
      <w:r>
        <w:rPr>
          <w:rFonts w:hint="eastAsia" w:ascii="宋体" w:hAnsi="宋体" w:cs="宋体"/>
          <w:szCs w:val="21"/>
          <w:lang w:eastAsia="zh-Hans"/>
        </w:rPr>
        <w:t>照明类</w:t>
      </w:r>
      <w:r>
        <w:rPr>
          <w:rFonts w:hint="eastAsia" w:ascii="宋体" w:hAnsi="宋体" w:cs="宋体"/>
          <w:color w:val="000000"/>
          <w:szCs w:val="21"/>
        </w:rPr>
        <w:t>电器设备</w:t>
      </w:r>
      <w:r>
        <w:rPr>
          <w:rFonts w:hint="eastAsia" w:ascii="宋体" w:hAnsi="宋体" w:cs="宋体"/>
          <w:szCs w:val="21"/>
        </w:rPr>
        <w:t>，同厂家、同材质、同类型的，数量500个（套）及以下时应抽检2个（套），但应各不少于1个（套），500个（套）以上时，应抽检3个（套）。</w:t>
      </w:r>
    </w:p>
    <w:p>
      <w:pPr>
        <w:pStyle w:val="41"/>
        <w:spacing w:line="360" w:lineRule="auto"/>
        <w:ind w:firstLine="0" w:firstLineChars="0"/>
        <w:rPr>
          <w:rFonts w:ascii="宋体" w:hAnsi="宋体" w:cs="宋体"/>
          <w:szCs w:val="21"/>
        </w:rPr>
      </w:pPr>
      <w:r>
        <w:rPr>
          <w:rFonts w:hint="eastAsia" w:ascii="宋体" w:hAnsi="宋体" w:cs="宋体"/>
          <w:b/>
          <w:bCs/>
          <w:szCs w:val="21"/>
        </w:rPr>
        <w:t>3</w:t>
      </w:r>
      <w:r>
        <w:rPr>
          <w:rFonts w:ascii="宋体" w:hAnsi="宋体" w:cs="宋体"/>
          <w:b/>
          <w:bCs/>
          <w:szCs w:val="21"/>
        </w:rPr>
        <w:t xml:space="preserve">.2.2  </w:t>
      </w:r>
      <w:r>
        <w:rPr>
          <w:rFonts w:hint="eastAsia" w:ascii="宋体" w:hAnsi="宋体" w:cs="宋体"/>
          <w:szCs w:val="21"/>
        </w:rPr>
        <w:t>土建和安装的工序交接，只有验收合格，才能开展安装工作，验收时依据设计图纸核对形位尺寸，并对是否可以安装做出判断。</w:t>
      </w:r>
    </w:p>
    <w:p>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270" w:name="_Toc136869539"/>
      <w:bookmarkStart w:id="271" w:name="_Toc135299506"/>
      <w:bookmarkStart w:id="272" w:name="_Toc137203425"/>
      <w:bookmarkStart w:id="273" w:name="_Toc136869123"/>
      <w:bookmarkStart w:id="274" w:name="_Toc137216275"/>
      <w:r>
        <w:rPr>
          <w:rFonts w:hint="eastAsia" w:asciiTheme="minorEastAsia" w:hAnsiTheme="minorEastAsia" w:eastAsiaTheme="minorEastAsia"/>
          <w:sz w:val="24"/>
          <w:szCs w:val="24"/>
        </w:rPr>
        <w:t>3</w:t>
      </w:r>
      <w:r>
        <w:rPr>
          <w:rFonts w:asciiTheme="minorEastAsia" w:hAnsiTheme="minorEastAsia" w:eastAsiaTheme="minorEastAsia"/>
          <w:sz w:val="24"/>
          <w:szCs w:val="24"/>
        </w:rPr>
        <w:t xml:space="preserve">.3  </w:t>
      </w:r>
      <w:r>
        <w:rPr>
          <w:rFonts w:hint="eastAsia" w:asciiTheme="minorEastAsia" w:hAnsiTheme="minorEastAsia" w:eastAsiaTheme="minorEastAsia"/>
          <w:sz w:val="24"/>
          <w:szCs w:val="24"/>
        </w:rPr>
        <w:t>工序交接确认</w:t>
      </w:r>
      <w:bookmarkEnd w:id="270"/>
      <w:bookmarkEnd w:id="271"/>
      <w:bookmarkEnd w:id="272"/>
      <w:bookmarkEnd w:id="273"/>
      <w:bookmarkEnd w:id="274"/>
    </w:p>
    <w:p>
      <w:pPr>
        <w:pStyle w:val="41"/>
        <w:spacing w:line="360" w:lineRule="auto"/>
        <w:ind w:firstLine="0" w:firstLineChars="0"/>
        <w:rPr>
          <w:rFonts w:ascii="宋体" w:hAnsi="宋体" w:cs="宋体"/>
          <w:szCs w:val="21"/>
        </w:rPr>
      </w:pPr>
      <w:r>
        <w:rPr>
          <w:rFonts w:hint="eastAsia" w:ascii="宋体" w:hAnsi="宋体" w:cs="宋体"/>
          <w:b/>
          <w:bCs/>
          <w:szCs w:val="21"/>
        </w:rPr>
        <w:t>3</w:t>
      </w:r>
      <w:r>
        <w:rPr>
          <w:rFonts w:ascii="宋体" w:hAnsi="宋体" w:cs="宋体"/>
          <w:b/>
          <w:bCs/>
          <w:szCs w:val="21"/>
        </w:rPr>
        <w:t xml:space="preserve">.3.1  </w:t>
      </w:r>
      <w:r>
        <w:rPr>
          <w:rFonts w:hint="eastAsia" w:ascii="宋体" w:hAnsi="宋体" w:cs="宋体"/>
          <w:szCs w:val="21"/>
        </w:rPr>
        <w:t>土建和安装的工序交接，只有验收合格，才能开展安装工作，验收时依据设计图纸核对形位尺寸，并对是否可以安装做出判断。</w:t>
      </w:r>
    </w:p>
    <w:p>
      <w:pPr>
        <w:pStyle w:val="41"/>
        <w:spacing w:line="360" w:lineRule="auto"/>
        <w:ind w:firstLine="0" w:firstLineChars="0"/>
        <w:rPr>
          <w:rFonts w:ascii="宋体" w:hAnsi="宋体" w:cs="宋体"/>
          <w:szCs w:val="21"/>
        </w:rPr>
      </w:pPr>
      <w:r>
        <w:rPr>
          <w:rFonts w:hint="eastAsia" w:ascii="宋体" w:hAnsi="宋体" w:cs="宋体"/>
          <w:b/>
          <w:bCs/>
          <w:szCs w:val="21"/>
        </w:rPr>
        <w:t>3</w:t>
      </w:r>
      <w:r>
        <w:rPr>
          <w:rFonts w:ascii="宋体" w:hAnsi="宋体" w:cs="宋体"/>
          <w:b/>
          <w:bCs/>
          <w:szCs w:val="21"/>
        </w:rPr>
        <w:t xml:space="preserve">.3.2  </w:t>
      </w:r>
      <w:r>
        <w:rPr>
          <w:rFonts w:hint="eastAsia" w:ascii="宋体" w:hAnsi="宋体" w:cs="宋体"/>
          <w:szCs w:val="21"/>
        </w:rPr>
        <w:t>明确现浇混凝土楼板内钢筋绑扎与电气配管的关系是电气安装与建筑工程土建施工合理衔接的工序，这样做可以既保证钢筋质量，又保证电气配管质量。</w:t>
      </w:r>
    </w:p>
    <w:p>
      <w:pPr>
        <w:pStyle w:val="41"/>
        <w:spacing w:line="360" w:lineRule="auto"/>
        <w:rPr>
          <w:rFonts w:ascii="宋体" w:hAnsi="宋体" w:cs="宋体"/>
          <w:szCs w:val="21"/>
        </w:rPr>
      </w:pPr>
      <w:r>
        <w:rPr>
          <w:rFonts w:hint="eastAsia" w:ascii="宋体" w:hAnsi="宋体" w:cs="宋体"/>
          <w:szCs w:val="21"/>
        </w:rPr>
        <w:t>支架安装、预埋套管、预留孔及相关预埋件的预埋预留是合理的施工工序，如反过来进行施工，不仅导致电缆梯架、托盘和槽盒损坏，而且要用大量的临时支撑，也是极不经济。</w:t>
      </w:r>
    </w:p>
    <w:p>
      <w:pPr>
        <w:pStyle w:val="41"/>
        <w:spacing w:line="360" w:lineRule="auto"/>
        <w:rPr>
          <w:rFonts w:ascii="宋体" w:hAnsi="宋体" w:cs="宋体"/>
          <w:szCs w:val="21"/>
        </w:rPr>
      </w:pPr>
      <w:r>
        <w:rPr>
          <w:rFonts w:hint="eastAsia" w:ascii="宋体" w:hAnsi="宋体" w:cs="宋体"/>
          <w:szCs w:val="21"/>
        </w:rPr>
        <w:t>母线槽外壳比管道（包括有些风管在内）强度要差一些，所以各</w:t>
      </w:r>
      <w:r>
        <w:rPr>
          <w:rFonts w:hint="eastAsia" w:ascii="宋体" w:hAnsi="宋体" w:cs="宋体"/>
          <w:color w:val="000000"/>
          <w:szCs w:val="21"/>
        </w:rPr>
        <w:t>专业安装</w:t>
      </w:r>
      <w:r>
        <w:rPr>
          <w:rFonts w:hint="eastAsia" w:ascii="宋体" w:hAnsi="宋体" w:cs="宋体"/>
          <w:szCs w:val="21"/>
        </w:rPr>
        <w:t>的程序安排上，各种管道应先装、母线槽后装。母线槽是分段供货，现场组对连接，完成后要检查总体交流工频耐压水平和绝缘程度，为了能顺利通过最终检验，防患于未然，所以安装前要对各段母线进行绝缘检查，包括各相对地和相间绝缘检查。</w:t>
      </w:r>
    </w:p>
    <w:p>
      <w:pPr>
        <w:pStyle w:val="41"/>
        <w:spacing w:line="360" w:lineRule="auto"/>
        <w:ind w:firstLine="0" w:firstLineChars="0"/>
        <w:rPr>
          <w:rFonts w:ascii="宋体" w:hAnsi="宋体" w:cs="宋体"/>
          <w:szCs w:val="21"/>
        </w:rPr>
      </w:pPr>
      <w:r>
        <w:rPr>
          <w:rFonts w:hint="eastAsia" w:ascii="宋体" w:hAnsi="宋体" w:cs="宋体"/>
          <w:b/>
          <w:bCs/>
          <w:szCs w:val="21"/>
        </w:rPr>
        <w:t>3</w:t>
      </w:r>
      <w:r>
        <w:rPr>
          <w:rFonts w:ascii="宋体" w:hAnsi="宋体" w:cs="宋体"/>
          <w:b/>
          <w:bCs/>
          <w:szCs w:val="21"/>
        </w:rPr>
        <w:t xml:space="preserve">.3.3  </w:t>
      </w:r>
      <w:r>
        <w:rPr>
          <w:rFonts w:hint="eastAsia" w:ascii="宋体" w:hAnsi="宋体" w:cs="宋体"/>
          <w:szCs w:val="21"/>
        </w:rPr>
        <w:t>安装灯具的预埋件和嵌入式灯具安装专用骨架通常由设计出图，要注意的是，有的可能在土建施工图上，也有的可能在电气安装施工图上，这就要求做好协调分工，特别在图纸会审时给予明确。</w:t>
      </w:r>
    </w:p>
    <w:p>
      <w:pPr>
        <w:pStyle w:val="41"/>
        <w:spacing w:line="360" w:lineRule="auto"/>
        <w:rPr>
          <w:rFonts w:ascii="宋体" w:hAnsi="宋体" w:cs="宋体"/>
          <w:szCs w:val="21"/>
        </w:rPr>
      </w:pPr>
      <w:r>
        <w:rPr>
          <w:rFonts w:hint="eastAsia" w:ascii="宋体" w:hAnsi="宋体" w:cs="宋体"/>
          <w:szCs w:val="21"/>
        </w:rPr>
        <w:t>照明工程的通电是带电后就有负荷，因而事先的检查要认真仔细，严格按本规范工序执行，同时照明工程在大型公用建筑中起着重要作用，面大量广是其特点，所以通电试灯要有序进行，当然插座等的通电测试也要按回路逐个进行，以防止供电电压失误造成成批灯具烧毁或电气器具损坏。</w:t>
      </w:r>
    </w:p>
    <w:p>
      <w:pPr>
        <w:spacing w:line="360" w:lineRule="auto"/>
        <w:rPr>
          <w:rFonts w:ascii="宋体" w:hAnsi="宋体" w:cs="宋体"/>
          <w:szCs w:val="21"/>
        </w:rPr>
      </w:pPr>
      <w:r>
        <w:rPr>
          <w:rFonts w:hint="eastAsia" w:ascii="宋体" w:hAnsi="宋体" w:cs="宋体"/>
          <w:b/>
          <w:bCs/>
          <w:szCs w:val="21"/>
        </w:rPr>
        <w:t>3</w:t>
      </w:r>
      <w:r>
        <w:rPr>
          <w:rFonts w:ascii="宋体" w:hAnsi="宋体" w:cs="宋体"/>
          <w:b/>
          <w:bCs/>
          <w:szCs w:val="21"/>
        </w:rPr>
        <w:t xml:space="preserve">.3.4  </w:t>
      </w:r>
      <w:r>
        <w:rPr>
          <w:rFonts w:hint="eastAsia" w:ascii="宋体" w:hAnsi="宋体" w:cs="宋体"/>
          <w:szCs w:val="21"/>
        </w:rPr>
        <w:t>第4款，先完成接地装置和引下线的施工，再进行接闪器的安装，是一个重要工序的排列，不准逆反，否则要酿大祸。若先装接闪器引雷，而接地装置尚未施工，引下线也没有连接，建筑物遭受雷击后引发的事故损失将更严重。</w:t>
      </w:r>
    </w:p>
    <w:p>
      <w:pPr>
        <w:widowControl/>
        <w:jc w:val="left"/>
        <w:rPr>
          <w:b/>
          <w:kern w:val="0"/>
          <w:sz w:val="28"/>
          <w:szCs w:val="28"/>
        </w:rPr>
      </w:pPr>
      <w:bookmarkStart w:id="275" w:name="_Toc135299508"/>
      <w:bookmarkStart w:id="276" w:name="_Toc136869124"/>
      <w:bookmarkStart w:id="277" w:name="_Toc136869540"/>
      <w:r>
        <w:rPr>
          <w:bCs/>
        </w:rPr>
        <w:br w:type="page"/>
      </w:r>
    </w:p>
    <w:p>
      <w:pPr>
        <w:pStyle w:val="78"/>
        <w:spacing w:before="240" w:after="240"/>
        <w:ind w:firstLine="0" w:firstLineChars="0"/>
        <w:rPr>
          <w:bCs w:val="0"/>
        </w:rPr>
      </w:pPr>
      <w:bookmarkStart w:id="278" w:name="_Toc137203426"/>
      <w:bookmarkStart w:id="279" w:name="_Toc137216276"/>
      <w:r>
        <w:rPr>
          <w:bCs w:val="0"/>
        </w:rPr>
        <w:t xml:space="preserve">4  </w:t>
      </w:r>
      <w:r>
        <w:rPr>
          <w:rFonts w:hint="eastAsia"/>
          <w:bCs w:val="0"/>
        </w:rPr>
        <w:t>电源</w:t>
      </w:r>
      <w:bookmarkEnd w:id="275"/>
      <w:bookmarkEnd w:id="276"/>
      <w:bookmarkEnd w:id="277"/>
      <w:bookmarkEnd w:id="278"/>
      <w:bookmarkEnd w:id="279"/>
    </w:p>
    <w:p>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280" w:name="_Toc136869541"/>
      <w:bookmarkStart w:id="281" w:name="_Toc135299509"/>
      <w:bookmarkStart w:id="282" w:name="_Toc136869125"/>
      <w:bookmarkStart w:id="283" w:name="_Toc137203427"/>
      <w:bookmarkStart w:id="284" w:name="_Toc137216277"/>
      <w:r>
        <w:rPr>
          <w:rFonts w:hint="eastAsia" w:asciiTheme="minorEastAsia" w:hAnsiTheme="minorEastAsia" w:eastAsiaTheme="minorEastAsia"/>
          <w:sz w:val="24"/>
          <w:szCs w:val="24"/>
        </w:rPr>
        <w:t>4</w:t>
      </w:r>
      <w:r>
        <w:rPr>
          <w:rFonts w:asciiTheme="minorEastAsia" w:hAnsiTheme="minorEastAsia" w:eastAsiaTheme="minorEastAsia"/>
          <w:sz w:val="24"/>
          <w:szCs w:val="24"/>
        </w:rPr>
        <w:t xml:space="preserve">.1  </w:t>
      </w:r>
      <w:r>
        <w:rPr>
          <w:rFonts w:hint="eastAsia" w:asciiTheme="minorEastAsia" w:hAnsiTheme="minorEastAsia" w:eastAsiaTheme="minorEastAsia"/>
          <w:sz w:val="24"/>
          <w:szCs w:val="24"/>
        </w:rPr>
        <w:t>变压器、箱式变电所、光伏发电设备安装</w:t>
      </w:r>
      <w:bookmarkEnd w:id="280"/>
      <w:bookmarkEnd w:id="281"/>
      <w:bookmarkEnd w:id="282"/>
      <w:bookmarkEnd w:id="283"/>
      <w:bookmarkEnd w:id="284"/>
    </w:p>
    <w:p>
      <w:pPr>
        <w:pStyle w:val="4"/>
        <w:spacing w:before="120" w:beforeLines="50" w:after="120" w:afterLines="50"/>
        <w:rPr>
          <w:sz w:val="21"/>
          <w:szCs w:val="21"/>
        </w:rPr>
      </w:pPr>
      <w:r>
        <w:t>I</w:t>
      </w:r>
      <w:r>
        <w:rPr>
          <w:sz w:val="21"/>
          <w:szCs w:val="21"/>
        </w:rPr>
        <w:t xml:space="preserve"> </w:t>
      </w:r>
      <w:r>
        <w:rPr>
          <w:rFonts w:hint="eastAsia"/>
          <w:sz w:val="21"/>
          <w:szCs w:val="21"/>
        </w:rPr>
        <w:t xml:space="preserve"> 主控项目</w:t>
      </w:r>
    </w:p>
    <w:p>
      <w:pPr>
        <w:spacing w:line="360" w:lineRule="auto"/>
        <w:rPr>
          <w:rFonts w:asciiTheme="minorEastAsia" w:hAnsiTheme="minorEastAsia" w:eastAsiaTheme="minorEastAsia" w:cstheme="minorEastAsia"/>
          <w:b/>
          <w:bCs/>
          <w:szCs w:val="21"/>
        </w:rPr>
      </w:pPr>
      <w:r>
        <w:rPr>
          <w:rFonts w:asciiTheme="minorEastAsia" w:hAnsiTheme="minorEastAsia" w:eastAsiaTheme="minorEastAsia" w:cstheme="minorEastAsia"/>
          <w:b/>
          <w:bCs/>
          <w:szCs w:val="21"/>
        </w:rPr>
        <w:t xml:space="preserve">4.1.1  </w:t>
      </w:r>
      <w:r>
        <w:rPr>
          <w:rFonts w:hint="eastAsia" w:asciiTheme="minorEastAsia" w:hAnsiTheme="minorEastAsia" w:eastAsiaTheme="minorEastAsia" w:cstheme="minorEastAsia"/>
          <w:szCs w:val="21"/>
        </w:rPr>
        <w:t>本条是对变压器安装的基本要求，位置正确是指中心线和 标高符合设计要求。采用规定尺寸的母线槽作引出或引入线时， 则更应控制变压器的安装定位位置。油浸变压器有渗油现象说明 密封不好，是不应存在的现象。变压器箱体、干式变压器的支架、基础型钢及外壳属金属体，均是电气装置中重要的外露可导电部分，为了人身和设备安 全，应与保护导体可靠连接。需要特别说明的是，本规范所要求的 与保护导体可靠连接，是指与保护导体直接连接且采取了焊接或 螺栓紧固连接等连接方式。</w:t>
      </w:r>
    </w:p>
    <w:p>
      <w:pPr>
        <w:spacing w:line="360" w:lineRule="auto"/>
        <w:rPr>
          <w:rFonts w:asciiTheme="minorEastAsia" w:hAnsiTheme="minorEastAsia" w:eastAsiaTheme="minorEastAsia" w:cstheme="minorEastAsia"/>
          <w:b/>
          <w:szCs w:val="21"/>
        </w:rPr>
      </w:pPr>
      <w:r>
        <w:rPr>
          <w:rFonts w:asciiTheme="minorEastAsia" w:hAnsiTheme="minorEastAsia" w:eastAsiaTheme="minorEastAsia" w:cstheme="minorEastAsia"/>
          <w:b/>
          <w:bCs/>
          <w:szCs w:val="21"/>
        </w:rPr>
        <w:t>4.1.2</w:t>
      </w:r>
      <w:r>
        <w:rPr>
          <w:rFonts w:hint="eastAsia" w:asciiTheme="minorEastAsia" w:hAnsiTheme="minorEastAsia" w:eastAsiaTheme="minorEastAsia" w:cstheme="minorEastAsia"/>
          <w:szCs w:val="21"/>
        </w:rPr>
        <w:t xml:space="preserve"> </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第1款变压器的接地既有高压部分的保护接地，又有低压部分的工作接地；而低压供电系统在建筑电气工程中大量采用多电源供电系统，对一个多电源供电的 TN 系统，当接地连接方式不当时，中性线电流就可能通过不期望的路径流通，而引起火灾、腐蚀或电 磁干扰，因此对变压器中性点的接地连接方式及接地电阻值要求， 是由设计人员根据不同的供电系统 （TN IT TT 系统）在图纸设计时提出要求的，施工时，施工人员必须按图施工，以确保用电安全。导线的绝缘外保护层是不允许高温灼烤的，否则</w:t>
      </w:r>
      <w:r>
        <w:rPr>
          <w:rFonts w:hint="eastAsia" w:asciiTheme="minorEastAsia" w:hAnsiTheme="minorEastAsia" w:eastAsiaTheme="minorEastAsia" w:cstheme="minorEastAsia"/>
          <w:color w:val="000000"/>
          <w:szCs w:val="21"/>
        </w:rPr>
        <w:t>会</w:t>
      </w:r>
      <w:r>
        <w:rPr>
          <w:rFonts w:hint="eastAsia" w:asciiTheme="minorEastAsia" w:hAnsiTheme="minorEastAsia" w:eastAsiaTheme="minorEastAsia" w:cstheme="minorEastAsia"/>
          <w:szCs w:val="21"/>
        </w:rPr>
        <w:t>影响其绝缘的可靠性和完整性。</w:t>
      </w:r>
      <w:r>
        <w:rPr>
          <w:rFonts w:hint="eastAsia" w:asciiTheme="minorEastAsia" w:hAnsiTheme="minorEastAsia" w:eastAsiaTheme="minorEastAsia" w:cstheme="minorEastAsia"/>
          <w:b/>
          <w:szCs w:val="21"/>
        </w:rPr>
        <w:t xml:space="preserve"> </w:t>
      </w:r>
    </w:p>
    <w:p>
      <w:pPr>
        <w:spacing w:line="360" w:lineRule="auto"/>
        <w:rPr>
          <w:rFonts w:asciiTheme="minorEastAsia" w:hAnsiTheme="minorEastAsia" w:eastAsiaTheme="minorEastAsia" w:cstheme="minorEastAsia"/>
          <w:b/>
          <w:szCs w:val="21"/>
        </w:rPr>
      </w:pPr>
      <w:r>
        <w:rPr>
          <w:rFonts w:asciiTheme="minorEastAsia" w:hAnsiTheme="minorEastAsia" w:eastAsiaTheme="minorEastAsia" w:cstheme="minorEastAsia"/>
          <w:b/>
          <w:bCs/>
          <w:szCs w:val="21"/>
        </w:rPr>
        <w:t>4.1.3</w:t>
      </w:r>
      <w:r>
        <w:rPr>
          <w:rFonts w:hint="eastAsia" w:asciiTheme="minorEastAsia" w:hAnsiTheme="minorEastAsia" w:eastAsiaTheme="minorEastAsia" w:cstheme="minorEastAsia"/>
          <w:b/>
          <w:bCs/>
          <w:szCs w:val="21"/>
        </w:rPr>
        <w:t xml:space="preserve"> </w:t>
      </w:r>
      <w:r>
        <w:rPr>
          <w:rFonts w:asciiTheme="minorEastAsia" w:hAnsiTheme="minorEastAsia" w:eastAsiaTheme="minorEastAsia" w:cstheme="minorEastAsia"/>
          <w:b/>
          <w:bCs/>
          <w:szCs w:val="21"/>
        </w:rPr>
        <w:t xml:space="preserve"> </w:t>
      </w:r>
      <w:r>
        <w:rPr>
          <w:rFonts w:hint="eastAsia" w:asciiTheme="minorEastAsia" w:hAnsiTheme="minorEastAsia" w:eastAsiaTheme="minorEastAsia" w:cstheme="minorEastAsia"/>
          <w:szCs w:val="21"/>
        </w:rPr>
        <w:t>变压器及高压电气设备安装好后，应经交接试验合格，并出具报告后，才具备通电条件。交接试验的内容和要求，即合格的判定条件应符合现行国家标准</w:t>
      </w:r>
      <w:r>
        <w:rPr>
          <w:rFonts w:hint="eastAsia" w:asciiTheme="minorEastAsia" w:hAnsiTheme="minorEastAsia" w:eastAsiaTheme="minorEastAsia" w:cstheme="minorEastAsia"/>
          <w:color w:val="000000"/>
          <w:szCs w:val="21"/>
        </w:rPr>
        <w:t>《电气装置安装工程电气设备交接试验标准》GB50150-2016</w:t>
      </w:r>
      <w:r>
        <w:rPr>
          <w:rFonts w:hint="eastAsia" w:asciiTheme="minorEastAsia" w:hAnsiTheme="minorEastAsia" w:eastAsiaTheme="minorEastAsia" w:cstheme="minorEastAsia"/>
          <w:szCs w:val="21"/>
        </w:rPr>
        <w:t>的规定。</w:t>
      </w:r>
    </w:p>
    <w:p>
      <w:pPr>
        <w:spacing w:line="360" w:lineRule="auto"/>
        <w:rPr>
          <w:rFonts w:asciiTheme="minorEastAsia" w:hAnsiTheme="minorEastAsia" w:eastAsiaTheme="minorEastAsia" w:cstheme="minorEastAsia"/>
          <w:szCs w:val="21"/>
        </w:rPr>
      </w:pPr>
      <w:r>
        <w:rPr>
          <w:rFonts w:asciiTheme="minorEastAsia" w:hAnsiTheme="minorEastAsia" w:eastAsiaTheme="minorEastAsia" w:cstheme="minorEastAsia"/>
          <w:b/>
          <w:bCs/>
          <w:szCs w:val="21"/>
        </w:rPr>
        <w:t xml:space="preserve">4.1.4  </w:t>
      </w:r>
      <w:r>
        <w:rPr>
          <w:rFonts w:hint="eastAsia" w:asciiTheme="minorEastAsia" w:hAnsiTheme="minorEastAsia" w:eastAsiaTheme="minorEastAsia" w:cstheme="minorEastAsia"/>
          <w:szCs w:val="21"/>
        </w:rPr>
        <w:t>第1款变压器试运行前的检查内容：各种交接试验单据齐全，数据符合要求。变压器应清理、擦拭干净，顶盖上无残留杂物，本体及附件无残损，且不渗油。变压器一二次引线相位正确，绝缘良好。接地线良好。通风设施安装完毕，工作正常，事故排油设施完好，消防设施齐备。油浸变压器油系统油门应打开，油门指示正确，油位正常。油浸变压器的电压切换装置及</w:t>
      </w:r>
      <w:r>
        <w:rPr>
          <w:rFonts w:asciiTheme="minorEastAsia" w:hAnsiTheme="minorEastAsia" w:eastAsiaTheme="minorEastAsia" w:cstheme="minorEastAsia"/>
          <w:szCs w:val="21"/>
        </w:rPr>
        <w:t>干式</w:t>
      </w:r>
      <w:r>
        <w:rPr>
          <w:rFonts w:hint="eastAsia" w:asciiTheme="minorEastAsia" w:hAnsiTheme="minorEastAsia" w:eastAsiaTheme="minorEastAsia" w:cstheme="minorEastAsia"/>
          <w:szCs w:val="21"/>
        </w:rPr>
        <w:t>变压器的分接头位置放置正常电压档位。保护装置整定值符合规定要求，操作及联动试验正常。变压器保护栏安装完毕，各种标志牌挂好，门装锁。</w:t>
      </w:r>
    </w:p>
    <w:p>
      <w:pPr>
        <w:spacing w:line="360" w:lineRule="auto"/>
        <w:rPr>
          <w:rFonts w:eastAsiaTheme="minorEastAsia"/>
          <w:szCs w:val="21"/>
        </w:rPr>
      </w:pPr>
      <w:r>
        <w:rPr>
          <w:rFonts w:hint="eastAsia" w:eastAsiaTheme="minorEastAsia"/>
          <w:b/>
          <w:bCs/>
          <w:szCs w:val="21"/>
        </w:rPr>
        <w:t>4</w:t>
      </w:r>
      <w:r>
        <w:rPr>
          <w:rFonts w:eastAsiaTheme="minorEastAsia"/>
          <w:b/>
          <w:bCs/>
          <w:szCs w:val="21"/>
        </w:rPr>
        <w:t xml:space="preserve">.1.5  </w:t>
      </w:r>
      <w:r>
        <w:rPr>
          <w:rFonts w:hint="eastAsia" w:eastAsiaTheme="minorEastAsia"/>
          <w:szCs w:val="21"/>
        </w:rPr>
        <w:t>箱式变电所及其落地式配电箱在建筑电气工程中以住宅小区室外设置为主要形式，本体有较好的防雨雪和通风性能，但其底部不是全密闭的，故而要注意防积水入侵，其基础的高度及周围排水通道设置应由设计人员在施工图上加以明确。因产品的固定形式有两种，所以分别加以描述。</w:t>
      </w:r>
    </w:p>
    <w:p>
      <w:pPr>
        <w:spacing w:line="360" w:lineRule="auto"/>
        <w:rPr>
          <w:rFonts w:eastAsiaTheme="minorEastAsia"/>
          <w:szCs w:val="21"/>
        </w:rPr>
      </w:pPr>
      <w:r>
        <w:rPr>
          <w:rFonts w:hint="eastAsia" w:eastAsiaTheme="minorEastAsia"/>
          <w:b/>
          <w:bCs/>
          <w:szCs w:val="21"/>
        </w:rPr>
        <w:t>4</w:t>
      </w:r>
      <w:r>
        <w:rPr>
          <w:rFonts w:eastAsiaTheme="minorEastAsia"/>
          <w:b/>
          <w:bCs/>
          <w:szCs w:val="21"/>
        </w:rPr>
        <w:t xml:space="preserve">.1.6  </w:t>
      </w:r>
      <w:r>
        <w:rPr>
          <w:rFonts w:hint="eastAsia" w:eastAsiaTheme="minorEastAsia"/>
          <w:szCs w:val="21"/>
        </w:rPr>
        <w:t>箱式变电所的接地是施工的重要内容之一，其接地系统的安装及接地电阻值必须满足设计要求。</w:t>
      </w:r>
    </w:p>
    <w:p>
      <w:pPr>
        <w:spacing w:line="360" w:lineRule="auto"/>
        <w:rPr>
          <w:rFonts w:eastAsiaTheme="minorEastAsia"/>
          <w:szCs w:val="21"/>
        </w:rPr>
      </w:pPr>
      <w:r>
        <w:rPr>
          <w:rFonts w:eastAsiaTheme="minorEastAsia"/>
          <w:b/>
          <w:bCs/>
          <w:szCs w:val="21"/>
        </w:rPr>
        <w:t xml:space="preserve">4.1.7  </w:t>
      </w:r>
      <w:r>
        <w:rPr>
          <w:rFonts w:hint="eastAsia" w:eastAsiaTheme="minorEastAsia"/>
          <w:szCs w:val="21"/>
        </w:rPr>
        <w:t>无论箱式变电所是整体进场还是多单元现场组装，必须按照GB50150和出厂技术文件的要求进行现场交接试验，交接试验合格。如果高压连接线的绝缘试验事先在工厂已经完成，则不需要现场重复试验。但是，对于现场组装的箱式变电所，还应按照GB/T 17467的要求进行试验，以保证</w:t>
      </w:r>
      <w:r>
        <w:rPr>
          <w:rFonts w:hint="eastAsia" w:eastAsiaTheme="minorEastAsia"/>
          <w:color w:val="000000"/>
          <w:szCs w:val="21"/>
        </w:rPr>
        <w:t>能</w:t>
      </w:r>
      <w:r>
        <w:rPr>
          <w:rFonts w:hint="eastAsia"/>
        </w:rPr>
        <w:t>够</w:t>
      </w:r>
      <w:r>
        <w:rPr>
          <w:rFonts w:hint="eastAsia" w:eastAsiaTheme="minorEastAsia"/>
          <w:szCs w:val="21"/>
        </w:rPr>
        <w:t>正确运行。</w:t>
      </w:r>
    </w:p>
    <w:p>
      <w:pPr>
        <w:spacing w:line="360" w:lineRule="auto"/>
        <w:ind w:firstLine="420" w:firstLineChars="200"/>
        <w:rPr>
          <w:rFonts w:eastAsiaTheme="minorEastAsia"/>
          <w:szCs w:val="21"/>
        </w:rPr>
      </w:pPr>
      <w:r>
        <w:rPr>
          <w:rFonts w:hint="eastAsia" w:eastAsiaTheme="minorEastAsia"/>
          <w:szCs w:val="21"/>
        </w:rPr>
        <w:t>目前国内箱式变电所主要有两种产品，一种由高压柜、低压柜、变压器三个独立的单元组合而成，另一种为引进技术生产的高压开关设备和变压器设在一个油箱内的箱式变电所。根据产品的技术要求不同，试验的内容和具体的规定也不一样。</w:t>
      </w:r>
    </w:p>
    <w:p>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4</w:t>
      </w:r>
      <w:r>
        <w:rPr>
          <w:rFonts w:asciiTheme="minorEastAsia" w:hAnsiTheme="minorEastAsia" w:eastAsiaTheme="minorEastAsia"/>
          <w:b/>
          <w:bCs/>
          <w:szCs w:val="21"/>
        </w:rPr>
        <w:t xml:space="preserve">.1.8  </w:t>
      </w:r>
      <w:r>
        <w:rPr>
          <w:rFonts w:hint="eastAsia" w:asciiTheme="minorEastAsia" w:hAnsiTheme="minorEastAsia" w:eastAsiaTheme="minorEastAsia"/>
          <w:szCs w:val="21"/>
        </w:rPr>
        <w:t>为防止漏电伤人，金属结构支架应与建筑物接地系统可靠连接。</w:t>
      </w:r>
      <w:r>
        <w:rPr>
          <w:rFonts w:asciiTheme="minorEastAsia" w:hAnsiTheme="minorEastAsia" w:eastAsiaTheme="minorEastAsia"/>
          <w:szCs w:val="21"/>
        </w:rPr>
        <w:t xml:space="preserve"> </w:t>
      </w:r>
    </w:p>
    <w:p>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4</w:t>
      </w:r>
      <w:r>
        <w:rPr>
          <w:rFonts w:asciiTheme="minorEastAsia" w:hAnsiTheme="minorEastAsia" w:eastAsiaTheme="minorEastAsia"/>
          <w:b/>
          <w:bCs/>
          <w:szCs w:val="21"/>
        </w:rPr>
        <w:t xml:space="preserve">.1.9  </w:t>
      </w:r>
      <w:r>
        <w:rPr>
          <w:rFonts w:hint="eastAsia" w:asciiTheme="minorEastAsia" w:hAnsiTheme="minorEastAsia" w:eastAsiaTheme="minorEastAsia"/>
          <w:szCs w:val="21"/>
        </w:rPr>
        <w:t>绝缘电阻测试时，若光伏方阵输出端装有防雷器，测试前要将防雷器的接地线从电路中脱开，测完毕后</w:t>
      </w:r>
      <w:r>
        <w:rPr>
          <w:rFonts w:hint="eastAsia" w:asciiTheme="minorEastAsia" w:hAnsiTheme="minorEastAsia" w:eastAsiaTheme="minorEastAsia"/>
          <w:color w:val="000000"/>
          <w:szCs w:val="21"/>
        </w:rPr>
        <w:t>再</w:t>
      </w:r>
      <w:r>
        <w:rPr>
          <w:rFonts w:hint="eastAsia" w:asciiTheme="minorEastAsia" w:hAnsiTheme="minorEastAsia" w:eastAsiaTheme="minorEastAsia"/>
          <w:szCs w:val="21"/>
        </w:rPr>
        <w:t>恢复原状。绝缘电阻测试方法：①先测试光伏方阵负极对地的绝缘电阻，然后测试方阵正极对地的绝缘电阻；②测试光伏方阵与负极短路时对地的绝缘电阻。</w:t>
      </w:r>
    </w:p>
    <w:p>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4</w:t>
      </w:r>
      <w:r>
        <w:rPr>
          <w:rFonts w:asciiTheme="minorEastAsia" w:hAnsiTheme="minorEastAsia" w:eastAsiaTheme="minorEastAsia"/>
          <w:b/>
          <w:bCs/>
          <w:szCs w:val="21"/>
        </w:rPr>
        <w:t xml:space="preserve">.1.10  </w:t>
      </w:r>
      <w:r>
        <w:rPr>
          <w:rFonts w:hint="eastAsia" w:asciiTheme="minorEastAsia" w:hAnsiTheme="minorEastAsia" w:eastAsiaTheme="minorEastAsia"/>
          <w:szCs w:val="21"/>
        </w:rPr>
        <w:t>对于非金属箱体的汇流箱，其接地按照设计图纸进行验收。</w:t>
      </w:r>
    </w:p>
    <w:p>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4</w:t>
      </w:r>
      <w:r>
        <w:rPr>
          <w:rFonts w:asciiTheme="minorEastAsia" w:hAnsiTheme="minorEastAsia" w:eastAsiaTheme="minorEastAsia"/>
          <w:b/>
          <w:bCs/>
          <w:szCs w:val="21"/>
        </w:rPr>
        <w:t xml:space="preserve">.1.11  </w:t>
      </w:r>
      <w:r>
        <w:rPr>
          <w:rFonts w:hint="eastAsia" w:asciiTheme="minorEastAsia" w:hAnsiTheme="minorEastAsia" w:eastAsiaTheme="minorEastAsia"/>
          <w:szCs w:val="21"/>
        </w:rPr>
        <w:t>逆变器交流侧电缆接引至升压变压器的低压侧或直接接入电网中。对于大型逆变器来说，逆变器交流侧都接有几根电缆，在接入变压器低压侧以后，不便于电缆绝缘和相序的校验。逆变器直接侧电缆的极性和绝缘同样非常重要，需要施工人员仔细测试。故要求在此部分电缆接引前仔细检查电缆绝缘，校对电缆的相序和极性，并做好记录。</w:t>
      </w:r>
    </w:p>
    <w:p>
      <w:pPr>
        <w:pStyle w:val="4"/>
        <w:spacing w:before="120" w:beforeLines="50" w:after="120" w:afterLines="50"/>
        <w:rPr>
          <w:sz w:val="21"/>
          <w:szCs w:val="21"/>
        </w:rPr>
      </w:pPr>
      <w:r>
        <w:t>Ⅱ</w:t>
      </w:r>
      <w:r>
        <w:rPr>
          <w:rFonts w:hint="eastAsia"/>
          <w:sz w:val="21"/>
          <w:szCs w:val="21"/>
        </w:rPr>
        <w:t xml:space="preserve"> </w:t>
      </w:r>
      <w:r>
        <w:rPr>
          <w:sz w:val="21"/>
          <w:szCs w:val="21"/>
        </w:rPr>
        <w:t xml:space="preserve"> </w:t>
      </w:r>
      <w:r>
        <w:rPr>
          <w:rFonts w:hint="eastAsia"/>
          <w:sz w:val="21"/>
          <w:szCs w:val="21"/>
        </w:rPr>
        <w:t>一般项目</w:t>
      </w:r>
    </w:p>
    <w:p>
      <w:pPr>
        <w:spacing w:line="360" w:lineRule="auto"/>
        <w:rPr>
          <w:rFonts w:asciiTheme="minorEastAsia" w:hAnsiTheme="minorEastAsia" w:eastAsiaTheme="minorEastAsia" w:cstheme="minorEastAsia"/>
          <w:szCs w:val="21"/>
        </w:rPr>
      </w:pPr>
      <w:r>
        <w:rPr>
          <w:rFonts w:asciiTheme="minorEastAsia" w:hAnsiTheme="minorEastAsia" w:eastAsiaTheme="minorEastAsia" w:cstheme="minorEastAsia"/>
          <w:b/>
          <w:bCs/>
          <w:szCs w:val="21"/>
        </w:rPr>
        <w:t xml:space="preserve">4.1.12  </w:t>
      </w:r>
      <w:r>
        <w:rPr>
          <w:rFonts w:hint="eastAsia" w:asciiTheme="minorEastAsia" w:hAnsiTheme="minorEastAsia" w:eastAsiaTheme="minorEastAsia" w:cstheme="minorEastAsia"/>
          <w:szCs w:val="21"/>
        </w:rPr>
        <w:t>本条器身不作检查的条件是与现行国家标准</w:t>
      </w:r>
      <w:r>
        <w:rPr>
          <w:rFonts w:hint="eastAsia" w:asciiTheme="minorEastAsia" w:hAnsiTheme="minorEastAsia" w:eastAsiaTheme="minorEastAsia" w:cstheme="minorEastAsia"/>
          <w:color w:val="000000"/>
          <w:szCs w:val="21"/>
        </w:rPr>
        <w:t>《电气装置安装工电力变压器、油浸电抗器、互感器施工及验收规范》GB50148-2010</w:t>
      </w:r>
      <w:r>
        <w:rPr>
          <w:rFonts w:hint="eastAsia" w:asciiTheme="minorEastAsia" w:hAnsiTheme="minorEastAsia" w:eastAsiaTheme="minorEastAsia" w:cstheme="minorEastAsia"/>
          <w:szCs w:val="21"/>
        </w:rPr>
        <w:t>的规定一致的。从总体上看，变压器在施工现场不作器身检查是发展趋势，除施工现场条件不如制造厂条件好这一因素外，在产品结构设计和质量管理及货运管理水平日益提高的情况下，器身检查发现的问题日益减少，有些引进的变压器等设备在技术文件中明确不准进行器身检查，是由供货方作出担保的。</w:t>
      </w: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bCs/>
          <w:szCs w:val="21"/>
        </w:rPr>
        <w:t>4</w:t>
      </w:r>
      <w:r>
        <w:rPr>
          <w:rFonts w:asciiTheme="minorEastAsia" w:hAnsiTheme="minorEastAsia" w:eastAsiaTheme="minorEastAsia" w:cstheme="minorEastAsia"/>
          <w:b/>
          <w:bCs/>
          <w:szCs w:val="21"/>
        </w:rPr>
        <w:t xml:space="preserve">.1.13  </w:t>
      </w:r>
      <w:r>
        <w:rPr>
          <w:rFonts w:hint="eastAsia" w:asciiTheme="minorEastAsia" w:hAnsiTheme="minorEastAsia" w:eastAsiaTheme="minorEastAsia" w:cstheme="minorEastAsia"/>
          <w:szCs w:val="21"/>
        </w:rPr>
        <w:t>第1款变压器就位后，要在其上部配装进出母线和其他有关部件，往往由于工作不慎，在施工中会给变压器外部的绝缘器件造成损伤，所以交接试验和通电前均应认真检查是否有损坏，且外表不应有尘垢，否则初通电时会有电气故障发生。变压器的测温仪表在安装前应对其准确度进行检定，尤其是带</w:t>
      </w:r>
      <w:r>
        <w:rPr>
          <w:rFonts w:hint="eastAsia" w:asciiTheme="minorEastAsia" w:hAnsiTheme="minorEastAsia" w:eastAsiaTheme="minorEastAsia" w:cstheme="minorEastAsia"/>
          <w:color w:val="000000"/>
          <w:szCs w:val="21"/>
        </w:rPr>
        <w:t>信号</w:t>
      </w:r>
      <w:r>
        <w:rPr>
          <w:rFonts w:hint="eastAsia" w:asciiTheme="minorEastAsia" w:hAnsiTheme="minorEastAsia" w:eastAsiaTheme="minorEastAsia" w:cstheme="minorEastAsia"/>
          <w:szCs w:val="21"/>
        </w:rPr>
        <w:t>发送的更应这样做。 第2款装有滚轮的变压器定位在钢制的轨道（滑道）上，就位找正 纵、横中心线后，即应按施工图纸装好制动装置，不拆卸滑轮，便于 变压器日后退出实施吊芯和维修，但也有明显的缺点，就是轻度的 地震或受到意外的冲力时，变压器很容易发生位移，导致器身和上 部外接线损坏而造成电气安全事故，所以安装好制动装置关系着 变压器的安全运行。第3款气体继电器是油浸变压器保护继电器之一，装在变压器箱体与油枕的连通管水平段中间，当变压器过载或局部故障时，使线圈有机绝缘或变压器油发生气化，升至箱体顶部，为有利气体流 向气体继电器发出报警信号，并使气体经油枕泄放，因而要有规定的升高坡度，决不允许倒置。安装元气体继电器的小型油浸变压器，为了同样的理由，使各种原因产生的气体方便经油枕、呼吸器泄放，有升高坡度也是合理的。第5款变压器安装就位后应焊接牢固，内部线圈应牢固固定在变压器外壳内的支承结构上； 变压器的支反面宜适当加宽，并设置防止其移动和倾倒的限位器； 应对接入和接出的柔性导体留有位移的空间； 油浸变压器上油枕、潜油泵、冷却器及其连接管道等附件以及集中布置的冷却器与本体</w:t>
      </w:r>
      <w:r>
        <w:rPr>
          <w:rFonts w:hint="eastAsia" w:asciiTheme="minorEastAsia" w:hAnsiTheme="minorEastAsia" w:eastAsiaTheme="minorEastAsia" w:cstheme="minorEastAsia"/>
          <w:color w:val="000000"/>
          <w:szCs w:val="21"/>
        </w:rPr>
        <w:t>间</w:t>
      </w:r>
      <w:r>
        <w:rPr>
          <w:rFonts w:hint="eastAsia" w:asciiTheme="minorEastAsia" w:hAnsiTheme="minorEastAsia" w:eastAsiaTheme="minorEastAsia" w:cstheme="minorEastAsia"/>
          <w:szCs w:val="21"/>
        </w:rPr>
        <w:t>连接管道，应采用柔性连接。</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4</w:t>
      </w:r>
      <w:r>
        <w:rPr>
          <w:rFonts w:asciiTheme="minorEastAsia" w:hAnsiTheme="minorEastAsia" w:eastAsiaTheme="minorEastAsia" w:cstheme="minorEastAsia"/>
          <w:b/>
          <w:szCs w:val="21"/>
        </w:rPr>
        <w:t>.1.14</w:t>
      </w:r>
      <w:r>
        <w:rPr>
          <w:rFonts w:hint="eastAsia" w:asciiTheme="minorEastAsia" w:hAnsiTheme="minorEastAsia" w:eastAsiaTheme="minorEastAsia" w:cstheme="minorEastAsia"/>
          <w:szCs w:val="21"/>
        </w:rPr>
        <w:t xml:space="preserve"> </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第1、2款变压器附件安装，应根据相关规范和产品说明书的要求安装。第3款为提高供电质量，建筑电气工程除采用干式变压器外，也有采用有载调压变压器的，而且是以自动调节的为主，通电前除应做电气交接试验外，还应对有载调压开关裸露在（油）箱外的机械传动部分做检查，要在点动试验符合要求后，才能切换到自动位置。自动切换调节的有载调压变压器，</w:t>
      </w:r>
      <w:r>
        <w:rPr>
          <w:rFonts w:asciiTheme="minorEastAsia" w:hAnsiTheme="minorEastAsia" w:eastAsiaTheme="minorEastAsia" w:cstheme="minorEastAsia"/>
          <w:szCs w:val="21"/>
        </w:rPr>
        <w:t>由于控制调整的元件不同，调整试验时，还应注意产品技术文件的特殊规定。</w:t>
      </w:r>
      <w:r>
        <w:rPr>
          <w:rFonts w:hint="eastAsia" w:asciiTheme="minorEastAsia" w:hAnsiTheme="minorEastAsia" w:eastAsiaTheme="minorEastAsia" w:cstheme="minorEastAsia"/>
          <w:szCs w:val="21"/>
        </w:rPr>
        <w:t>第5款作用是TN-S系统变压器的工作接地线可断开点断开后可对地测量工作接地的接地电阻</w:t>
      </w:r>
      <w:r>
        <w:rPr>
          <w:rFonts w:hint="eastAsia" w:asciiTheme="minorEastAsia" w:hAnsiTheme="minorEastAsia" w:eastAsiaTheme="minorEastAsia" w:cstheme="minorEastAsia"/>
          <w:color w:val="000000"/>
          <w:szCs w:val="21"/>
        </w:rPr>
        <w:t>；</w:t>
      </w:r>
      <w:r>
        <w:rPr>
          <w:rFonts w:hint="eastAsia" w:asciiTheme="minorEastAsia" w:hAnsiTheme="minorEastAsia" w:eastAsiaTheme="minorEastAsia" w:cstheme="minorEastAsia"/>
          <w:szCs w:val="21"/>
        </w:rPr>
        <w:t>测量变压器绕组对地绝缘电阻和系统的N线对地绝缘电阻。</w:t>
      </w:r>
    </w:p>
    <w:p>
      <w:pPr>
        <w:spacing w:line="360" w:lineRule="auto"/>
        <w:rPr>
          <w:rFonts w:eastAsiaTheme="minorEastAsia"/>
          <w:szCs w:val="21"/>
        </w:rPr>
      </w:pPr>
      <w:r>
        <w:rPr>
          <w:rFonts w:hint="eastAsia" w:eastAsiaTheme="minorEastAsia"/>
          <w:b/>
          <w:bCs/>
          <w:szCs w:val="21"/>
        </w:rPr>
        <w:t>4</w:t>
      </w:r>
      <w:r>
        <w:rPr>
          <w:rFonts w:eastAsiaTheme="minorEastAsia"/>
          <w:b/>
          <w:bCs/>
          <w:szCs w:val="21"/>
        </w:rPr>
        <w:t xml:space="preserve">.1.15  </w:t>
      </w:r>
      <w:r>
        <w:rPr>
          <w:rFonts w:hint="eastAsia" w:eastAsiaTheme="minorEastAsia"/>
          <w:szCs w:val="21"/>
        </w:rPr>
        <w:t>为了方便运输，有的箱式变电所出厂时拆分为多个运输单元，到达现场后再进行组装。必须严格按照出厂技术文件进行组装及验收。</w:t>
      </w:r>
    </w:p>
    <w:p>
      <w:pPr>
        <w:spacing w:line="360" w:lineRule="auto"/>
        <w:rPr>
          <w:rFonts w:asciiTheme="minorEastAsia" w:hAnsiTheme="minorEastAsia" w:eastAsiaTheme="minorEastAsia"/>
          <w:b/>
          <w:szCs w:val="21"/>
        </w:rPr>
      </w:pPr>
      <w:r>
        <w:rPr>
          <w:rFonts w:hint="eastAsia" w:asciiTheme="minorEastAsia" w:hAnsiTheme="minorEastAsia" w:eastAsiaTheme="minorEastAsia"/>
          <w:b/>
          <w:bCs/>
          <w:iCs/>
          <w:szCs w:val="21"/>
        </w:rPr>
        <w:t>4</w:t>
      </w:r>
      <w:r>
        <w:rPr>
          <w:rFonts w:asciiTheme="minorEastAsia" w:hAnsiTheme="minorEastAsia" w:eastAsiaTheme="minorEastAsia"/>
          <w:b/>
          <w:bCs/>
          <w:iCs/>
          <w:szCs w:val="21"/>
        </w:rPr>
        <w:t xml:space="preserve">.1.20  </w:t>
      </w:r>
      <w:r>
        <w:rPr>
          <w:rFonts w:hint="eastAsia" w:asciiTheme="minorEastAsia" w:hAnsiTheme="minorEastAsia" w:eastAsiaTheme="minorEastAsia"/>
          <w:iCs/>
          <w:szCs w:val="21"/>
        </w:rPr>
        <w:t>支架安装的牢固度直接影响组件安装好的抗风能力，故应严格控制。支架安装完成后应按设计要求进行防腐处理工作，提出了施工安装应遵循的要求。</w:t>
      </w:r>
    </w:p>
    <w:p>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4</w:t>
      </w:r>
      <w:r>
        <w:rPr>
          <w:rFonts w:asciiTheme="minorEastAsia" w:hAnsiTheme="minorEastAsia" w:eastAsiaTheme="minorEastAsia"/>
          <w:b/>
          <w:bCs/>
          <w:szCs w:val="21"/>
        </w:rPr>
        <w:t xml:space="preserve">.1.21  </w:t>
      </w:r>
      <w:r>
        <w:rPr>
          <w:rFonts w:hint="eastAsia" w:asciiTheme="minorEastAsia" w:hAnsiTheme="minorEastAsia" w:eastAsiaTheme="minorEastAsia"/>
          <w:szCs w:val="21"/>
        </w:rPr>
        <w:t>根据支架安装的偏差要求，提出光伏组件安装的偏差要求，其中最主要的是控制好光伏组件的安装角度。</w:t>
      </w:r>
    </w:p>
    <w:p>
      <w:pPr>
        <w:spacing w:line="360" w:lineRule="auto"/>
        <w:rPr>
          <w:rFonts w:asciiTheme="minorEastAsia" w:hAnsiTheme="minorEastAsia" w:eastAsiaTheme="minorEastAsia"/>
          <w:szCs w:val="21"/>
        </w:rPr>
      </w:pPr>
      <w:r>
        <w:rPr>
          <w:rFonts w:asciiTheme="minorEastAsia" w:hAnsiTheme="minorEastAsia" w:eastAsiaTheme="minorEastAsia"/>
          <w:b/>
          <w:bCs/>
          <w:szCs w:val="21"/>
        </w:rPr>
        <w:t xml:space="preserve">4.1.22  </w:t>
      </w:r>
      <w:r>
        <w:rPr>
          <w:rFonts w:hint="eastAsia" w:asciiTheme="minorEastAsia" w:hAnsiTheme="minorEastAsia" w:eastAsiaTheme="minorEastAsia"/>
          <w:szCs w:val="21"/>
        </w:rPr>
        <w:t>同尺寸、同规格型号的光伏组件才可以串联在一起。</w:t>
      </w:r>
    </w:p>
    <w:p>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285" w:name="_Toc136869542"/>
      <w:bookmarkStart w:id="286" w:name="_Toc137216278"/>
      <w:bookmarkStart w:id="287" w:name="_Toc135299510"/>
      <w:bookmarkStart w:id="288" w:name="_Toc137203428"/>
      <w:bookmarkStart w:id="289" w:name="_Toc136869126"/>
      <w:bookmarkStart w:id="290" w:name="_Toc135299511"/>
      <w:r>
        <w:rPr>
          <w:rFonts w:hint="eastAsia" w:asciiTheme="minorEastAsia" w:hAnsiTheme="minorEastAsia" w:eastAsiaTheme="minorEastAsia"/>
          <w:sz w:val="24"/>
          <w:szCs w:val="24"/>
        </w:rPr>
        <w:t>4</w:t>
      </w:r>
      <w:r>
        <w:rPr>
          <w:rFonts w:asciiTheme="minorEastAsia" w:hAnsiTheme="minorEastAsia" w:eastAsiaTheme="minorEastAsia"/>
          <w:sz w:val="24"/>
          <w:szCs w:val="24"/>
        </w:rPr>
        <w:t xml:space="preserve">.2  </w:t>
      </w:r>
      <w:r>
        <w:rPr>
          <w:rFonts w:hint="eastAsia" w:asciiTheme="minorEastAsia" w:hAnsiTheme="minorEastAsia" w:eastAsiaTheme="minorEastAsia"/>
          <w:sz w:val="24"/>
          <w:szCs w:val="24"/>
        </w:rPr>
        <w:t>成套配电柜、控制柜（台、箱）和配电箱（盘）安装</w:t>
      </w:r>
      <w:bookmarkEnd w:id="285"/>
      <w:bookmarkEnd w:id="286"/>
      <w:bookmarkEnd w:id="287"/>
      <w:bookmarkEnd w:id="288"/>
      <w:bookmarkEnd w:id="289"/>
    </w:p>
    <w:p>
      <w:pPr>
        <w:pStyle w:val="4"/>
        <w:spacing w:before="120" w:beforeLines="50" w:after="120" w:afterLines="50"/>
        <w:rPr>
          <w:sz w:val="21"/>
          <w:szCs w:val="21"/>
        </w:rPr>
      </w:pPr>
      <w:r>
        <w:t>I</w:t>
      </w:r>
      <w:r>
        <w:rPr>
          <w:sz w:val="21"/>
          <w:szCs w:val="21"/>
        </w:rPr>
        <w:t xml:space="preserve"> </w:t>
      </w:r>
      <w:r>
        <w:rPr>
          <w:rFonts w:hint="eastAsia"/>
          <w:sz w:val="21"/>
          <w:szCs w:val="21"/>
        </w:rPr>
        <w:t xml:space="preserve"> 主控项目</w:t>
      </w:r>
    </w:p>
    <w:p>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4</w:t>
      </w:r>
      <w:r>
        <w:rPr>
          <w:rFonts w:asciiTheme="minorEastAsia" w:hAnsiTheme="minorEastAsia" w:eastAsiaTheme="minorEastAsia"/>
          <w:b/>
          <w:bCs/>
          <w:szCs w:val="21"/>
        </w:rPr>
        <w:t xml:space="preserve">.2.1  </w:t>
      </w:r>
      <w:r>
        <w:rPr>
          <w:rFonts w:hint="eastAsia" w:asciiTheme="minorEastAsia" w:hAnsiTheme="minorEastAsia" w:eastAsiaTheme="minorEastAsia"/>
          <w:szCs w:val="21"/>
        </w:rPr>
        <w:t>设计时对保护导体的规格、是否要重复接地、继电保护等已作出选择和安排，而施工时要保证各连接可靠，正常情况下不松动，且标识</w:t>
      </w:r>
      <w:r>
        <w:rPr>
          <w:rFonts w:hint="eastAsia" w:asciiTheme="minorEastAsia" w:hAnsiTheme="minorEastAsia" w:eastAsiaTheme="minorEastAsia"/>
          <w:color w:val="000000"/>
          <w:szCs w:val="21"/>
        </w:rPr>
        <w:t>明晰</w:t>
      </w:r>
      <w:r>
        <w:rPr>
          <w:rFonts w:hint="eastAsia" w:asciiTheme="minorEastAsia" w:hAnsiTheme="minorEastAsia" w:eastAsiaTheme="minorEastAsia"/>
          <w:szCs w:val="21"/>
        </w:rPr>
        <w:t>，使人身、设备在通电运行中确保安全，施工操作时虽工艺简单，但其施工质量是至关重要的；连接导线的规格大小是按机械强度和允许的最小导体截面积来考虑的；连接导线要求采用绝缘铜芯软导线而非裸铜软线，旨在避免带有电器的柜、台、箱可开启门活动时触及电器连接点而引起电击事故的发生。</w:t>
      </w:r>
    </w:p>
    <w:p>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4</w:t>
      </w:r>
      <w:r>
        <w:rPr>
          <w:rFonts w:asciiTheme="minorEastAsia" w:hAnsiTheme="minorEastAsia" w:eastAsiaTheme="minorEastAsia"/>
          <w:b/>
          <w:bCs/>
          <w:szCs w:val="21"/>
        </w:rPr>
        <w:t xml:space="preserve">.2.2  </w:t>
      </w:r>
      <w:r>
        <w:rPr>
          <w:rFonts w:hint="eastAsia" w:asciiTheme="minorEastAsia" w:hAnsiTheme="minorEastAsia" w:eastAsiaTheme="minorEastAsia"/>
          <w:szCs w:val="21"/>
        </w:rPr>
        <w:t>现行国家标准《低压配电设计规范》</w:t>
      </w:r>
      <w:r>
        <w:rPr>
          <w:rFonts w:asciiTheme="minorEastAsia" w:hAnsiTheme="minorEastAsia" w:eastAsiaTheme="minorEastAsia"/>
          <w:szCs w:val="21"/>
        </w:rPr>
        <w:t>GB 50054对保护导体最小截面积作出了明确规定，且符合现行国家标准《低压成套开关设备和控制设备第1部分：总则》</w:t>
      </w:r>
      <w:r>
        <w:rPr>
          <w:rFonts w:asciiTheme="minorEastAsia" w:hAnsiTheme="minorEastAsia" w:eastAsiaTheme="minorEastAsia"/>
          <w:color w:val="000000"/>
          <w:szCs w:val="21"/>
        </w:rPr>
        <w:t>GB</w:t>
      </w:r>
      <w:r>
        <w:rPr>
          <w:rFonts w:hint="eastAsia" w:asciiTheme="minorEastAsia" w:hAnsiTheme="minorEastAsia" w:eastAsiaTheme="minorEastAsia"/>
          <w:color w:val="000000"/>
          <w:szCs w:val="21"/>
        </w:rPr>
        <w:t>/T</w:t>
      </w:r>
      <w:r>
        <w:rPr>
          <w:rFonts w:asciiTheme="minorEastAsia" w:hAnsiTheme="minorEastAsia" w:eastAsiaTheme="minorEastAsia"/>
          <w:color w:val="000000"/>
          <w:szCs w:val="21"/>
        </w:rPr>
        <w:t xml:space="preserve"> 7251.1-2013</w:t>
      </w:r>
      <w:r>
        <w:rPr>
          <w:rFonts w:asciiTheme="minorEastAsia" w:hAnsiTheme="minorEastAsia" w:eastAsiaTheme="minorEastAsia"/>
          <w:szCs w:val="21"/>
        </w:rPr>
        <w:t>第8.4节电击防护规定，低压成套设备要符合该标准第8.4.3.2.2款表3的要求，且指明保护接地导体</w:t>
      </w:r>
      <w:r>
        <w:rPr>
          <w:rFonts w:hint="eastAsia" w:asciiTheme="minorEastAsia" w:hAnsiTheme="minorEastAsia" w:eastAsiaTheme="minorEastAsia"/>
          <w:color w:val="000000"/>
          <w:szCs w:val="21"/>
        </w:rPr>
        <w:t>（</w:t>
      </w:r>
      <w:r>
        <w:rPr>
          <w:rFonts w:asciiTheme="minorEastAsia" w:hAnsiTheme="minorEastAsia" w:eastAsiaTheme="minorEastAsia"/>
          <w:szCs w:val="21"/>
        </w:rPr>
        <w:t>PE</w:t>
      </w:r>
      <w:r>
        <w:rPr>
          <w:rFonts w:hint="eastAsia" w:asciiTheme="minorEastAsia" w:hAnsiTheme="minorEastAsia" w:eastAsiaTheme="minorEastAsia"/>
          <w:color w:val="000000"/>
          <w:szCs w:val="21"/>
        </w:rPr>
        <w:t>）</w:t>
      </w:r>
      <w:r>
        <w:rPr>
          <w:rFonts w:asciiTheme="minorEastAsia" w:hAnsiTheme="minorEastAsia" w:eastAsiaTheme="minorEastAsia"/>
          <w:szCs w:val="21"/>
        </w:rPr>
        <w:t>材料和相线导体材料不同时，要将保护接地导体</w:t>
      </w:r>
      <w:r>
        <w:rPr>
          <w:rFonts w:hint="eastAsia" w:asciiTheme="minorEastAsia" w:hAnsiTheme="minorEastAsia" w:eastAsiaTheme="minorEastAsia"/>
          <w:color w:val="000000"/>
          <w:szCs w:val="21"/>
        </w:rPr>
        <w:t>（</w:t>
      </w:r>
      <w:r>
        <w:rPr>
          <w:rFonts w:asciiTheme="minorEastAsia" w:hAnsiTheme="minorEastAsia" w:eastAsiaTheme="minorEastAsia"/>
          <w:szCs w:val="21"/>
        </w:rPr>
        <w:t>PE</w:t>
      </w:r>
      <w:r>
        <w:rPr>
          <w:rFonts w:hint="eastAsia" w:asciiTheme="minorEastAsia" w:hAnsiTheme="minorEastAsia" w:eastAsiaTheme="minorEastAsia"/>
          <w:color w:val="000000"/>
          <w:szCs w:val="21"/>
        </w:rPr>
        <w:t>）</w:t>
      </w:r>
      <w:r>
        <w:rPr>
          <w:rFonts w:asciiTheme="minorEastAsia" w:hAnsiTheme="minorEastAsia" w:eastAsiaTheme="minorEastAsia"/>
          <w:szCs w:val="21"/>
        </w:rPr>
        <w:t>截面积的确定，换算至与表3相同的导电要求。其理由是使载流容量足以承受流过的接地故障电流，使保护器件动作，在保护器件动作电流和时间范围内，不会损坏</w:t>
      </w:r>
      <w:r>
        <w:rPr>
          <w:rFonts w:hint="eastAsia" w:asciiTheme="minorEastAsia" w:hAnsiTheme="minorEastAsia" w:eastAsiaTheme="minorEastAsia"/>
          <w:szCs w:val="21"/>
        </w:rPr>
        <w:t>保护接地导体</w:t>
      </w:r>
      <w:r>
        <w:rPr>
          <w:rFonts w:hint="eastAsia" w:asciiTheme="minorEastAsia" w:hAnsiTheme="minorEastAsia" w:eastAsiaTheme="minorEastAsia"/>
          <w:color w:val="000000"/>
          <w:szCs w:val="21"/>
        </w:rPr>
        <w:t>（</w:t>
      </w:r>
      <w:r>
        <w:rPr>
          <w:rFonts w:asciiTheme="minorEastAsia" w:hAnsiTheme="minorEastAsia" w:eastAsiaTheme="minorEastAsia"/>
          <w:szCs w:val="21"/>
        </w:rPr>
        <w:t>PE</w:t>
      </w:r>
      <w:r>
        <w:rPr>
          <w:rFonts w:hint="eastAsia" w:asciiTheme="minorEastAsia" w:hAnsiTheme="minorEastAsia" w:eastAsiaTheme="minorEastAsia"/>
          <w:color w:val="000000"/>
          <w:szCs w:val="21"/>
        </w:rPr>
        <w:t>）</w:t>
      </w:r>
      <w:r>
        <w:rPr>
          <w:rFonts w:asciiTheme="minorEastAsia" w:hAnsiTheme="minorEastAsia" w:eastAsiaTheme="minorEastAsia"/>
          <w:szCs w:val="21"/>
        </w:rPr>
        <w:t>或破坏它的电连续性。当然也不应在发生故障至保护器件动作这个时段内危及人身安全。这个规定的原则适用于供电系统各级保护接地导体</w:t>
      </w:r>
      <w:r>
        <w:rPr>
          <w:rFonts w:hint="eastAsia" w:asciiTheme="minorEastAsia" w:hAnsiTheme="minorEastAsia" w:eastAsiaTheme="minorEastAsia"/>
          <w:color w:val="000000"/>
          <w:szCs w:val="21"/>
        </w:rPr>
        <w:t>（</w:t>
      </w:r>
      <w:r>
        <w:rPr>
          <w:rFonts w:asciiTheme="minorEastAsia" w:hAnsiTheme="minorEastAsia" w:eastAsiaTheme="minorEastAsia"/>
          <w:szCs w:val="21"/>
        </w:rPr>
        <w:t>PE</w:t>
      </w:r>
      <w:r>
        <w:rPr>
          <w:rFonts w:hint="eastAsia" w:asciiTheme="minorEastAsia" w:hAnsiTheme="minorEastAsia" w:eastAsiaTheme="minorEastAsia"/>
          <w:color w:val="000000"/>
          <w:szCs w:val="21"/>
        </w:rPr>
        <w:t>）</w:t>
      </w:r>
      <w:r>
        <w:rPr>
          <w:rFonts w:asciiTheme="minorEastAsia" w:hAnsiTheme="minorEastAsia" w:eastAsiaTheme="minorEastAsia"/>
          <w:szCs w:val="21"/>
        </w:rPr>
        <w:t>截面积的选择。</w:t>
      </w:r>
    </w:p>
    <w:p>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4</w:t>
      </w:r>
      <w:r>
        <w:rPr>
          <w:rFonts w:asciiTheme="minorEastAsia" w:hAnsiTheme="minorEastAsia" w:eastAsiaTheme="minorEastAsia"/>
          <w:b/>
          <w:bCs/>
          <w:szCs w:val="21"/>
        </w:rPr>
        <w:t xml:space="preserve">.2.3  </w:t>
      </w:r>
      <w:r>
        <w:rPr>
          <w:rFonts w:hint="eastAsia" w:asciiTheme="minorEastAsia" w:hAnsiTheme="minorEastAsia" w:eastAsiaTheme="minorEastAsia"/>
          <w:szCs w:val="21"/>
        </w:rPr>
        <w:t>本条规定是产品制造要确保达到的，也是安装后必须检查的项目，动、静触头中心线一致使通电可靠，接地触头的先入后出是保证安全的必要措施，连家用电器的插头制造也是遵循保护接地先于电源接通，后于电源断开这一普遍性的安全原则。</w:t>
      </w:r>
    </w:p>
    <w:p>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4</w:t>
      </w:r>
      <w:r>
        <w:rPr>
          <w:rFonts w:asciiTheme="minorEastAsia" w:hAnsiTheme="minorEastAsia" w:eastAsiaTheme="minorEastAsia"/>
          <w:b/>
          <w:bCs/>
          <w:szCs w:val="21"/>
        </w:rPr>
        <w:t xml:space="preserve">.2.4  </w:t>
      </w:r>
      <w:r>
        <w:rPr>
          <w:rFonts w:hint="eastAsia" w:asciiTheme="minorEastAsia" w:hAnsiTheme="minorEastAsia" w:eastAsiaTheme="minorEastAsia"/>
          <w:szCs w:val="21"/>
        </w:rPr>
        <w:t>高压成套配电柜内的电气设备，要经有资质的试验室进行电气交接试验并出具试验报告，判定符合要求后，才能通电试运行。</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控制回路的校验、试验与控制回路中的元器件的规格型号有关，整组试验的有关参数通常由设计单位给定，并得到当地供电单位的确认，目的是既保证建筑电气工程本身的稳定可靠运行，又不影响整个供电电网的安全。由于技术进步和创新，高压配电柜内的主回路和二次回路的元器件必然会相继涌现新的产品，因而其试验要求还来不及纳入规范而已被较大范围内推广应用，所以要按新产品提供的技术要求进行试验。</w:t>
      </w:r>
    </w:p>
    <w:p>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4</w:t>
      </w:r>
      <w:r>
        <w:rPr>
          <w:rFonts w:asciiTheme="minorEastAsia" w:hAnsiTheme="minorEastAsia" w:eastAsiaTheme="minorEastAsia"/>
          <w:b/>
          <w:bCs/>
          <w:szCs w:val="21"/>
        </w:rPr>
        <w:t xml:space="preserve">.2.6  </w:t>
      </w:r>
      <w:r>
        <w:rPr>
          <w:rFonts w:hint="eastAsia" w:asciiTheme="minorEastAsia" w:hAnsiTheme="minorEastAsia" w:eastAsiaTheme="minorEastAsia"/>
          <w:szCs w:val="21"/>
        </w:rPr>
        <w:t>试验的要求和规定与现行国家标准《电气装置安装工程电气设备交接试验标准》</w:t>
      </w:r>
      <w:r>
        <w:rPr>
          <w:rFonts w:asciiTheme="minorEastAsia" w:hAnsiTheme="minorEastAsia" w:eastAsiaTheme="minorEastAsia"/>
          <w:szCs w:val="21"/>
        </w:rPr>
        <w:t>GB</w:t>
      </w:r>
      <w:r>
        <w:rPr>
          <w:rFonts w:hint="eastAsia" w:ascii="MS Mincho" w:hAnsi="MS Mincho" w:eastAsia="MS Mincho" w:cs="MS Mincho"/>
          <w:szCs w:val="21"/>
        </w:rPr>
        <w:t> </w:t>
      </w:r>
      <w:r>
        <w:rPr>
          <w:rFonts w:asciiTheme="minorEastAsia" w:hAnsiTheme="minorEastAsia" w:eastAsiaTheme="minorEastAsia"/>
          <w:szCs w:val="21"/>
        </w:rPr>
        <w:t>50150的规定一致。</w:t>
      </w:r>
    </w:p>
    <w:p>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4</w:t>
      </w:r>
      <w:r>
        <w:rPr>
          <w:rFonts w:asciiTheme="minorEastAsia" w:hAnsiTheme="minorEastAsia" w:eastAsiaTheme="minorEastAsia"/>
          <w:b/>
          <w:bCs/>
          <w:szCs w:val="21"/>
        </w:rPr>
        <w:t xml:space="preserve">.2.7  </w:t>
      </w:r>
      <w:r>
        <w:rPr>
          <w:rFonts w:hint="eastAsia" w:asciiTheme="minorEastAsia" w:hAnsiTheme="minorEastAsia" w:eastAsiaTheme="minorEastAsia"/>
          <w:szCs w:val="21"/>
        </w:rPr>
        <w:t>直流柜是指蓄电池的充电整流装置、直流电配电开关和蓄电池组合在一起的成套柜，即交流电源送入，直流电源分路送出的成套柜，其投入运行前应按产品技术文件要求做相关试验和操作，并对其主回路的绝缘电阻进行检测。</w:t>
      </w:r>
    </w:p>
    <w:p>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4</w:t>
      </w:r>
      <w:r>
        <w:rPr>
          <w:rFonts w:asciiTheme="minorEastAsia" w:hAnsiTheme="minorEastAsia" w:eastAsiaTheme="minorEastAsia"/>
          <w:b/>
          <w:bCs/>
          <w:szCs w:val="21"/>
        </w:rPr>
        <w:t xml:space="preserve">.2.8  </w:t>
      </w:r>
      <w:r>
        <w:rPr>
          <w:rFonts w:asciiTheme="minorEastAsia" w:hAnsiTheme="minorEastAsia" w:eastAsiaTheme="minorEastAsia"/>
          <w:szCs w:val="21"/>
        </w:rPr>
        <w:t>本条依据现行国家标准</w:t>
      </w:r>
      <w:r>
        <w:rPr>
          <w:rFonts w:asciiTheme="minorEastAsia" w:hAnsiTheme="minorEastAsia" w:eastAsiaTheme="minorEastAsia"/>
          <w:color w:val="000000"/>
          <w:szCs w:val="21"/>
        </w:rPr>
        <w:t>《低压电气装置第6部分：检验》GB／T16895.23-20</w:t>
      </w:r>
      <w:r>
        <w:rPr>
          <w:rFonts w:hint="eastAsia" w:asciiTheme="minorEastAsia" w:hAnsiTheme="minorEastAsia" w:eastAsiaTheme="minorEastAsia"/>
          <w:color w:val="000000"/>
          <w:szCs w:val="21"/>
        </w:rPr>
        <w:t>20</w:t>
      </w:r>
      <w:r>
        <w:rPr>
          <w:rFonts w:asciiTheme="minorEastAsia" w:hAnsiTheme="minorEastAsia" w:eastAsiaTheme="minorEastAsia"/>
          <w:szCs w:val="21"/>
        </w:rPr>
        <w:t>第而导致过电流保护电器不能动作或不能及</w:t>
      </w:r>
      <w:r>
        <w:rPr>
          <w:rFonts w:asciiTheme="minorEastAsia" w:hAnsiTheme="minorEastAsia" w:eastAsiaTheme="minorEastAsia"/>
          <w:color w:val="000000"/>
          <w:szCs w:val="21"/>
        </w:rPr>
        <w:t>时</w:t>
      </w:r>
      <w:r>
        <w:rPr>
          <w:rFonts w:asciiTheme="minorEastAsia" w:hAnsiTheme="minorEastAsia" w:eastAsiaTheme="minorEastAsia"/>
          <w:szCs w:val="21"/>
        </w:rPr>
        <w:t>动作，将可能引发人身电击伤害，因此规定测试故障回路阻抗。导致回路阻抗值超限值的原因一是用电回路导体选择不当或用电回路线路过长，没有满足现行国家标准《低压配电设计规范》GB</w:t>
      </w:r>
      <w:r>
        <w:rPr>
          <w:rFonts w:hint="eastAsia" w:ascii="MS Mincho" w:hAnsi="MS Mincho" w:eastAsia="MS Mincho" w:cs="MS Mincho"/>
          <w:szCs w:val="21"/>
        </w:rPr>
        <w:t> </w:t>
      </w:r>
      <w:r>
        <w:rPr>
          <w:rFonts w:asciiTheme="minorEastAsia" w:hAnsiTheme="minorEastAsia" w:eastAsiaTheme="minorEastAsia"/>
          <w:szCs w:val="21"/>
        </w:rPr>
        <w:t>50054-2011的第3.2.2条第2款的规定，线路阻抗偏大所致；二是由于用电回路导线连接点接触不好，接触电阻增加所致，所以抽查回路时应选择用电回路线路相对较长且导线中间连接点相对较多的回路，由于施工设计时</w:t>
      </w:r>
      <w:r>
        <w:rPr>
          <w:rFonts w:hint="eastAsia" w:asciiTheme="minorEastAsia" w:hAnsiTheme="minorEastAsia" w:eastAsiaTheme="minorEastAsia"/>
          <w:szCs w:val="21"/>
        </w:rPr>
        <w:t>一般对用电回路的线路长度是有规定的，故回路阻抗的测试主要是以检验导线连接点的连接质量，测试可采用带有回路阻抗测试功能的测试仪表进行检测，将所测数据与式</w:t>
      </w:r>
      <w:r>
        <w:rPr>
          <w:rFonts w:hint="eastAsia" w:asciiTheme="minorEastAsia" w:hAnsiTheme="minorEastAsia" w:eastAsiaTheme="minorEastAsia"/>
          <w:color w:val="000000"/>
          <w:szCs w:val="21"/>
        </w:rPr>
        <w:t>（</w:t>
      </w:r>
      <w:r>
        <w:rPr>
          <w:rFonts w:asciiTheme="minorEastAsia" w:hAnsiTheme="minorEastAsia" w:eastAsiaTheme="minorEastAsia"/>
          <w:szCs w:val="21"/>
        </w:rPr>
        <w:t>5.1.8</w:t>
      </w:r>
      <w:r>
        <w:rPr>
          <w:rFonts w:hint="eastAsia" w:asciiTheme="minorEastAsia" w:hAnsiTheme="minorEastAsia" w:eastAsiaTheme="minorEastAsia"/>
          <w:color w:val="000000"/>
          <w:szCs w:val="21"/>
        </w:rPr>
        <w:t>）</w:t>
      </w:r>
      <w:r>
        <w:rPr>
          <w:rFonts w:asciiTheme="minorEastAsia" w:hAnsiTheme="minorEastAsia" w:eastAsiaTheme="minorEastAsia"/>
          <w:szCs w:val="21"/>
        </w:rPr>
        <w:t>进行比对[式</w:t>
      </w:r>
      <w:r>
        <w:rPr>
          <w:rFonts w:hint="eastAsia" w:asciiTheme="minorEastAsia" w:hAnsiTheme="minorEastAsia" w:eastAsiaTheme="minorEastAsia"/>
          <w:color w:val="000000"/>
          <w:szCs w:val="21"/>
        </w:rPr>
        <w:t>（</w:t>
      </w:r>
      <w:r>
        <w:rPr>
          <w:rFonts w:asciiTheme="minorEastAsia" w:hAnsiTheme="minorEastAsia" w:eastAsiaTheme="minorEastAsia"/>
          <w:szCs w:val="21"/>
        </w:rPr>
        <w:t>5.1.8</w:t>
      </w:r>
      <w:r>
        <w:rPr>
          <w:rFonts w:hint="eastAsia" w:asciiTheme="minorEastAsia" w:hAnsiTheme="minorEastAsia" w:eastAsiaTheme="minorEastAsia"/>
          <w:color w:val="000000"/>
          <w:szCs w:val="21"/>
        </w:rPr>
        <w:t>）</w:t>
      </w:r>
      <w:r>
        <w:rPr>
          <w:rFonts w:asciiTheme="minorEastAsia" w:hAnsiTheme="minorEastAsia" w:eastAsiaTheme="minorEastAsia"/>
          <w:szCs w:val="21"/>
        </w:rPr>
        <w:t>中的系数2</w:t>
      </w:r>
      <w:r>
        <w:rPr>
          <w:rFonts w:hint="eastAsia" w:asciiTheme="minorEastAsia" w:hAnsiTheme="minorEastAsia" w:eastAsiaTheme="minorEastAsia"/>
          <w:color w:val="000000"/>
          <w:szCs w:val="21"/>
        </w:rPr>
        <w:t>/</w:t>
      </w:r>
      <w:r>
        <w:rPr>
          <w:rFonts w:asciiTheme="minorEastAsia" w:hAnsiTheme="minorEastAsia" w:eastAsiaTheme="minorEastAsia"/>
          <w:szCs w:val="21"/>
        </w:rPr>
        <w:t>3主要是出于对线路温度变化的考虑]，以验证在发生接地故障时，过电流保护电器的有效性。根据现行国家标准《低压配电设计规范》GB</w:t>
      </w:r>
      <w:r>
        <w:rPr>
          <w:rFonts w:hint="eastAsia" w:ascii="MS Mincho" w:hAnsi="MS Mincho" w:eastAsia="MS Mincho" w:cs="MS Mincho"/>
          <w:szCs w:val="21"/>
        </w:rPr>
        <w:t> </w:t>
      </w:r>
      <w:r>
        <w:rPr>
          <w:rFonts w:asciiTheme="minorEastAsia" w:hAnsiTheme="minorEastAsia" w:eastAsiaTheme="minorEastAsia"/>
          <w:szCs w:val="21"/>
        </w:rPr>
        <w:t>50054的规定，电气设计人员应计算并提供接地故障回路计算阻抗Zs或Ia值，以方便施工现场检测人员的判定。如果测量后回路阻抗不能满足式</w:t>
      </w:r>
      <w:r>
        <w:rPr>
          <w:rFonts w:hint="eastAsia" w:asciiTheme="minorEastAsia" w:hAnsiTheme="minorEastAsia" w:eastAsiaTheme="minorEastAsia"/>
          <w:color w:val="000000"/>
          <w:szCs w:val="21"/>
        </w:rPr>
        <w:t>（</w:t>
      </w:r>
      <w:r>
        <w:rPr>
          <w:rFonts w:asciiTheme="minorEastAsia" w:hAnsiTheme="minorEastAsia" w:eastAsiaTheme="minorEastAsia"/>
          <w:szCs w:val="21"/>
        </w:rPr>
        <w:t>5.1.8</w:t>
      </w:r>
      <w:r>
        <w:rPr>
          <w:rFonts w:hint="eastAsia" w:asciiTheme="minorEastAsia" w:hAnsiTheme="minorEastAsia" w:eastAsiaTheme="minorEastAsia"/>
          <w:color w:val="000000"/>
          <w:szCs w:val="21"/>
        </w:rPr>
        <w:t>）</w:t>
      </w:r>
      <w:r>
        <w:rPr>
          <w:rFonts w:asciiTheme="minorEastAsia" w:hAnsiTheme="minorEastAsia" w:eastAsiaTheme="minorEastAsia"/>
          <w:szCs w:val="21"/>
        </w:rPr>
        <w:t>的要求，则应检查回路导体的连接质量，</w:t>
      </w:r>
      <w:r>
        <w:rPr>
          <w:rFonts w:hint="eastAsia" w:asciiTheme="minorEastAsia" w:hAnsiTheme="minorEastAsia" w:eastAsiaTheme="minorEastAsia"/>
          <w:szCs w:val="21"/>
        </w:rPr>
        <w:t>必要时应请电气设计人员复核回路阻抗计算书。</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本条适用于配电系统采用过电流保护器</w:t>
      </w:r>
      <w:r>
        <w:rPr>
          <w:rFonts w:hint="eastAsia" w:asciiTheme="minorEastAsia" w:hAnsiTheme="minorEastAsia" w:eastAsiaTheme="minorEastAsia"/>
          <w:color w:val="000000"/>
          <w:szCs w:val="21"/>
        </w:rPr>
        <w:t>（</w:t>
      </w:r>
      <w:r>
        <w:rPr>
          <w:rFonts w:asciiTheme="minorEastAsia" w:hAnsiTheme="minorEastAsia" w:eastAsiaTheme="minorEastAsia"/>
          <w:szCs w:val="21"/>
        </w:rPr>
        <w:t>主要是指断路器和熔断器，不考虑使用RCD作为附加保护情况</w:t>
      </w:r>
      <w:r>
        <w:rPr>
          <w:rFonts w:hint="eastAsia" w:asciiTheme="minorEastAsia" w:hAnsiTheme="minorEastAsia" w:eastAsiaTheme="minorEastAsia"/>
          <w:color w:val="000000"/>
          <w:szCs w:val="21"/>
        </w:rPr>
        <w:t>）</w:t>
      </w:r>
      <w:r>
        <w:rPr>
          <w:rFonts w:asciiTheme="minorEastAsia" w:hAnsiTheme="minorEastAsia" w:eastAsiaTheme="minorEastAsia"/>
          <w:szCs w:val="21"/>
        </w:rPr>
        <w:t>的末端回路。</w:t>
      </w:r>
    </w:p>
    <w:p>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4</w:t>
      </w:r>
      <w:r>
        <w:rPr>
          <w:rFonts w:asciiTheme="minorEastAsia" w:hAnsiTheme="minorEastAsia" w:eastAsiaTheme="minorEastAsia"/>
          <w:b/>
          <w:bCs/>
          <w:szCs w:val="21"/>
        </w:rPr>
        <w:t xml:space="preserve">.2.9  </w:t>
      </w:r>
      <w:r>
        <w:rPr>
          <w:rFonts w:hint="eastAsia" w:asciiTheme="minorEastAsia" w:hAnsiTheme="minorEastAsia" w:eastAsiaTheme="minorEastAsia"/>
          <w:szCs w:val="21"/>
        </w:rPr>
        <w:t>为确保剩余电流动作保护器</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RCD</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能按设计限值要求动作可靠，安装完成后应按设计限值要求检测动作电流和动作时间，以确保其灵敏度和可靠性。测试时应根据回路情况分别对待：</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插座回路RCD的测试应通过末端插座来进行，因为线路保护接地导体</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PE</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的连接有效性可通过末端插座检查，而插座保护接地导体</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PE</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的连接有效性可通过插座检测器来检验；</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干线回路RCD的测试宜在RCD出口处进行测试；</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其他回路RCD的测试应在回路末端对RCD进行测试。测试方法见图</w:t>
      </w:r>
      <w:r>
        <w:rPr>
          <w:rFonts w:asciiTheme="minorEastAsia" w:hAnsiTheme="minorEastAsia" w:eastAsiaTheme="minorEastAsia"/>
          <w:szCs w:val="21"/>
        </w:rPr>
        <w:t>4.2.9</w:t>
      </w:r>
      <w:r>
        <w:rPr>
          <w:rFonts w:hint="eastAsia" w:asciiTheme="minorEastAsia" w:hAnsiTheme="minorEastAsia" w:eastAsiaTheme="minorEastAsia"/>
          <w:szCs w:val="21"/>
        </w:rPr>
        <w:t>。</w:t>
      </w:r>
    </w:p>
    <w:p>
      <w:pPr>
        <w:spacing w:line="360" w:lineRule="auto"/>
        <w:ind w:firstLine="420" w:firstLineChars="200"/>
        <w:jc w:val="center"/>
        <w:rPr>
          <w:rFonts w:asciiTheme="minorEastAsia" w:hAnsiTheme="minorEastAsia" w:eastAsiaTheme="minorEastAsia"/>
          <w:szCs w:val="21"/>
        </w:rPr>
      </w:pPr>
      <w:r>
        <w:rPr>
          <w:rFonts w:asciiTheme="minorEastAsia" w:hAnsiTheme="minorEastAsia" w:eastAsiaTheme="minorEastAsia"/>
          <w:szCs w:val="21"/>
        </w:rPr>
        <w:object>
          <v:shape id="_x0000_i1025" o:spt="75" type="#_x0000_t75" style="height:93.5pt;width:273pt;" o:ole="t" filled="f" o:preferrelative="t" stroked="f" coordsize="21600,21600">
            <v:path/>
            <v:fill on="f" focussize="0,0"/>
            <v:stroke on="f" joinstyle="miter"/>
            <v:imagedata r:id="rId20" o:title=""/>
            <o:lock v:ext="edit" aspectratio="t"/>
            <w10:wrap type="none"/>
            <w10:anchorlock/>
          </v:shape>
          <o:OLEObject Type="Embed" ProgID="Visio.Drawing.15" ShapeID="_x0000_i1025" DrawAspect="Content" ObjectID="_1468075725" r:id="rId19">
            <o:LockedField>false</o:LockedField>
          </o:OLEObject>
        </w:object>
      </w:r>
    </w:p>
    <w:p>
      <w:pPr>
        <w:spacing w:line="360" w:lineRule="auto"/>
        <w:ind w:firstLine="420" w:firstLineChars="200"/>
        <w:jc w:val="center"/>
        <w:rPr>
          <w:rFonts w:ascii="黑体" w:hAnsi="黑体" w:eastAsia="黑体"/>
          <w:bCs/>
          <w:szCs w:val="21"/>
        </w:rPr>
      </w:pPr>
      <w:r>
        <w:rPr>
          <w:rFonts w:hint="eastAsia" w:ascii="黑体" w:hAnsi="黑体" w:eastAsia="黑体"/>
          <w:bCs/>
          <w:szCs w:val="21"/>
        </w:rPr>
        <w:t>图</w:t>
      </w:r>
      <w:r>
        <w:rPr>
          <w:rFonts w:ascii="黑体" w:hAnsi="黑体" w:eastAsia="黑体"/>
          <w:bCs/>
          <w:szCs w:val="21"/>
        </w:rPr>
        <w:t>4.2.9</w:t>
      </w:r>
      <w:r>
        <w:rPr>
          <w:rFonts w:hint="eastAsia" w:ascii="黑体" w:hAnsi="黑体" w:eastAsia="黑体"/>
          <w:bCs/>
          <w:szCs w:val="21"/>
        </w:rPr>
        <w:t>测试方法</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设计一般以保护电器额定动作电流为依据选择保护电器，因此应将“实际动作时间”作为工程必检项目。在测量“实际动作时间”时是对RCD</w:t>
      </w:r>
      <w:r>
        <w:rPr>
          <w:rFonts w:hint="eastAsia" w:asciiTheme="minorEastAsia" w:hAnsiTheme="minorEastAsia" w:eastAsiaTheme="minorEastAsia"/>
          <w:color w:val="000000"/>
          <w:szCs w:val="21"/>
        </w:rPr>
        <w:t>通过</w:t>
      </w:r>
      <w:r>
        <w:rPr>
          <w:rFonts w:hint="eastAsia" w:asciiTheme="minorEastAsia" w:hAnsiTheme="minorEastAsia" w:eastAsiaTheme="minorEastAsia"/>
          <w:szCs w:val="21"/>
        </w:rPr>
        <w:t>额定剩余动作电流，如果RCD能正确动作，就说明在通过额定剩余动作电流时是可以正确动作的，故“实际动作电流”可作为选测项目。</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检测实际动作时间：以RCD额定剩余动作电流</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I</w:t>
      </w:r>
      <w:r>
        <w:rPr>
          <w:rFonts w:hint="eastAsia" w:asciiTheme="minorEastAsia" w:hAnsiTheme="minorEastAsia" w:eastAsiaTheme="minorEastAsia"/>
          <w:szCs w:val="21"/>
          <w:vertAlign w:val="subscript"/>
        </w:rPr>
        <w:t>△n</w:t>
      </w:r>
      <w:r>
        <w:rPr>
          <w:rFonts w:hint="eastAsia" w:asciiTheme="minorEastAsia" w:hAnsiTheme="minorEastAsia" w:eastAsiaTheme="minorEastAsia"/>
          <w:szCs w:val="21"/>
        </w:rPr>
        <w:t>），测试保护电器动作时间RCD测试仪表接入任意相导体和PE，通过仪表内负载</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电阻</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产生额定剩余动作电流</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I</w:t>
      </w:r>
      <w:r>
        <w:rPr>
          <w:rFonts w:hint="eastAsia" w:asciiTheme="minorEastAsia" w:hAnsiTheme="minorEastAsia" w:eastAsiaTheme="minorEastAsia"/>
          <w:szCs w:val="21"/>
          <w:vertAlign w:val="subscript"/>
        </w:rPr>
        <w:t>△n</w:t>
      </w:r>
      <w:r>
        <w:rPr>
          <w:rFonts w:hint="eastAsia" w:asciiTheme="minorEastAsia" w:hAnsiTheme="minorEastAsia" w:eastAsiaTheme="minorEastAsia"/>
          <w:szCs w:val="21"/>
        </w:rPr>
        <w:t>），并同时监测相导体对PE电压消失时间，此时间即为保护电器实际动作时间，其数值不应大于设计限值。</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检测实际动作电流：以阶梯递增电流，测试保护电器实际动作电流RCD测试仪表接入任意相导体和PE，通过仪表内负载</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电阻</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产生固定步长</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如</w:t>
      </w:r>
      <w:r>
        <w:rPr>
          <w:rFonts w:hint="eastAsia" w:asciiTheme="minorEastAsia" w:hAnsiTheme="minorEastAsia" w:eastAsiaTheme="minorEastAsia"/>
          <w:color w:val="000000"/>
          <w:szCs w:val="21"/>
        </w:rPr>
        <w:t>1 mA/0.1</w:t>
      </w:r>
      <w:r>
        <w:rPr>
          <w:rFonts w:hint="eastAsia" w:cs="仿宋" w:asciiTheme="minorEastAsia" w:hAnsiTheme="minorEastAsia" w:eastAsiaTheme="minorEastAsia"/>
          <w:color w:val="000000"/>
          <w:spacing w:val="0"/>
          <w:w w:val="15"/>
          <w:kern w:val="0"/>
          <w:szCs w:val="21"/>
          <w:fitText w:val="42" w:id="1280313532"/>
        </w:rPr>
        <w:t xml:space="preserve">　 </w:t>
      </w:r>
      <w:r>
        <w:rPr>
          <w:rFonts w:hint="eastAsia" w:cs="仿宋" w:asciiTheme="minorEastAsia" w:hAnsiTheme="minorEastAsia" w:eastAsiaTheme="minorEastAsia"/>
          <w:color w:val="000000"/>
          <w:spacing w:val="-17"/>
          <w:w w:val="15"/>
          <w:kern w:val="0"/>
          <w:szCs w:val="21"/>
          <w:fitText w:val="42" w:id="1280313532"/>
        </w:rPr>
        <w:t>　</w:t>
      </w:r>
      <w:r>
        <w:rPr>
          <w:rFonts w:hint="eastAsia" w:asciiTheme="minorEastAsia" w:hAnsiTheme="minorEastAsia" w:eastAsiaTheme="minorEastAsia"/>
          <w:color w:val="000000"/>
          <w:szCs w:val="21"/>
        </w:rPr>
        <w:t>s）</w:t>
      </w:r>
      <w:r>
        <w:rPr>
          <w:rFonts w:hint="eastAsia" w:asciiTheme="minorEastAsia" w:hAnsiTheme="minorEastAsia" w:eastAsiaTheme="minorEastAsia"/>
          <w:szCs w:val="21"/>
        </w:rPr>
        <w:t>的剩余电流，同时监测相导体对PE电压，仪表显示电压消失时的电流即为保护电器实际动作电流，其数值不应大于额定剩余动作电流值。</w:t>
      </w:r>
    </w:p>
    <w:p>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4</w:t>
      </w:r>
      <w:r>
        <w:rPr>
          <w:rFonts w:asciiTheme="minorEastAsia" w:hAnsiTheme="minorEastAsia" w:eastAsiaTheme="minorEastAsia"/>
          <w:b/>
          <w:bCs/>
          <w:szCs w:val="21"/>
        </w:rPr>
        <w:t xml:space="preserve">.2.10  </w:t>
      </w:r>
      <w:r>
        <w:rPr>
          <w:rFonts w:asciiTheme="minorEastAsia" w:hAnsiTheme="minorEastAsia" w:eastAsiaTheme="minorEastAsia"/>
          <w:szCs w:val="21"/>
        </w:rPr>
        <w:t>SPD一般在系统设计时考虑周全且与柜、箱、盘成套供应，但当设计后补或元件更换等情况发生时，现场安装也在所难免，接线原理图是由设计提供的，施工时只要按图进行安装并接线，但其位置布置应考虑一旦发生瞬时过电压时，接地导线泄放的雷电流就有可能传导耦合到出线，而形成接地线的“二次污染”，导致SPD出线电压升高，失去对设备的保护作用。同理，连接导线越长，则瞬时过电压发生时，SPD两端的出线电压也就越高，设备受到的冲击电压也就越大，设备运行安全也就无保障。</w:t>
      </w:r>
    </w:p>
    <w:p>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4</w:t>
      </w:r>
      <w:r>
        <w:rPr>
          <w:rFonts w:asciiTheme="minorEastAsia" w:hAnsiTheme="minorEastAsia" w:eastAsiaTheme="minorEastAsia"/>
          <w:b/>
          <w:bCs/>
          <w:szCs w:val="21"/>
        </w:rPr>
        <w:t xml:space="preserve">.2.11  </w:t>
      </w:r>
      <w:r>
        <w:rPr>
          <w:rFonts w:hint="eastAsia" w:asciiTheme="minorEastAsia" w:hAnsiTheme="minorEastAsia" w:eastAsiaTheme="minorEastAsia"/>
          <w:szCs w:val="21"/>
        </w:rPr>
        <w:t>对电源端带电导体不接地或经高阻抗接地的</w:t>
      </w:r>
      <w:r>
        <w:rPr>
          <w:rFonts w:asciiTheme="minorEastAsia" w:hAnsiTheme="minorEastAsia" w:eastAsiaTheme="minorEastAsia"/>
          <w:szCs w:val="21"/>
        </w:rPr>
        <w:t>IT系统，当发生一个接地故障时，是通过装设的绝缘监测器报警来及时排除故障，以避免发生电气安全事故，确保供电的不间断。IMD的报警功能是根据系统要求设计的，因此对IT系统应根据设计要求使用IMD测试仪器检测IMD的报警功能。</w:t>
      </w:r>
    </w:p>
    <w:p>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4</w:t>
      </w:r>
      <w:r>
        <w:rPr>
          <w:rFonts w:asciiTheme="minorEastAsia" w:hAnsiTheme="minorEastAsia" w:eastAsiaTheme="minorEastAsia"/>
          <w:b/>
          <w:bCs/>
          <w:szCs w:val="21"/>
        </w:rPr>
        <w:t xml:space="preserve">.2.12  </w:t>
      </w:r>
      <w:r>
        <w:rPr>
          <w:rFonts w:hint="eastAsia" w:asciiTheme="minorEastAsia" w:hAnsiTheme="minorEastAsia" w:eastAsiaTheme="minorEastAsia"/>
          <w:szCs w:val="21"/>
        </w:rPr>
        <w:t>每个接线端子上的导线连接不应超过</w:t>
      </w:r>
      <w:r>
        <w:rPr>
          <w:rFonts w:asciiTheme="minorEastAsia" w:hAnsiTheme="minorEastAsia" w:eastAsiaTheme="minorEastAsia"/>
          <w:szCs w:val="21"/>
        </w:rPr>
        <w:t>2根，是为了连接紧密，不因通电后由于冷热交替等时间因素而过早在检修期内发生松动，同时也考虑到方便检修，不使因检修而扩大停电范围。同一垫圈下的螺丝两侧压的导线应截面和线径均一致，实际上这是一个结构是否合理的问题，如不一致，螺丝既受拉力，又受弯矩，对导线芯线必然一根压紧、另一根稍差，对导电的良好性将受到影响。</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建筑电气工程中，供电系统的接地形式除采用TN-S系统外，还有TT系统和IT系统，但不论何种形式均要求PE和N截然分开。因照明配电箱额定容量有大小，小容量的出线回路少，仅2个～3个回路，可以用数个接线柱分别组合成PE接线排和N接线排，但决不允许两者混合连接。所以在照明配电箱</w:t>
      </w:r>
      <w:r>
        <w:rPr>
          <w:rFonts w:hint="eastAsia" w:asciiTheme="minorEastAsia" w:hAnsiTheme="minorEastAsia" w:eastAsiaTheme="minorEastAsia"/>
          <w:color w:val="000000"/>
          <w:szCs w:val="21"/>
        </w:rPr>
        <w:t>（</w:t>
      </w:r>
      <w:r>
        <w:rPr>
          <w:rFonts w:asciiTheme="minorEastAsia" w:hAnsiTheme="minorEastAsia" w:eastAsiaTheme="minorEastAsia"/>
          <w:szCs w:val="21"/>
        </w:rPr>
        <w:t>盘</w:t>
      </w:r>
      <w:r>
        <w:rPr>
          <w:rFonts w:hint="eastAsia" w:asciiTheme="minorEastAsia" w:hAnsiTheme="minorEastAsia" w:eastAsiaTheme="minorEastAsia"/>
          <w:color w:val="000000"/>
          <w:szCs w:val="21"/>
        </w:rPr>
        <w:t>）</w:t>
      </w:r>
      <w:r>
        <w:rPr>
          <w:rFonts w:asciiTheme="minorEastAsia" w:hAnsiTheme="minorEastAsia" w:eastAsiaTheme="minorEastAsia"/>
          <w:szCs w:val="21"/>
        </w:rPr>
        <w:t>内应分设PE排和N排，这不仅施工时要严格区分，日后维修时也要注意，不能因误接而失去应有的保护作用，但对设计时出线回路采用单相双极开关或三相四极开关的照明配电箱，中性线是经开关控制的，此时配电箱内可不单独设置中性导体N汇流排。故</w:t>
      </w:r>
      <w:r>
        <w:rPr>
          <w:rFonts w:hint="eastAsia" w:asciiTheme="minorEastAsia" w:hAnsiTheme="minorEastAsia" w:eastAsiaTheme="minorEastAsia"/>
          <w:szCs w:val="21"/>
        </w:rPr>
        <w:t>本规范在修订中对本条作了修改，将“应”改为“宜”。</w:t>
      </w:r>
    </w:p>
    <w:p>
      <w:pPr>
        <w:spacing w:line="360" w:lineRule="auto"/>
        <w:ind w:firstLine="420" w:firstLineChars="200"/>
        <w:rPr>
          <w:rFonts w:asciiTheme="minorEastAsia" w:hAnsiTheme="minorEastAsia" w:eastAsiaTheme="minorEastAsia"/>
          <w:b/>
          <w:szCs w:val="21"/>
        </w:rPr>
      </w:pPr>
      <w:r>
        <w:rPr>
          <w:rFonts w:asciiTheme="minorEastAsia" w:hAnsiTheme="minorEastAsia" w:eastAsiaTheme="minorEastAsia"/>
          <w:szCs w:val="21"/>
        </w:rPr>
        <w:t>要求同一个端子上不应将不同回路的N或PE连接在汇流排的同一接线端子上，是为防止因检修或其他原因使得检修回路的N带电或不检修回路的PE意外断开，以保证电气检修或维护时的人身安全。</w:t>
      </w:r>
    </w:p>
    <w:p>
      <w:pPr>
        <w:spacing w:line="360" w:lineRule="auto"/>
        <w:rPr>
          <w:rFonts w:asciiTheme="minorEastAsia" w:hAnsiTheme="minorEastAsia" w:eastAsiaTheme="minorEastAsia"/>
          <w:b/>
          <w:szCs w:val="21"/>
        </w:rPr>
      </w:pPr>
      <w:r>
        <w:rPr>
          <w:rFonts w:hint="eastAsia" w:asciiTheme="minorEastAsia" w:hAnsiTheme="minorEastAsia" w:eastAsiaTheme="minorEastAsia"/>
          <w:b/>
          <w:bCs/>
          <w:szCs w:val="21"/>
        </w:rPr>
        <w:t>4</w:t>
      </w:r>
      <w:r>
        <w:rPr>
          <w:rFonts w:asciiTheme="minorEastAsia" w:hAnsiTheme="minorEastAsia" w:eastAsiaTheme="minorEastAsia"/>
          <w:b/>
          <w:bCs/>
          <w:szCs w:val="21"/>
        </w:rPr>
        <w:t xml:space="preserve">.2.13  </w:t>
      </w:r>
      <w:r>
        <w:rPr>
          <w:rFonts w:hint="eastAsia" w:asciiTheme="minorEastAsia" w:hAnsiTheme="minorEastAsia" w:eastAsiaTheme="minorEastAsia"/>
          <w:szCs w:val="21"/>
        </w:rPr>
        <w:t>建筑智能化工程能正常运转离不开建筑电气工程的配合，本条规定了彼此间接口的关系。</w:t>
      </w:r>
    </w:p>
    <w:p>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4</w:t>
      </w:r>
      <w:r>
        <w:rPr>
          <w:rFonts w:asciiTheme="minorEastAsia" w:hAnsiTheme="minorEastAsia" w:eastAsiaTheme="minorEastAsia"/>
          <w:b/>
          <w:bCs/>
          <w:szCs w:val="21"/>
        </w:rPr>
        <w:t xml:space="preserve">.2.14  </w:t>
      </w:r>
      <w:r>
        <w:rPr>
          <w:rFonts w:hint="eastAsia" w:asciiTheme="minorEastAsia" w:hAnsiTheme="minorEastAsia" w:eastAsiaTheme="minorEastAsia"/>
          <w:szCs w:val="21"/>
        </w:rPr>
        <w:t>配电箱（柜）包括配电箱（柜）及控制箱（柜、盘、台）等，本条主要是指成套柜和手车式柜。</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设置机械闭锁及电气闭锁是为了确保设备、系统的操作安全和人员安全，其动作应准确、可靠。</w:t>
      </w:r>
    </w:p>
    <w:p>
      <w:pPr>
        <w:pStyle w:val="4"/>
        <w:spacing w:before="120" w:beforeLines="50" w:after="120" w:afterLines="50"/>
        <w:rPr>
          <w:sz w:val="21"/>
          <w:szCs w:val="21"/>
        </w:rPr>
      </w:pPr>
      <w:r>
        <w:t>Ⅱ</w:t>
      </w:r>
      <w:r>
        <w:rPr>
          <w:sz w:val="21"/>
          <w:szCs w:val="21"/>
        </w:rPr>
        <w:t xml:space="preserve"> </w:t>
      </w:r>
      <w:r>
        <w:rPr>
          <w:rFonts w:hint="eastAsia"/>
          <w:sz w:val="21"/>
          <w:szCs w:val="21"/>
        </w:rPr>
        <w:t xml:space="preserve"> 一般项目</w:t>
      </w:r>
    </w:p>
    <w:p>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4</w:t>
      </w:r>
      <w:r>
        <w:rPr>
          <w:rFonts w:asciiTheme="minorEastAsia" w:hAnsiTheme="minorEastAsia" w:eastAsiaTheme="minorEastAsia"/>
          <w:b/>
          <w:bCs/>
          <w:szCs w:val="21"/>
        </w:rPr>
        <w:t xml:space="preserve">.2.16  </w:t>
      </w:r>
      <w:r>
        <w:rPr>
          <w:rFonts w:hint="eastAsia" w:asciiTheme="minorEastAsia" w:hAnsiTheme="minorEastAsia" w:eastAsiaTheme="minorEastAsia"/>
          <w:szCs w:val="21"/>
        </w:rPr>
        <w:t>本条主要是为安全考虑，要求柜、台、箱、盘保持与墙体或周围构筑物的安全距离，一方面是方便今后使用单位的维护，另一方面也是为了运行的安全。</w:t>
      </w:r>
    </w:p>
    <w:p>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4</w:t>
      </w:r>
      <w:r>
        <w:rPr>
          <w:rFonts w:asciiTheme="minorEastAsia" w:hAnsiTheme="minorEastAsia" w:eastAsiaTheme="minorEastAsia"/>
          <w:b/>
          <w:bCs/>
          <w:szCs w:val="21"/>
        </w:rPr>
        <w:t xml:space="preserve">.2.17  </w:t>
      </w:r>
      <w:r>
        <w:rPr>
          <w:rFonts w:hint="eastAsia" w:asciiTheme="minorEastAsia" w:hAnsiTheme="minorEastAsia" w:eastAsiaTheme="minorEastAsia"/>
          <w:szCs w:val="21"/>
        </w:rPr>
        <w:t>用螺栓连接固定，既方便拆卸更迭，又避免因焊接固定而造成柜、箱壳体涂层防腐损坏、使用寿命缩短。</w:t>
      </w:r>
    </w:p>
    <w:p>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4</w:t>
      </w:r>
      <w:r>
        <w:rPr>
          <w:rFonts w:asciiTheme="minorEastAsia" w:hAnsiTheme="minorEastAsia" w:eastAsiaTheme="minorEastAsia"/>
          <w:b/>
          <w:bCs/>
          <w:szCs w:val="21"/>
        </w:rPr>
        <w:t xml:space="preserve">.2.18  </w:t>
      </w:r>
      <w:r>
        <w:rPr>
          <w:rFonts w:hint="eastAsia" w:asciiTheme="minorEastAsia" w:hAnsiTheme="minorEastAsia" w:eastAsiaTheme="minorEastAsia"/>
          <w:szCs w:val="21"/>
        </w:rPr>
        <w:t>室外安装的落地式配电</w:t>
      </w:r>
      <w:r>
        <w:rPr>
          <w:rFonts w:hint="eastAsia" w:asciiTheme="minorEastAsia" w:hAnsiTheme="minorEastAsia" w:eastAsiaTheme="minorEastAsia"/>
          <w:color w:val="000000"/>
          <w:szCs w:val="21"/>
        </w:rPr>
        <w:t>（</w:t>
      </w:r>
      <w:r>
        <w:rPr>
          <w:rFonts w:asciiTheme="minorEastAsia" w:hAnsiTheme="minorEastAsia" w:eastAsiaTheme="minorEastAsia"/>
          <w:szCs w:val="21"/>
        </w:rPr>
        <w:t>控制</w:t>
      </w:r>
      <w:r>
        <w:rPr>
          <w:rFonts w:hint="eastAsia" w:asciiTheme="minorEastAsia" w:hAnsiTheme="minorEastAsia" w:eastAsiaTheme="minorEastAsia"/>
          <w:color w:val="000000"/>
          <w:szCs w:val="21"/>
        </w:rPr>
        <w:t>）</w:t>
      </w:r>
      <w:r>
        <w:rPr>
          <w:rFonts w:asciiTheme="minorEastAsia" w:hAnsiTheme="minorEastAsia" w:eastAsiaTheme="minorEastAsia"/>
          <w:szCs w:val="21"/>
        </w:rPr>
        <w:t>柜、箱本体有较好的防雨雪和散热性能，但其底部不是全密闭的，故而要注意防积水入侵，</w:t>
      </w:r>
      <w:r>
        <w:rPr>
          <w:rFonts w:hint="eastAsia" w:asciiTheme="minorEastAsia" w:hAnsiTheme="minorEastAsia" w:eastAsiaTheme="minorEastAsia"/>
          <w:color w:val="000000"/>
          <w:szCs w:val="21"/>
        </w:rPr>
        <w:t>其</w:t>
      </w:r>
      <w:r>
        <w:rPr>
          <w:rFonts w:asciiTheme="minorEastAsia" w:hAnsiTheme="minorEastAsia" w:eastAsiaTheme="minorEastAsia"/>
          <w:szCs w:val="21"/>
        </w:rPr>
        <w:t>基础的高度及周围排水通道设置应在施工时注意，并由设计单位在施工图纸上明确；其底座周围应采取封闭措施，是为防止鼠、蛇类等小动物进入箱内。</w:t>
      </w:r>
    </w:p>
    <w:p>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4</w:t>
      </w:r>
      <w:r>
        <w:rPr>
          <w:rFonts w:asciiTheme="minorEastAsia" w:hAnsiTheme="minorEastAsia" w:eastAsiaTheme="minorEastAsia"/>
          <w:b/>
          <w:bCs/>
          <w:szCs w:val="21"/>
        </w:rPr>
        <w:t xml:space="preserve">.2.19  </w:t>
      </w:r>
      <w:r>
        <w:rPr>
          <w:rFonts w:hint="eastAsia" w:asciiTheme="minorEastAsia" w:hAnsiTheme="minorEastAsia" w:eastAsiaTheme="minorEastAsia"/>
          <w:szCs w:val="21"/>
        </w:rPr>
        <w:t>现行国家标准《电气装置安装工程</w:t>
      </w:r>
      <w:r>
        <w:rPr>
          <w:rFonts w:hint="eastAsia" w:ascii="MS Mincho" w:hAnsi="MS Mincho" w:eastAsia="MS Mincho" w:cs="MS Mincho"/>
          <w:szCs w:val="21"/>
        </w:rPr>
        <w:t>  </w:t>
      </w:r>
      <w:r>
        <w:rPr>
          <w:rFonts w:asciiTheme="minorEastAsia" w:hAnsiTheme="minorEastAsia" w:eastAsiaTheme="minorEastAsia"/>
          <w:szCs w:val="21"/>
        </w:rPr>
        <w:t>盘、柜及二次回路接线施工及验收规范》GB</w:t>
      </w:r>
      <w:r>
        <w:rPr>
          <w:rFonts w:hint="eastAsia" w:ascii="MS Mincho" w:hAnsi="MS Mincho" w:eastAsia="MS Mincho" w:cs="MS Mincho"/>
          <w:szCs w:val="21"/>
        </w:rPr>
        <w:t> </w:t>
      </w:r>
      <w:r>
        <w:rPr>
          <w:rFonts w:asciiTheme="minorEastAsia" w:hAnsiTheme="minorEastAsia" w:eastAsiaTheme="minorEastAsia"/>
          <w:szCs w:val="21"/>
        </w:rPr>
        <w:t>50171中，除要求垂直度、相互间接缝、</w:t>
      </w:r>
      <w:r>
        <w:rPr>
          <w:rFonts w:asciiTheme="minorEastAsia" w:hAnsiTheme="minorEastAsia" w:eastAsiaTheme="minorEastAsia"/>
          <w:color w:val="000000"/>
          <w:szCs w:val="21"/>
        </w:rPr>
        <w:t>成</w:t>
      </w:r>
      <w:r>
        <w:rPr>
          <w:rFonts w:asciiTheme="minorEastAsia" w:hAnsiTheme="minorEastAsia" w:eastAsiaTheme="minorEastAsia"/>
          <w:szCs w:val="21"/>
        </w:rPr>
        <w:t>列盘面间的安装要求外，还有盘顶的高度差规定，由于柜、台、箱的生产技术从国外引进较多，其标准也不同，尤其表现在柜体的高度方面，这样对</w:t>
      </w:r>
      <w:r>
        <w:rPr>
          <w:rFonts w:asciiTheme="minorEastAsia" w:hAnsiTheme="minorEastAsia" w:eastAsiaTheme="minorEastAsia"/>
          <w:color w:val="000000"/>
          <w:szCs w:val="21"/>
        </w:rPr>
        <w:t>柜顶</w:t>
      </w:r>
      <w:r>
        <w:rPr>
          <w:rFonts w:asciiTheme="minorEastAsia" w:hAnsiTheme="minorEastAsia" w:eastAsiaTheme="minorEastAsia"/>
          <w:szCs w:val="21"/>
        </w:rPr>
        <w:t>标高的控制就失去了实际意义。如订货时并列安装的柜体来自同一家制造商，且明确外形尺寸，控制好基础型钢的安装尺寸，则柜顶标高自然会形成一致的。</w:t>
      </w:r>
    </w:p>
    <w:p>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4</w:t>
      </w:r>
      <w:r>
        <w:rPr>
          <w:rFonts w:asciiTheme="minorEastAsia" w:hAnsiTheme="minorEastAsia" w:eastAsiaTheme="minorEastAsia"/>
          <w:b/>
          <w:bCs/>
          <w:szCs w:val="21"/>
        </w:rPr>
        <w:t xml:space="preserve">.2.20  </w:t>
      </w:r>
      <w:r>
        <w:rPr>
          <w:rFonts w:hint="eastAsia" w:asciiTheme="minorEastAsia" w:hAnsiTheme="minorEastAsia" w:eastAsiaTheme="minorEastAsia"/>
          <w:szCs w:val="21"/>
        </w:rPr>
        <w:t>本条是常规且必须在施工中检查和施工后检验及试动作的质量要求，目的是确保通电运行正常，安全保护可靠，日后操作维护方便。</w:t>
      </w:r>
    </w:p>
    <w:p>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4</w:t>
      </w:r>
      <w:r>
        <w:rPr>
          <w:rFonts w:asciiTheme="minorEastAsia" w:hAnsiTheme="minorEastAsia" w:eastAsiaTheme="minorEastAsia"/>
          <w:b/>
          <w:bCs/>
          <w:szCs w:val="21"/>
        </w:rPr>
        <w:t xml:space="preserve">.2.22  </w:t>
      </w:r>
      <w:r>
        <w:rPr>
          <w:rFonts w:hint="eastAsia" w:asciiTheme="minorEastAsia" w:hAnsiTheme="minorEastAsia" w:eastAsiaTheme="minorEastAsia"/>
          <w:szCs w:val="21"/>
        </w:rPr>
        <w:t>对成套供应的柜、台、箱的内部接线一般由制造商完成，本条规定是指柜、台、箱间的二次回路连线和自制配电箱</w:t>
      </w:r>
      <w:r>
        <w:rPr>
          <w:rFonts w:hint="eastAsia" w:asciiTheme="minorEastAsia" w:hAnsiTheme="minorEastAsia" w:eastAsiaTheme="minorEastAsia"/>
          <w:color w:val="000000"/>
          <w:szCs w:val="21"/>
        </w:rPr>
        <w:t>（</w:t>
      </w:r>
      <w:r>
        <w:rPr>
          <w:rFonts w:asciiTheme="minorEastAsia" w:hAnsiTheme="minorEastAsia" w:eastAsiaTheme="minorEastAsia"/>
          <w:szCs w:val="21"/>
        </w:rPr>
        <w:t>盘</w:t>
      </w:r>
      <w:r>
        <w:rPr>
          <w:rFonts w:hint="eastAsia" w:asciiTheme="minorEastAsia" w:hAnsiTheme="minorEastAsia" w:eastAsiaTheme="minorEastAsia"/>
          <w:color w:val="000000"/>
          <w:szCs w:val="21"/>
        </w:rPr>
        <w:t>）</w:t>
      </w:r>
      <w:r>
        <w:rPr>
          <w:rFonts w:asciiTheme="minorEastAsia" w:hAnsiTheme="minorEastAsia" w:eastAsiaTheme="minorEastAsia"/>
          <w:szCs w:val="21"/>
        </w:rPr>
        <w:t>的配线要求。当然也适用于因设计变更需要施工现场对柜、台、箱二次回路连线的修改。规定电流回路导体截面积不应小于</w:t>
      </w: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5</w:t>
      </w:r>
      <w:r>
        <w:rPr>
          <w:rFonts w:hint="eastAsia" w:cs="仿宋" w:asciiTheme="minorEastAsia" w:hAnsiTheme="minorEastAsia" w:eastAsiaTheme="minorEastAsia"/>
          <w:color w:val="000000"/>
          <w:spacing w:val="0"/>
          <w:w w:val="15"/>
          <w:kern w:val="0"/>
          <w:szCs w:val="21"/>
          <w:fitText w:val="42" w:id="722148090"/>
        </w:rPr>
        <w:t xml:space="preserve">　 </w:t>
      </w:r>
      <w:r>
        <w:rPr>
          <w:rFonts w:hint="eastAsia" w:cs="仿宋" w:asciiTheme="minorEastAsia" w:hAnsiTheme="minorEastAsia" w:eastAsiaTheme="minorEastAsia"/>
          <w:color w:val="000000"/>
          <w:spacing w:val="-17"/>
          <w:w w:val="15"/>
          <w:kern w:val="0"/>
          <w:szCs w:val="21"/>
          <w:fitText w:val="42" w:id="722148090"/>
        </w:rPr>
        <w:t>　</w:t>
      </w:r>
      <w:r>
        <w:rPr>
          <w:rFonts w:hint="eastAsia" w:asciiTheme="minorEastAsia" w:hAnsiTheme="minorEastAsia" w:eastAsiaTheme="minorEastAsia"/>
          <w:color w:val="000000"/>
          <w:szCs w:val="21"/>
        </w:rPr>
        <w:t>m</w:t>
      </w:r>
      <w:r>
        <w:rPr>
          <w:rFonts w:asciiTheme="minorEastAsia" w:hAnsiTheme="minorEastAsia" w:eastAsiaTheme="minorEastAsia"/>
          <w:color w:val="000000"/>
          <w:szCs w:val="21"/>
        </w:rPr>
        <w:t>m</w:t>
      </w:r>
      <w:r>
        <w:rPr>
          <w:rFonts w:asciiTheme="minorEastAsia" w:hAnsiTheme="minorEastAsia" w:eastAsiaTheme="minorEastAsia"/>
          <w:color w:val="000000"/>
          <w:szCs w:val="21"/>
          <w:vertAlign w:val="superscript"/>
        </w:rPr>
        <w:t>2</w:t>
      </w:r>
      <w:r>
        <w:rPr>
          <w:rFonts w:asciiTheme="minorEastAsia" w:hAnsiTheme="minorEastAsia" w:eastAsiaTheme="minorEastAsia"/>
          <w:szCs w:val="21"/>
        </w:rPr>
        <w:t>是考虑其控制回路的仪表电阻值较小，电流相对会高些，为保证正常运行而提出的。二次回路连线的线路绑扎要求是为了不相互干扰，成束绑扎时要分开，标识清楚便于检修。</w:t>
      </w:r>
    </w:p>
    <w:p>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4</w:t>
      </w:r>
      <w:r>
        <w:rPr>
          <w:rFonts w:asciiTheme="minorEastAsia" w:hAnsiTheme="minorEastAsia" w:eastAsiaTheme="minorEastAsia"/>
          <w:b/>
          <w:bCs/>
          <w:szCs w:val="21"/>
        </w:rPr>
        <w:t xml:space="preserve">.2.23  </w:t>
      </w:r>
      <w:r>
        <w:rPr>
          <w:rFonts w:hint="eastAsia" w:asciiTheme="minorEastAsia" w:hAnsiTheme="minorEastAsia" w:eastAsiaTheme="minorEastAsia"/>
          <w:szCs w:val="21"/>
        </w:rPr>
        <w:t>如制造商按订货图制造，设计不作变更，本条在施工中基本很少应用。用铜芯软导线，作加强绝缘护层、端部固定等措施均是为了在运行中保护导线不致反复弯曲受力而折断线芯、破坏绝缘，同时也为了开启或闭合面板时，防止导线两端的元器件接线端子受到不应有的机械应力，而使通电中断，显然是为了达到安全运行的目的。软导线与电器连接，其端部可采用终端端子或搪锡，但由于螺纹压紧方式不能有效补偿焊锡蠕变造成导线与端子间的微小间隙，极易造成接触不良与异常发热，因此当设备上的电器连接端采用螺纹压紧方式时，其软导线端部应采用不开口的终端端子。当采用与专用工具配套的导线连接件时，就不必采用不开口的终端端子或搪锡工艺。</w:t>
      </w:r>
    </w:p>
    <w:p>
      <w:pPr>
        <w:spacing w:line="360" w:lineRule="auto"/>
        <w:rPr>
          <w:rFonts w:asciiTheme="minorEastAsia" w:hAnsiTheme="minorEastAsia" w:eastAsiaTheme="minorEastAsia"/>
          <w:b/>
          <w:szCs w:val="21"/>
        </w:rPr>
      </w:pPr>
      <w:r>
        <w:rPr>
          <w:rFonts w:hint="eastAsia" w:asciiTheme="minorEastAsia" w:hAnsiTheme="minorEastAsia" w:eastAsiaTheme="minorEastAsia"/>
          <w:b/>
          <w:bCs/>
          <w:szCs w:val="21"/>
        </w:rPr>
        <w:t>4</w:t>
      </w:r>
      <w:r>
        <w:rPr>
          <w:rFonts w:asciiTheme="minorEastAsia" w:hAnsiTheme="minorEastAsia" w:eastAsiaTheme="minorEastAsia"/>
          <w:b/>
          <w:bCs/>
          <w:szCs w:val="21"/>
        </w:rPr>
        <w:t xml:space="preserve">.2.24  </w:t>
      </w:r>
      <w:r>
        <w:rPr>
          <w:rFonts w:hint="eastAsia" w:asciiTheme="minorEastAsia" w:hAnsiTheme="minorEastAsia" w:eastAsiaTheme="minorEastAsia"/>
          <w:szCs w:val="21"/>
        </w:rPr>
        <w:t>标识齐全、正确是为了方便使用维修，防止误操作而发生人身触电事故。</w:t>
      </w:r>
    </w:p>
    <w:p>
      <w:pPr>
        <w:spacing w:line="360" w:lineRule="auto"/>
        <w:rPr>
          <w:rFonts w:asciiTheme="minorEastAsia" w:hAnsiTheme="minorEastAsia" w:eastAsiaTheme="minorEastAsia"/>
          <w:bCs/>
          <w:szCs w:val="21"/>
        </w:rPr>
      </w:pPr>
      <w:r>
        <w:rPr>
          <w:rFonts w:hint="eastAsia" w:asciiTheme="minorEastAsia" w:hAnsiTheme="minorEastAsia" w:eastAsiaTheme="minorEastAsia"/>
          <w:b/>
          <w:bCs/>
          <w:szCs w:val="21"/>
        </w:rPr>
        <w:t>4</w:t>
      </w:r>
      <w:r>
        <w:rPr>
          <w:rFonts w:asciiTheme="minorEastAsia" w:hAnsiTheme="minorEastAsia" w:eastAsiaTheme="minorEastAsia"/>
          <w:b/>
          <w:bCs/>
          <w:szCs w:val="21"/>
        </w:rPr>
        <w:t xml:space="preserve">.2.25  </w:t>
      </w:r>
      <w:r>
        <w:rPr>
          <w:rFonts w:hint="eastAsia" w:asciiTheme="minorEastAsia" w:hAnsiTheme="minorEastAsia" w:eastAsiaTheme="minorEastAsia"/>
          <w:bCs/>
          <w:szCs w:val="21"/>
        </w:rPr>
        <w:t>在实际施工中，智能建筑工程和建筑电气工程常由不同单位施工，产生配电箱内智能化控制和信号线敷设零乱，与强电线路交叉重叠，不但影响观感，而且容易产生干扰，故本条文作出相应规定。</w:t>
      </w:r>
    </w:p>
    <w:p>
      <w:pPr>
        <w:spacing w:line="360" w:lineRule="auto"/>
        <w:rPr>
          <w:rFonts w:asciiTheme="minorEastAsia" w:hAnsiTheme="minorEastAsia" w:eastAsiaTheme="minorEastAsia"/>
          <w:bCs/>
          <w:szCs w:val="21"/>
        </w:rPr>
      </w:pPr>
      <w:r>
        <w:rPr>
          <w:rFonts w:hint="eastAsia" w:asciiTheme="minorEastAsia" w:hAnsiTheme="minorEastAsia" w:eastAsiaTheme="minorEastAsia"/>
          <w:b/>
          <w:bCs/>
          <w:szCs w:val="21"/>
        </w:rPr>
        <w:t>4</w:t>
      </w:r>
      <w:r>
        <w:rPr>
          <w:rFonts w:asciiTheme="minorEastAsia" w:hAnsiTheme="minorEastAsia" w:eastAsiaTheme="minorEastAsia"/>
          <w:b/>
          <w:bCs/>
          <w:szCs w:val="21"/>
        </w:rPr>
        <w:t xml:space="preserve">.2.26  </w:t>
      </w:r>
      <w:r>
        <w:rPr>
          <w:rFonts w:hint="eastAsia" w:asciiTheme="minorEastAsia" w:hAnsiTheme="minorEastAsia" w:eastAsiaTheme="minorEastAsia"/>
          <w:bCs/>
          <w:szCs w:val="21"/>
        </w:rPr>
        <w:t>本条对配电箱</w:t>
      </w:r>
      <w:r>
        <w:rPr>
          <w:rFonts w:hint="eastAsia" w:asciiTheme="minorEastAsia" w:hAnsiTheme="minorEastAsia" w:eastAsiaTheme="minorEastAsia"/>
          <w:bCs/>
          <w:color w:val="000000"/>
          <w:szCs w:val="21"/>
        </w:rPr>
        <w:t>（</w:t>
      </w:r>
      <w:r>
        <w:rPr>
          <w:rFonts w:hint="eastAsia" w:asciiTheme="minorEastAsia" w:hAnsiTheme="minorEastAsia" w:eastAsiaTheme="minorEastAsia"/>
          <w:bCs/>
          <w:szCs w:val="21"/>
        </w:rPr>
        <w:t>柜）、通信设备的安装设计提出了具体要求。设备的安装螺栓或焊接强度应根据不同的楼层验算其螺栓抗震要求。元器件安装之间应留有余量，防止地震时相互碰撞。</w:t>
      </w:r>
    </w:p>
    <w:p>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291" w:name="_Toc136869127"/>
      <w:bookmarkStart w:id="292" w:name="_Toc137203429"/>
      <w:bookmarkStart w:id="293" w:name="_Toc137216279"/>
      <w:bookmarkStart w:id="294" w:name="_Toc136869543"/>
      <w:r>
        <w:rPr>
          <w:rFonts w:asciiTheme="minorEastAsia" w:hAnsiTheme="minorEastAsia" w:eastAsiaTheme="minorEastAsia"/>
          <w:sz w:val="24"/>
          <w:szCs w:val="24"/>
        </w:rPr>
        <w:t xml:space="preserve">4.3  </w:t>
      </w:r>
      <w:r>
        <w:rPr>
          <w:rFonts w:hint="eastAsia" w:asciiTheme="minorEastAsia" w:hAnsiTheme="minorEastAsia" w:eastAsiaTheme="minorEastAsia"/>
          <w:sz w:val="24"/>
          <w:szCs w:val="24"/>
        </w:rPr>
        <w:t>备用电源</w:t>
      </w:r>
      <w:bookmarkEnd w:id="290"/>
      <w:bookmarkEnd w:id="291"/>
      <w:bookmarkEnd w:id="292"/>
      <w:bookmarkEnd w:id="293"/>
      <w:bookmarkEnd w:id="294"/>
    </w:p>
    <w:p>
      <w:pPr>
        <w:pStyle w:val="4"/>
        <w:spacing w:before="120" w:beforeLines="50" w:after="120" w:afterLines="50"/>
        <w:rPr>
          <w:sz w:val="21"/>
          <w:szCs w:val="21"/>
        </w:rPr>
      </w:pPr>
      <w:r>
        <w:t>I</w:t>
      </w:r>
      <w:r>
        <w:rPr>
          <w:sz w:val="21"/>
          <w:szCs w:val="21"/>
        </w:rPr>
        <w:t xml:space="preserve">  </w:t>
      </w:r>
      <w:r>
        <w:rPr>
          <w:rFonts w:hint="eastAsia"/>
          <w:sz w:val="21"/>
          <w:szCs w:val="21"/>
        </w:rPr>
        <w:t>主控项目</w:t>
      </w:r>
    </w:p>
    <w:p>
      <w:pPr>
        <w:spacing w:line="360" w:lineRule="auto"/>
        <w:rPr>
          <w:rFonts w:ascii="宋体" w:hAnsi="宋体"/>
          <w:iCs/>
          <w:szCs w:val="21"/>
        </w:rPr>
      </w:pPr>
      <w:r>
        <w:rPr>
          <w:rFonts w:hint="eastAsia" w:ascii="宋体" w:hAnsi="宋体"/>
          <w:b/>
          <w:bCs/>
          <w:iCs/>
          <w:szCs w:val="21"/>
        </w:rPr>
        <w:t>4</w:t>
      </w:r>
      <w:r>
        <w:rPr>
          <w:rFonts w:ascii="宋体" w:hAnsi="宋体"/>
          <w:b/>
          <w:bCs/>
          <w:iCs/>
          <w:szCs w:val="21"/>
        </w:rPr>
        <w:t xml:space="preserve">.3.1  </w:t>
      </w:r>
      <w:r>
        <w:rPr>
          <w:rFonts w:hint="eastAsia" w:ascii="宋体" w:hAnsi="宋体"/>
          <w:iCs/>
          <w:szCs w:val="21"/>
        </w:rPr>
        <w:t>在建筑电气工程中，大型工程建筑选用高压发电机已较普遍，但无论是高压发电机还是低压发电机在制造厂均做出厂试验，合格后与柴油发动机组一起成套供货。安装后应按本规范规定做常规交接试验。</w:t>
      </w:r>
    </w:p>
    <w:p>
      <w:pPr>
        <w:snapToGrid w:val="0"/>
        <w:spacing w:line="360" w:lineRule="auto"/>
        <w:ind w:firstLine="420" w:firstLineChars="200"/>
        <w:rPr>
          <w:rStyle w:val="30"/>
          <w:rFonts w:ascii="宋体" w:hAnsi="宋体"/>
          <w:b w:val="0"/>
          <w:bCs w:val="0"/>
          <w:iCs/>
          <w:szCs w:val="21"/>
        </w:rPr>
      </w:pPr>
      <w:r>
        <w:rPr>
          <w:rFonts w:hint="eastAsia" w:ascii="宋体" w:hAnsi="宋体"/>
          <w:iCs/>
          <w:szCs w:val="21"/>
        </w:rPr>
        <w:t>由于电气交接试验是在空载情况下对发电机性能的考核，而负载情况下的考核要和柴油机有关试验一并进行，考核包括柴油机的调速特性能否满足供电质量要求等。</w:t>
      </w:r>
    </w:p>
    <w:p>
      <w:pPr>
        <w:spacing w:line="360" w:lineRule="auto"/>
        <w:rPr>
          <w:rFonts w:ascii="宋体" w:hAnsi="宋体"/>
          <w:iCs/>
          <w:szCs w:val="21"/>
        </w:rPr>
      </w:pPr>
      <w:r>
        <w:rPr>
          <w:rFonts w:hint="eastAsia" w:ascii="宋体" w:hAnsi="宋体"/>
          <w:b/>
          <w:bCs/>
          <w:iCs/>
          <w:szCs w:val="21"/>
        </w:rPr>
        <w:t>4</w:t>
      </w:r>
      <w:r>
        <w:rPr>
          <w:rFonts w:ascii="宋体" w:hAnsi="宋体"/>
          <w:b/>
          <w:bCs/>
          <w:iCs/>
          <w:szCs w:val="21"/>
        </w:rPr>
        <w:t xml:space="preserve">.3.2  </w:t>
      </w:r>
      <w:r>
        <w:rPr>
          <w:rFonts w:hint="eastAsia" w:ascii="宋体" w:hAnsi="宋体"/>
          <w:iCs/>
          <w:szCs w:val="21"/>
        </w:rPr>
        <w:t>由柴油发电机至配电室或经配套的控制柜至配电室的馈电线路，如果是电力电缆，通电前应按本条规定进行试验，绝缘电阻测试时兆欧表的选用应符合现行国家标准</w:t>
      </w:r>
      <w:r>
        <w:rPr>
          <w:rFonts w:hint="eastAsia" w:ascii="宋体" w:hAnsi="宋体"/>
          <w:iCs/>
          <w:color w:val="000000"/>
          <w:szCs w:val="21"/>
        </w:rPr>
        <w:t>《电气装置安装工程电气设备交接试验标准》GB 50150-2016</w:t>
      </w:r>
      <w:r>
        <w:rPr>
          <w:rFonts w:hint="eastAsia" w:ascii="宋体" w:hAnsi="宋体"/>
          <w:iCs/>
          <w:szCs w:val="21"/>
        </w:rPr>
        <w:t>的相关规定，如馈电线路是母线槽，则应按本规范对母线槽的验收规定进行检查和试验。</w:t>
      </w:r>
    </w:p>
    <w:p>
      <w:pPr>
        <w:spacing w:line="360" w:lineRule="auto"/>
        <w:rPr>
          <w:rFonts w:ascii="宋体" w:hAnsi="宋体"/>
          <w:iCs/>
          <w:szCs w:val="21"/>
        </w:rPr>
      </w:pPr>
      <w:r>
        <w:rPr>
          <w:rFonts w:hint="eastAsia" w:ascii="宋体" w:hAnsi="宋体"/>
          <w:b/>
          <w:bCs/>
          <w:iCs/>
          <w:szCs w:val="21"/>
        </w:rPr>
        <w:t>4</w:t>
      </w:r>
      <w:r>
        <w:rPr>
          <w:rFonts w:ascii="宋体" w:hAnsi="宋体"/>
          <w:b/>
          <w:bCs/>
          <w:iCs/>
          <w:szCs w:val="21"/>
        </w:rPr>
        <w:t xml:space="preserve">.3.3  </w:t>
      </w:r>
      <w:r>
        <w:rPr>
          <w:rFonts w:hint="eastAsia" w:ascii="宋体" w:hAnsi="宋体"/>
          <w:iCs/>
          <w:szCs w:val="21"/>
        </w:rPr>
        <w:t>柴油发电机的馈电线路是指由柴油发电机至配电室或经配套的控制柜至配电室的馈电线路，包括柴油发电机随机的出线开关柜间的馈电线路在内。原供电系统是指由市电供给的供电系统。核相是两个电源向同一供电系统供电的必要程序，虽然不出现并列运行，但相序一致才能确保用电设备的性能和安全。相序一致是指三相对应且交流变化规律一致。</w:t>
      </w:r>
    </w:p>
    <w:p>
      <w:pPr>
        <w:spacing w:line="360" w:lineRule="auto"/>
        <w:rPr>
          <w:rFonts w:ascii="宋体" w:hAnsi="宋体"/>
          <w:iCs/>
          <w:szCs w:val="21"/>
        </w:rPr>
      </w:pPr>
      <w:r>
        <w:rPr>
          <w:rFonts w:hint="eastAsia" w:ascii="宋体" w:hAnsi="宋体"/>
          <w:b/>
          <w:bCs/>
          <w:iCs/>
          <w:szCs w:val="21"/>
        </w:rPr>
        <w:t>4</w:t>
      </w:r>
      <w:r>
        <w:rPr>
          <w:rFonts w:ascii="宋体" w:hAnsi="宋体"/>
          <w:b/>
          <w:bCs/>
          <w:iCs/>
          <w:szCs w:val="21"/>
        </w:rPr>
        <w:t xml:space="preserve">.3.4  </w:t>
      </w:r>
      <w:r>
        <w:rPr>
          <w:rFonts w:hint="eastAsia" w:ascii="宋体" w:hAnsi="宋体"/>
          <w:iCs/>
          <w:szCs w:val="21"/>
        </w:rPr>
        <w:t>并列运行的柴油发电机的型号、规格、特性及配套设备是由设计来选择的，安装单位主要应保证并列运行的柴油发电机组的电气试验参数及测试数据应一致。</w:t>
      </w:r>
    </w:p>
    <w:p>
      <w:pPr>
        <w:spacing w:line="360" w:lineRule="auto"/>
        <w:rPr>
          <w:rFonts w:ascii="宋体" w:hAnsi="宋体"/>
          <w:iCs/>
          <w:szCs w:val="21"/>
        </w:rPr>
      </w:pPr>
      <w:r>
        <w:rPr>
          <w:rFonts w:hint="eastAsia" w:ascii="宋体" w:hAnsi="宋体"/>
          <w:b/>
          <w:bCs/>
          <w:iCs/>
          <w:szCs w:val="21"/>
        </w:rPr>
        <w:t>4</w:t>
      </w:r>
      <w:r>
        <w:rPr>
          <w:rFonts w:ascii="宋体" w:hAnsi="宋体"/>
          <w:b/>
          <w:bCs/>
          <w:iCs/>
          <w:szCs w:val="21"/>
        </w:rPr>
        <w:t xml:space="preserve">.3.5  </w:t>
      </w:r>
      <w:r>
        <w:rPr>
          <w:rFonts w:hint="eastAsia" w:ascii="宋体" w:hAnsi="宋体"/>
          <w:iCs/>
          <w:szCs w:val="21"/>
        </w:rPr>
        <w:t>对设计有发电机组的建筑工程多电源供电系统，为防止星形</w:t>
      </w:r>
      <w:r>
        <w:rPr>
          <w:rFonts w:hint="eastAsia" w:ascii="宋体" w:hAnsi="宋体"/>
          <w:iCs/>
          <w:color w:val="000000"/>
          <w:szCs w:val="21"/>
        </w:rPr>
        <w:t>结点（</w:t>
      </w:r>
      <w:r>
        <w:rPr>
          <w:rFonts w:hint="eastAsia" w:ascii="宋体" w:hAnsi="宋体"/>
          <w:iCs/>
          <w:szCs w:val="21"/>
        </w:rPr>
        <w:t>中性点</w:t>
      </w:r>
      <w:r>
        <w:rPr>
          <w:rFonts w:hint="eastAsia" w:ascii="宋体" w:hAnsi="宋体"/>
          <w:iCs/>
          <w:color w:val="000000"/>
          <w:szCs w:val="21"/>
        </w:rPr>
        <w:t>）</w:t>
      </w:r>
      <w:r>
        <w:rPr>
          <w:rFonts w:hint="eastAsia" w:ascii="宋体" w:hAnsi="宋体"/>
          <w:iCs/>
          <w:szCs w:val="21"/>
        </w:rPr>
        <w:t>的多点接地，发电机星形</w:t>
      </w:r>
      <w:r>
        <w:rPr>
          <w:rFonts w:hint="eastAsia" w:ascii="宋体" w:hAnsi="宋体"/>
          <w:iCs/>
          <w:color w:val="000000"/>
          <w:szCs w:val="21"/>
        </w:rPr>
        <w:t>结点（</w:t>
      </w:r>
      <w:r>
        <w:rPr>
          <w:rFonts w:hint="eastAsia" w:ascii="宋体" w:hAnsi="宋体"/>
          <w:iCs/>
          <w:szCs w:val="21"/>
        </w:rPr>
        <w:t>中性点</w:t>
      </w:r>
      <w:r>
        <w:rPr>
          <w:rFonts w:hint="eastAsia" w:ascii="宋体" w:hAnsi="宋体"/>
          <w:iCs/>
          <w:color w:val="000000"/>
          <w:szCs w:val="21"/>
        </w:rPr>
        <w:t>）</w:t>
      </w:r>
      <w:r>
        <w:rPr>
          <w:rFonts w:hint="eastAsia" w:ascii="宋体" w:hAnsi="宋体"/>
          <w:iCs/>
          <w:szCs w:val="21"/>
        </w:rPr>
        <w:t>的接地连接方式及接地电阻值要求是由设计人员根据系统情况提出的，施工时，施工人员必须按图施工，以确保用电安全。</w:t>
      </w:r>
    </w:p>
    <w:p>
      <w:pPr>
        <w:spacing w:line="360" w:lineRule="auto"/>
        <w:rPr>
          <w:rFonts w:ascii="宋体" w:hAnsi="宋体"/>
          <w:iCs/>
          <w:szCs w:val="21"/>
        </w:rPr>
      </w:pPr>
      <w:r>
        <w:rPr>
          <w:rFonts w:hint="eastAsia" w:ascii="宋体" w:hAnsi="宋体"/>
          <w:b/>
          <w:bCs/>
          <w:iCs/>
          <w:szCs w:val="21"/>
        </w:rPr>
        <w:t>4</w:t>
      </w:r>
      <w:r>
        <w:rPr>
          <w:rFonts w:ascii="宋体" w:hAnsi="宋体"/>
          <w:b/>
          <w:bCs/>
          <w:iCs/>
          <w:szCs w:val="21"/>
        </w:rPr>
        <w:t xml:space="preserve">.3.8  </w:t>
      </w:r>
      <w:r>
        <w:rPr>
          <w:rFonts w:hint="eastAsia" w:ascii="宋体" w:hAnsi="宋体"/>
          <w:iCs/>
          <w:szCs w:val="21"/>
        </w:rPr>
        <w:t>第1款震动隔离装置可采用减震器、防震橡胶或弹簧型装置；第2款隔离震动，对机组或其他设备造成的损坏而采取必要措施；第3款设备在安装前应验算地脚螺栓承载能力，防止因震动而松动影响机组正常工作。</w:t>
      </w:r>
    </w:p>
    <w:p>
      <w:pPr>
        <w:spacing w:line="360" w:lineRule="auto"/>
        <w:rPr>
          <w:rFonts w:asciiTheme="minorEastAsia" w:hAnsiTheme="minorEastAsia" w:eastAsiaTheme="minorEastAsia"/>
          <w:szCs w:val="21"/>
        </w:rPr>
      </w:pPr>
      <w:r>
        <w:rPr>
          <w:rFonts w:hint="eastAsia" w:ascii="宋体" w:hAnsi="宋体"/>
          <w:b/>
          <w:bCs/>
          <w:iCs/>
          <w:szCs w:val="21"/>
        </w:rPr>
        <w:t>4</w:t>
      </w:r>
      <w:r>
        <w:rPr>
          <w:rFonts w:ascii="宋体" w:hAnsi="宋体"/>
          <w:b/>
          <w:bCs/>
          <w:iCs/>
          <w:szCs w:val="21"/>
        </w:rPr>
        <w:t xml:space="preserve">.3.9  </w:t>
      </w:r>
      <w:r>
        <w:rPr>
          <w:rFonts w:hint="eastAsia" w:asciiTheme="minorEastAsia" w:hAnsiTheme="minorEastAsia" w:eastAsiaTheme="minorEastAsia"/>
          <w:szCs w:val="21"/>
        </w:rPr>
        <w:t>本条在GB50303原规范的基础上，整合了</w:t>
      </w:r>
      <w:r>
        <w:fldChar w:fldCharType="begin"/>
      </w:r>
      <w:r>
        <w:instrText xml:space="preserve"> HYPERLINK "https://www.so.com/link?m=bF9kY1hGAsJVPt8nkrLHGZG5I1bbdQOd8oUOslVUHeDr0vgDdJQMZsrNM5Xv6R3RLYv0iGmVhGpIh5fZk9nWxkWDxeUNbJPzYN3BlQHszAqCFHjxj16iYPXjOrU7dwnxdYIFfppwRfNijE%2BFl%2BiVid%2FAb2WodUaOmF00C2N8AJK9NJlkYeJYuYEC7i%2BN3WsJlvfCHtQSFWl7l8c9LZt95gfGc7sfhz33xL4%2FTBpr98yeWiRlgG1z6QyscoR2EZo%2FmHYqFJTgSlKzma5AdnJMfcdUOemTdjp8On0wqV3XlKj9%2FTIko" \t "_blank" </w:instrText>
      </w:r>
      <w:r>
        <w:fldChar w:fldCharType="separate"/>
      </w:r>
      <w:r>
        <w:rPr>
          <w:rFonts w:asciiTheme="minorEastAsia" w:hAnsiTheme="minorEastAsia" w:eastAsiaTheme="minorEastAsia"/>
          <w:szCs w:val="21"/>
        </w:rPr>
        <w:t>GB 55024-2022</w:t>
      </w:r>
      <w:r>
        <w:rPr>
          <w:rFonts w:asciiTheme="minorEastAsia" w:hAnsiTheme="minorEastAsia" w:eastAsiaTheme="minorEastAsia"/>
          <w:szCs w:val="21"/>
        </w:rPr>
        <w:fldChar w:fldCharType="end"/>
      </w:r>
      <w:r>
        <w:rPr>
          <w:rFonts w:hint="eastAsia" w:asciiTheme="minorEastAsia" w:hAnsiTheme="minorEastAsia" w:eastAsiaTheme="minorEastAsia"/>
          <w:szCs w:val="21"/>
        </w:rPr>
        <w:t>《建筑电气与智能化通用规范》第8.3.3款。由于UPS同样有初装容量、用电容量、允许过载能力、电源转换时间（除在线式）等技术参数，故本条在原条款基础上补充了UPS；将原条款中“额定最大输出功率”修改为“额定最大输出容量”，对于供电设备而言，采用“容量”比“功率”更适合。</w:t>
      </w:r>
    </w:p>
    <w:p>
      <w:pPr>
        <w:spacing w:line="360" w:lineRule="auto"/>
        <w:rPr>
          <w:rFonts w:asciiTheme="minorEastAsia" w:hAnsiTheme="minorEastAsia" w:eastAsiaTheme="minorEastAsia"/>
          <w:szCs w:val="21"/>
        </w:rPr>
      </w:pPr>
      <w:r>
        <w:rPr>
          <w:rFonts w:hint="eastAsia" w:ascii="宋体" w:hAnsi="宋体"/>
          <w:b/>
          <w:bCs/>
          <w:iCs/>
          <w:szCs w:val="21"/>
        </w:rPr>
        <w:t>4</w:t>
      </w:r>
      <w:r>
        <w:rPr>
          <w:rFonts w:ascii="宋体" w:hAnsi="宋体"/>
          <w:b/>
          <w:bCs/>
          <w:iCs/>
          <w:szCs w:val="21"/>
        </w:rPr>
        <w:t xml:space="preserve">.3.10  </w:t>
      </w:r>
      <w:r>
        <w:rPr>
          <w:rFonts w:hint="eastAsia" w:asciiTheme="minorEastAsia" w:hAnsiTheme="minorEastAsia" w:eastAsiaTheme="minorEastAsia"/>
          <w:szCs w:val="21"/>
        </w:rPr>
        <w:t>本条是GB50303主控项目引用。由于UPS通常用于通信或电脑设备的电源供给</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输入、输出端的绝缘电阻值是根据通信用不间断电源对绝缘电阻的要求而提出的</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UPS及EPS 连线的线间、线对地间绝缘电阻值与国家相关标准是一致的。</w:t>
      </w:r>
    </w:p>
    <w:p>
      <w:pPr>
        <w:spacing w:line="360" w:lineRule="auto"/>
        <w:rPr>
          <w:rFonts w:asciiTheme="minorEastAsia" w:hAnsiTheme="minorEastAsia" w:eastAsiaTheme="minorEastAsia"/>
          <w:szCs w:val="21"/>
        </w:rPr>
      </w:pPr>
      <w:r>
        <w:rPr>
          <w:rFonts w:hint="eastAsia" w:ascii="宋体" w:hAnsi="宋体"/>
          <w:b/>
          <w:bCs/>
          <w:iCs/>
          <w:szCs w:val="21"/>
        </w:rPr>
        <w:t>4</w:t>
      </w:r>
      <w:r>
        <w:rPr>
          <w:rFonts w:ascii="宋体" w:hAnsi="宋体"/>
          <w:b/>
          <w:bCs/>
          <w:iCs/>
          <w:szCs w:val="21"/>
        </w:rPr>
        <w:t xml:space="preserve">.3.12  </w:t>
      </w:r>
      <w:r>
        <w:rPr>
          <w:rFonts w:hint="eastAsia" w:asciiTheme="minorEastAsia" w:hAnsiTheme="minorEastAsia" w:eastAsiaTheme="minorEastAsia"/>
          <w:szCs w:val="21"/>
        </w:rPr>
        <w:t>本条参考GB55024-2022《建筑电气与智能化通用规范》第37页第9.5.6条“竣工验收时应检查下列工程质量控制记录”第11款“EPS及UPS 应急持续供电时间记录”。对于应急电源而言，其供电持续时间是一项重要指标，GB55024-2022《建筑电气与智能化通用规范》全文强条中有明确验收要求，</w:t>
      </w:r>
      <w:r>
        <w:rPr>
          <w:rFonts w:hint="eastAsia" w:asciiTheme="minorEastAsia" w:hAnsiTheme="minorEastAsia" w:eastAsiaTheme="minorEastAsia"/>
          <w:color w:val="000000"/>
          <w:szCs w:val="21"/>
        </w:rPr>
        <w:t>须</w:t>
      </w:r>
      <w:r>
        <w:rPr>
          <w:rFonts w:hint="eastAsia" w:asciiTheme="minorEastAsia" w:hAnsiTheme="minorEastAsia" w:eastAsiaTheme="minorEastAsia"/>
          <w:szCs w:val="21"/>
        </w:rPr>
        <w:t>检查其应急持续供电时间。</w:t>
      </w:r>
    </w:p>
    <w:p>
      <w:pPr>
        <w:pStyle w:val="4"/>
        <w:spacing w:before="120" w:beforeLines="50" w:after="120" w:afterLines="50"/>
        <w:rPr>
          <w:sz w:val="21"/>
          <w:szCs w:val="21"/>
        </w:rPr>
      </w:pPr>
      <w:r>
        <w:t>Ⅱ</w:t>
      </w:r>
      <w:r>
        <w:rPr>
          <w:rFonts w:hint="eastAsia"/>
          <w:sz w:val="21"/>
          <w:szCs w:val="21"/>
        </w:rPr>
        <w:t xml:space="preserve"> </w:t>
      </w:r>
      <w:r>
        <w:rPr>
          <w:sz w:val="21"/>
          <w:szCs w:val="21"/>
        </w:rPr>
        <w:t xml:space="preserve"> </w:t>
      </w:r>
      <w:r>
        <w:rPr>
          <w:rFonts w:hint="eastAsia"/>
          <w:sz w:val="21"/>
          <w:szCs w:val="21"/>
        </w:rPr>
        <w:t>一般项目</w:t>
      </w:r>
    </w:p>
    <w:p>
      <w:pPr>
        <w:spacing w:line="360" w:lineRule="auto"/>
        <w:rPr>
          <w:rFonts w:ascii="宋体" w:hAnsi="宋体"/>
          <w:iCs/>
          <w:szCs w:val="21"/>
        </w:rPr>
      </w:pPr>
      <w:r>
        <w:rPr>
          <w:rFonts w:hint="eastAsia" w:ascii="宋体" w:hAnsi="宋体"/>
          <w:b/>
          <w:bCs/>
          <w:iCs/>
          <w:szCs w:val="21"/>
        </w:rPr>
        <w:t>4</w:t>
      </w:r>
      <w:r>
        <w:rPr>
          <w:rFonts w:ascii="宋体" w:hAnsi="宋体"/>
          <w:b/>
          <w:bCs/>
          <w:iCs/>
          <w:szCs w:val="21"/>
        </w:rPr>
        <w:t xml:space="preserve">.3.13  </w:t>
      </w:r>
      <w:r>
        <w:rPr>
          <w:rFonts w:hint="eastAsia" w:ascii="宋体" w:hAnsi="宋体"/>
          <w:iCs/>
          <w:szCs w:val="21"/>
        </w:rPr>
        <w:t>有的柴油发电机及其配电柜、控制柜在出厂时已做负载试验，并按产品制造要求对发电机本体保护的各类保护装置作出标定或锁定，考虑到成套供应的柴油发电机，经运输保管和施工安装，有可能随机柜的紧固件发生松动移位，所以要认真检查，以保证安全运行。</w:t>
      </w:r>
    </w:p>
    <w:p>
      <w:pPr>
        <w:spacing w:line="360" w:lineRule="auto"/>
        <w:rPr>
          <w:rFonts w:ascii="宋体" w:hAnsi="宋体"/>
          <w:iCs/>
          <w:szCs w:val="21"/>
        </w:rPr>
      </w:pPr>
      <w:r>
        <w:rPr>
          <w:rFonts w:hint="eastAsia" w:ascii="宋体" w:hAnsi="宋体"/>
          <w:b/>
          <w:bCs/>
          <w:iCs/>
          <w:szCs w:val="21"/>
        </w:rPr>
        <w:t>4</w:t>
      </w:r>
      <w:r>
        <w:rPr>
          <w:rFonts w:ascii="宋体" w:hAnsi="宋体"/>
          <w:b/>
          <w:bCs/>
          <w:iCs/>
          <w:szCs w:val="21"/>
        </w:rPr>
        <w:t xml:space="preserve">.3.14  </w:t>
      </w:r>
      <w:r>
        <w:rPr>
          <w:rFonts w:hint="eastAsia" w:ascii="宋体" w:hAnsi="宋体"/>
          <w:iCs/>
          <w:szCs w:val="21"/>
        </w:rPr>
        <w:t>与柴油发电机馈电有关的电气线路及其元器件的试验均合格后，才具有作为自备电源的可能性。而其可靠性检验是在建筑物正式投入使用前，按设计预案，使柴油发电机带上预定负荷，按厂家提供的技术文件规定时间</w:t>
      </w:r>
      <w:r>
        <w:rPr>
          <w:rFonts w:hint="eastAsia" w:ascii="宋体" w:hAnsi="宋体"/>
          <w:iCs/>
          <w:color w:val="000000"/>
          <w:szCs w:val="21"/>
        </w:rPr>
        <w:t>内</w:t>
      </w:r>
      <w:r>
        <w:rPr>
          <w:rFonts w:hint="eastAsia" w:ascii="宋体" w:hAnsi="宋体"/>
          <w:iCs/>
          <w:szCs w:val="21"/>
        </w:rPr>
        <w:t>连续运转，无机械和电气故障，方可认为这个自备电源是可靠的。</w:t>
      </w:r>
    </w:p>
    <w:p>
      <w:pPr>
        <w:spacing w:line="360" w:lineRule="auto"/>
        <w:rPr>
          <w:rFonts w:ascii="宋体" w:hAnsi="宋体"/>
          <w:szCs w:val="21"/>
        </w:rPr>
      </w:pPr>
      <w:r>
        <w:rPr>
          <w:rFonts w:hint="eastAsia" w:ascii="宋体" w:hAnsi="宋体"/>
          <w:b/>
          <w:bCs/>
          <w:iCs/>
          <w:szCs w:val="21"/>
        </w:rPr>
        <w:t>4</w:t>
      </w:r>
      <w:r>
        <w:rPr>
          <w:rFonts w:ascii="宋体" w:hAnsi="宋体"/>
          <w:b/>
          <w:bCs/>
          <w:iCs/>
          <w:szCs w:val="21"/>
        </w:rPr>
        <w:t xml:space="preserve">.3.15  </w:t>
      </w:r>
      <w:r>
        <w:rPr>
          <w:rFonts w:ascii="宋体" w:hAnsi="宋体"/>
          <w:szCs w:val="21"/>
        </w:rPr>
        <w:t>发电机由于运输、保存或安装后受潮，绝缘电阻或吸收比达不到规范要求时，应进行干燥处理</w:t>
      </w:r>
      <w:r>
        <w:rPr>
          <w:rFonts w:hint="eastAsia" w:ascii="宋体" w:hAnsi="宋体"/>
          <w:szCs w:val="21"/>
        </w:rPr>
        <w:t>。</w:t>
      </w:r>
    </w:p>
    <w:p>
      <w:pPr>
        <w:pStyle w:val="41"/>
        <w:snapToGrid w:val="0"/>
        <w:spacing w:line="360" w:lineRule="auto"/>
        <w:ind w:left="640" w:firstLine="0" w:firstLineChars="0"/>
        <w:rPr>
          <w:rFonts w:ascii="宋体" w:hAnsi="宋体"/>
          <w:szCs w:val="21"/>
        </w:rPr>
      </w:pPr>
      <w:r>
        <w:rPr>
          <w:rFonts w:ascii="宋体" w:hAnsi="宋体"/>
          <w:szCs w:val="21"/>
        </w:rPr>
        <w:t>1</w:t>
      </w:r>
      <w:r>
        <w:rPr>
          <w:rFonts w:hint="eastAsia" w:ascii="宋体" w:hAnsi="宋体"/>
          <w:szCs w:val="21"/>
        </w:rPr>
        <w:t>）</w:t>
      </w:r>
      <w:r>
        <w:rPr>
          <w:rFonts w:hint="eastAsia" w:ascii="宋体" w:hAnsi="宋体"/>
          <w:color w:val="000000"/>
          <w:szCs w:val="21"/>
        </w:rPr>
        <w:t>1</w:t>
      </w:r>
      <w:r>
        <w:rPr>
          <w:rFonts w:hint="eastAsia" w:cs="仿宋" w:asciiTheme="minorEastAsia" w:hAnsiTheme="minorEastAsia" w:eastAsiaTheme="minorEastAsia"/>
          <w:color w:val="000000"/>
          <w:spacing w:val="0"/>
          <w:w w:val="15"/>
          <w:kern w:val="0"/>
          <w:szCs w:val="21"/>
          <w:fitText w:val="42" w:id="713368074"/>
        </w:rPr>
        <w:t xml:space="preserve">　 </w:t>
      </w:r>
      <w:r>
        <w:rPr>
          <w:rFonts w:hint="eastAsia" w:cs="仿宋" w:asciiTheme="minorEastAsia" w:hAnsiTheme="minorEastAsia" w:eastAsiaTheme="minorEastAsia"/>
          <w:color w:val="000000"/>
          <w:spacing w:val="-17"/>
          <w:w w:val="15"/>
          <w:kern w:val="0"/>
          <w:szCs w:val="21"/>
          <w:fitText w:val="42" w:id="713368074"/>
        </w:rPr>
        <w:t>　</w:t>
      </w:r>
      <w:r>
        <w:rPr>
          <w:rFonts w:hint="eastAsia" w:ascii="宋体" w:hAnsi="宋体"/>
          <w:color w:val="000000"/>
          <w:szCs w:val="21"/>
        </w:rPr>
        <w:t>k</w:t>
      </w:r>
      <w:r>
        <w:rPr>
          <w:rFonts w:ascii="宋体" w:hAnsi="宋体"/>
          <w:color w:val="000000"/>
          <w:szCs w:val="21"/>
        </w:rPr>
        <w:t>V</w:t>
      </w:r>
      <w:r>
        <w:rPr>
          <w:rFonts w:ascii="宋体" w:hAnsi="宋体"/>
          <w:szCs w:val="21"/>
        </w:rPr>
        <w:t xml:space="preserve"> 以下柴油发电机组使用 </w:t>
      </w:r>
      <w:r>
        <w:rPr>
          <w:rFonts w:hint="eastAsia" w:ascii="宋体" w:hAnsi="宋体"/>
          <w:color w:val="000000"/>
          <w:szCs w:val="21"/>
        </w:rPr>
        <w:t>1</w:t>
      </w:r>
      <w:r>
        <w:rPr>
          <w:rFonts w:hint="eastAsia" w:cs="仿宋" w:asciiTheme="minorEastAsia" w:hAnsiTheme="minorEastAsia" w:eastAsiaTheme="minorEastAsia"/>
          <w:color w:val="000000"/>
          <w:spacing w:val="0"/>
          <w:w w:val="15"/>
          <w:kern w:val="0"/>
          <w:szCs w:val="21"/>
          <w:fitText w:val="42" w:id="1647264421"/>
        </w:rPr>
        <w:t xml:space="preserve">　 </w:t>
      </w:r>
      <w:r>
        <w:rPr>
          <w:rFonts w:hint="eastAsia" w:cs="仿宋" w:asciiTheme="minorEastAsia" w:hAnsiTheme="minorEastAsia" w:eastAsiaTheme="minorEastAsia"/>
          <w:color w:val="000000"/>
          <w:spacing w:val="-17"/>
          <w:w w:val="15"/>
          <w:kern w:val="0"/>
          <w:szCs w:val="21"/>
          <w:fitText w:val="42" w:id="1647264421"/>
        </w:rPr>
        <w:t>　</w:t>
      </w:r>
      <w:r>
        <w:rPr>
          <w:rFonts w:hint="eastAsia" w:ascii="宋体" w:hAnsi="宋体"/>
          <w:color w:val="000000"/>
          <w:szCs w:val="21"/>
        </w:rPr>
        <w:t>k</w:t>
      </w:r>
      <w:r>
        <w:rPr>
          <w:rFonts w:ascii="宋体" w:hAnsi="宋体"/>
          <w:color w:val="000000"/>
          <w:szCs w:val="21"/>
        </w:rPr>
        <w:t>V</w:t>
      </w:r>
      <w:r>
        <w:rPr>
          <w:rFonts w:ascii="宋体" w:hAnsi="宋体"/>
          <w:szCs w:val="21"/>
        </w:rPr>
        <w:t xml:space="preserve"> </w:t>
      </w:r>
      <w:r>
        <w:rPr>
          <w:rFonts w:hint="eastAsia" w:ascii="宋体" w:hAnsi="宋体"/>
          <w:szCs w:val="21"/>
        </w:rPr>
        <w:t>兆欧表</w:t>
      </w:r>
      <w:r>
        <w:rPr>
          <w:rFonts w:ascii="宋体" w:hAnsi="宋体"/>
          <w:szCs w:val="21"/>
        </w:rPr>
        <w:t xml:space="preserve">摇测，绝缘电阻值应不低于 </w:t>
      </w:r>
      <w:r>
        <w:rPr>
          <w:rFonts w:hint="eastAsia" w:ascii="宋体" w:hAnsi="宋体"/>
          <w:color w:val="000000"/>
          <w:szCs w:val="21"/>
        </w:rPr>
        <w:t>1</w:t>
      </w:r>
      <w:r>
        <w:rPr>
          <w:rFonts w:hint="eastAsia" w:cs="仿宋" w:asciiTheme="minorEastAsia" w:hAnsiTheme="minorEastAsia" w:eastAsiaTheme="minorEastAsia"/>
          <w:color w:val="000000"/>
          <w:spacing w:val="0"/>
          <w:w w:val="15"/>
          <w:kern w:val="0"/>
          <w:szCs w:val="21"/>
          <w:fitText w:val="42" w:id="1535734409"/>
        </w:rPr>
        <w:t xml:space="preserve">　 </w:t>
      </w:r>
      <w:r>
        <w:rPr>
          <w:rFonts w:hint="eastAsia" w:cs="仿宋" w:asciiTheme="minorEastAsia" w:hAnsiTheme="minorEastAsia" w:eastAsiaTheme="minorEastAsia"/>
          <w:color w:val="000000"/>
          <w:spacing w:val="-17"/>
          <w:w w:val="15"/>
          <w:kern w:val="0"/>
          <w:szCs w:val="21"/>
          <w:fitText w:val="42" w:id="1535734409"/>
        </w:rPr>
        <w:t>　</w:t>
      </w:r>
      <w:r>
        <w:rPr>
          <w:rFonts w:hint="eastAsia" w:ascii="宋体" w:hAnsi="宋体"/>
          <w:color w:val="000000"/>
          <w:szCs w:val="21"/>
        </w:rPr>
        <w:t>M</w:t>
      </w:r>
      <w:r>
        <w:rPr>
          <w:rFonts w:ascii="宋体" w:hAnsi="宋体"/>
          <w:color w:val="000000"/>
          <w:szCs w:val="21"/>
        </w:rPr>
        <w:t>Ω</w:t>
      </w:r>
      <w:r>
        <w:rPr>
          <w:rFonts w:ascii="宋体" w:hAnsi="宋体"/>
          <w:szCs w:val="21"/>
        </w:rPr>
        <w:t>；</w:t>
      </w:r>
    </w:p>
    <w:p>
      <w:pPr>
        <w:pStyle w:val="41"/>
        <w:snapToGrid w:val="0"/>
        <w:spacing w:line="360" w:lineRule="auto"/>
        <w:ind w:left="640" w:firstLine="0" w:firstLineChars="0"/>
        <w:rPr>
          <w:rFonts w:ascii="宋体" w:hAnsi="宋体"/>
          <w:szCs w:val="21"/>
        </w:rPr>
      </w:pPr>
      <w:r>
        <w:rPr>
          <w:rFonts w:ascii="宋体" w:hAnsi="宋体"/>
          <w:szCs w:val="21"/>
        </w:rPr>
        <w:t>2）</w:t>
      </w:r>
      <w:r>
        <w:rPr>
          <w:rFonts w:hint="eastAsia" w:ascii="宋体" w:hAnsi="宋体"/>
          <w:color w:val="000000"/>
          <w:szCs w:val="21"/>
        </w:rPr>
        <w:t>1</w:t>
      </w:r>
      <w:r>
        <w:rPr>
          <w:rFonts w:hint="eastAsia" w:cs="仿宋" w:asciiTheme="minorEastAsia" w:hAnsiTheme="minorEastAsia" w:eastAsiaTheme="minorEastAsia"/>
          <w:color w:val="000000"/>
          <w:spacing w:val="0"/>
          <w:w w:val="15"/>
          <w:kern w:val="0"/>
          <w:szCs w:val="21"/>
          <w:fitText w:val="42" w:id="207060838"/>
        </w:rPr>
        <w:t xml:space="preserve">　 </w:t>
      </w:r>
      <w:r>
        <w:rPr>
          <w:rFonts w:hint="eastAsia" w:cs="仿宋" w:asciiTheme="minorEastAsia" w:hAnsiTheme="minorEastAsia" w:eastAsiaTheme="minorEastAsia"/>
          <w:color w:val="000000"/>
          <w:spacing w:val="-17"/>
          <w:w w:val="15"/>
          <w:kern w:val="0"/>
          <w:szCs w:val="21"/>
          <w:fitText w:val="42" w:id="207060838"/>
        </w:rPr>
        <w:t>　</w:t>
      </w:r>
      <w:r>
        <w:rPr>
          <w:rFonts w:hint="eastAsia" w:ascii="宋体" w:hAnsi="宋体"/>
          <w:color w:val="000000"/>
          <w:szCs w:val="21"/>
        </w:rPr>
        <w:t>k</w:t>
      </w:r>
      <w:r>
        <w:rPr>
          <w:rFonts w:ascii="宋体" w:hAnsi="宋体"/>
          <w:color w:val="000000"/>
          <w:szCs w:val="21"/>
        </w:rPr>
        <w:t>V</w:t>
      </w:r>
      <w:r>
        <w:rPr>
          <w:rFonts w:ascii="宋体" w:hAnsi="宋体"/>
          <w:szCs w:val="21"/>
        </w:rPr>
        <w:t xml:space="preserve"> 及以上柴油发电机组，使用 </w:t>
      </w:r>
      <w:r>
        <w:rPr>
          <w:rFonts w:ascii="宋体" w:hAnsi="宋体"/>
          <w:color w:val="000000"/>
          <w:szCs w:val="21"/>
        </w:rPr>
        <w:t>2.</w:t>
      </w:r>
      <w:r>
        <w:rPr>
          <w:rFonts w:hint="eastAsia" w:ascii="宋体" w:hAnsi="宋体"/>
          <w:color w:val="000000"/>
          <w:szCs w:val="21"/>
        </w:rPr>
        <w:t>5</w:t>
      </w:r>
      <w:r>
        <w:rPr>
          <w:rFonts w:hint="eastAsia" w:cs="仿宋" w:asciiTheme="minorEastAsia" w:hAnsiTheme="minorEastAsia" w:eastAsiaTheme="minorEastAsia"/>
          <w:color w:val="000000"/>
          <w:spacing w:val="0"/>
          <w:w w:val="15"/>
          <w:kern w:val="0"/>
          <w:szCs w:val="21"/>
          <w:fitText w:val="42" w:id="568009777"/>
        </w:rPr>
        <w:t xml:space="preserve">　 </w:t>
      </w:r>
      <w:r>
        <w:rPr>
          <w:rFonts w:hint="eastAsia" w:cs="仿宋" w:asciiTheme="minorEastAsia" w:hAnsiTheme="minorEastAsia" w:eastAsiaTheme="minorEastAsia"/>
          <w:color w:val="000000"/>
          <w:spacing w:val="-17"/>
          <w:w w:val="15"/>
          <w:kern w:val="0"/>
          <w:szCs w:val="21"/>
          <w:fitText w:val="42" w:id="568009777"/>
        </w:rPr>
        <w:t>　</w:t>
      </w:r>
      <w:r>
        <w:rPr>
          <w:rFonts w:hint="eastAsia" w:ascii="宋体" w:hAnsi="宋体"/>
          <w:color w:val="000000"/>
          <w:szCs w:val="21"/>
        </w:rPr>
        <w:t>k</w:t>
      </w:r>
      <w:r>
        <w:rPr>
          <w:rFonts w:ascii="宋体" w:hAnsi="宋体"/>
          <w:color w:val="000000"/>
          <w:szCs w:val="21"/>
        </w:rPr>
        <w:t>V</w:t>
      </w:r>
      <w:r>
        <w:rPr>
          <w:rFonts w:ascii="宋体" w:hAnsi="宋体"/>
          <w:szCs w:val="21"/>
        </w:rPr>
        <w:t xml:space="preserve"> </w:t>
      </w:r>
      <w:r>
        <w:rPr>
          <w:rFonts w:hint="eastAsia" w:ascii="宋体" w:hAnsi="宋体"/>
          <w:szCs w:val="21"/>
        </w:rPr>
        <w:t>兆欧表</w:t>
      </w:r>
      <w:r>
        <w:rPr>
          <w:rFonts w:ascii="宋体" w:hAnsi="宋体"/>
          <w:szCs w:val="21"/>
        </w:rPr>
        <w:t>摇测绝缘电阻值，定子绕组应不低于</w:t>
      </w:r>
      <w:r>
        <w:rPr>
          <w:rFonts w:hint="eastAsia" w:ascii="宋体" w:hAnsi="宋体"/>
          <w:color w:val="000000"/>
          <w:szCs w:val="21"/>
        </w:rPr>
        <w:t>1</w:t>
      </w:r>
      <w:r>
        <w:rPr>
          <w:rFonts w:hint="eastAsia" w:cs="仿宋" w:asciiTheme="minorEastAsia" w:hAnsiTheme="minorEastAsia" w:eastAsiaTheme="minorEastAsia"/>
          <w:color w:val="000000"/>
          <w:spacing w:val="0"/>
          <w:w w:val="15"/>
          <w:kern w:val="0"/>
          <w:szCs w:val="21"/>
          <w:fitText w:val="42" w:id="1296780858"/>
        </w:rPr>
        <w:t xml:space="preserve">　 </w:t>
      </w:r>
      <w:r>
        <w:rPr>
          <w:rFonts w:hint="eastAsia" w:cs="仿宋" w:asciiTheme="minorEastAsia" w:hAnsiTheme="minorEastAsia" w:eastAsiaTheme="minorEastAsia"/>
          <w:color w:val="000000"/>
          <w:spacing w:val="-17"/>
          <w:w w:val="15"/>
          <w:kern w:val="0"/>
          <w:szCs w:val="21"/>
          <w:fitText w:val="42" w:id="1296780858"/>
        </w:rPr>
        <w:t>　</w:t>
      </w:r>
      <w:r>
        <w:rPr>
          <w:rFonts w:hint="eastAsia" w:ascii="宋体" w:hAnsi="宋体"/>
          <w:color w:val="000000"/>
          <w:szCs w:val="21"/>
        </w:rPr>
        <w:t>M</w:t>
      </w:r>
      <w:r>
        <w:rPr>
          <w:rFonts w:ascii="宋体" w:hAnsi="宋体"/>
          <w:color w:val="000000"/>
          <w:szCs w:val="21"/>
        </w:rPr>
        <w:t>Ω/kV</w:t>
      </w:r>
      <w:r>
        <w:rPr>
          <w:rFonts w:ascii="宋体" w:hAnsi="宋体"/>
          <w:szCs w:val="21"/>
        </w:rPr>
        <w:t xml:space="preserve">，转子绕组应不低于 </w:t>
      </w:r>
      <w:r>
        <w:rPr>
          <w:rFonts w:ascii="宋体" w:hAnsi="宋体"/>
          <w:color w:val="000000"/>
          <w:szCs w:val="21"/>
        </w:rPr>
        <w:t>0.</w:t>
      </w:r>
      <w:r>
        <w:rPr>
          <w:rFonts w:hint="eastAsia" w:ascii="宋体" w:hAnsi="宋体"/>
          <w:color w:val="000000"/>
          <w:szCs w:val="21"/>
        </w:rPr>
        <w:t>5</w:t>
      </w:r>
      <w:r>
        <w:rPr>
          <w:rFonts w:hint="eastAsia" w:cs="仿宋" w:asciiTheme="minorEastAsia" w:hAnsiTheme="minorEastAsia" w:eastAsiaTheme="minorEastAsia"/>
          <w:color w:val="000000"/>
          <w:spacing w:val="0"/>
          <w:w w:val="15"/>
          <w:kern w:val="0"/>
          <w:szCs w:val="21"/>
          <w:fitText w:val="42" w:id="1928418170"/>
        </w:rPr>
        <w:t xml:space="preserve">　 </w:t>
      </w:r>
      <w:r>
        <w:rPr>
          <w:rFonts w:hint="eastAsia" w:cs="仿宋" w:asciiTheme="minorEastAsia" w:hAnsiTheme="minorEastAsia" w:eastAsiaTheme="minorEastAsia"/>
          <w:color w:val="000000"/>
          <w:spacing w:val="-17"/>
          <w:w w:val="15"/>
          <w:kern w:val="0"/>
          <w:szCs w:val="21"/>
          <w:fitText w:val="42" w:id="1928418170"/>
        </w:rPr>
        <w:t>　</w:t>
      </w:r>
      <w:r>
        <w:rPr>
          <w:rFonts w:hint="eastAsia" w:ascii="宋体" w:hAnsi="宋体"/>
          <w:color w:val="000000"/>
          <w:szCs w:val="21"/>
        </w:rPr>
        <w:t>M</w:t>
      </w:r>
      <w:r>
        <w:rPr>
          <w:rFonts w:ascii="宋体" w:hAnsi="宋体"/>
          <w:color w:val="000000"/>
          <w:szCs w:val="21"/>
        </w:rPr>
        <w:t>Ω/kV</w:t>
      </w:r>
      <w:r>
        <w:rPr>
          <w:rFonts w:ascii="宋体" w:hAnsi="宋体"/>
          <w:szCs w:val="21"/>
        </w:rPr>
        <w:t>，并做吸收比试验。</w:t>
      </w:r>
    </w:p>
    <w:p>
      <w:pPr>
        <w:spacing w:line="360" w:lineRule="auto"/>
        <w:rPr>
          <w:rFonts w:ascii="宋体" w:hAnsi="宋体"/>
          <w:iCs/>
          <w:szCs w:val="21"/>
        </w:rPr>
      </w:pPr>
      <w:r>
        <w:rPr>
          <w:rFonts w:hint="eastAsia" w:ascii="宋体" w:hAnsi="宋体"/>
          <w:b/>
          <w:bCs/>
          <w:iCs/>
          <w:szCs w:val="21"/>
        </w:rPr>
        <w:t>4</w:t>
      </w:r>
      <w:r>
        <w:rPr>
          <w:rFonts w:ascii="宋体" w:hAnsi="宋体"/>
          <w:b/>
          <w:bCs/>
          <w:iCs/>
          <w:szCs w:val="21"/>
        </w:rPr>
        <w:t xml:space="preserve">.3.16  </w:t>
      </w:r>
      <w:r>
        <w:rPr>
          <w:rFonts w:hint="eastAsia" w:ascii="宋体" w:hAnsi="宋体"/>
          <w:iCs/>
          <w:szCs w:val="21"/>
        </w:rPr>
        <w:t>本条主要为防止发电机在运行过程中产生超过标准的</w:t>
      </w:r>
      <w:r>
        <w:rPr>
          <w:rFonts w:hint="eastAsia" w:ascii="宋体" w:hAnsi="宋体"/>
          <w:iCs/>
          <w:color w:val="000000"/>
          <w:szCs w:val="21"/>
        </w:rPr>
        <w:t>噪声</w:t>
      </w:r>
      <w:r>
        <w:rPr>
          <w:rFonts w:hint="eastAsia" w:ascii="宋体" w:hAnsi="宋体"/>
          <w:iCs/>
          <w:szCs w:val="21"/>
        </w:rPr>
        <w:t>及震动，保证发电机组的平稳运行。</w:t>
      </w:r>
    </w:p>
    <w:p>
      <w:pPr>
        <w:spacing w:line="360" w:lineRule="auto"/>
        <w:rPr>
          <w:rFonts w:asciiTheme="minorEastAsia" w:hAnsiTheme="minorEastAsia" w:eastAsiaTheme="minorEastAsia"/>
          <w:b/>
          <w:szCs w:val="21"/>
        </w:rPr>
      </w:pPr>
      <w:bookmarkStart w:id="295" w:name="_Toc135299512"/>
      <w:r>
        <w:rPr>
          <w:rFonts w:hint="eastAsia" w:ascii="宋体" w:hAnsi="宋体"/>
          <w:b/>
          <w:bCs/>
          <w:iCs/>
          <w:szCs w:val="21"/>
        </w:rPr>
        <w:t>4</w:t>
      </w:r>
      <w:r>
        <w:rPr>
          <w:rFonts w:ascii="宋体" w:hAnsi="宋体"/>
          <w:b/>
          <w:bCs/>
          <w:iCs/>
          <w:szCs w:val="21"/>
        </w:rPr>
        <w:t xml:space="preserve">.3.17  </w:t>
      </w:r>
      <w:r>
        <w:rPr>
          <w:rFonts w:hint="eastAsia" w:asciiTheme="minorEastAsia" w:hAnsiTheme="minorEastAsia" w:eastAsiaTheme="minorEastAsia"/>
          <w:szCs w:val="21"/>
        </w:rPr>
        <w:t>本条参考15 D202-3《UPS与EPS电源装置的设计与安装》第5页第6.1.2条</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语言已重新组织描述。对UPS机柜线缆敷设空间提出了要求，主要是保障机柜线缆施工时的弯曲半径并保障一定的操作空间。</w:t>
      </w:r>
    </w:p>
    <w:p>
      <w:pPr>
        <w:spacing w:line="360" w:lineRule="auto"/>
        <w:rPr>
          <w:rFonts w:asciiTheme="minorEastAsia" w:hAnsiTheme="minorEastAsia" w:eastAsiaTheme="minorEastAsia"/>
          <w:b/>
          <w:szCs w:val="21"/>
        </w:rPr>
      </w:pPr>
      <w:r>
        <w:rPr>
          <w:rFonts w:hint="eastAsia" w:ascii="宋体" w:hAnsi="宋体"/>
          <w:b/>
          <w:bCs/>
          <w:iCs/>
          <w:szCs w:val="21"/>
        </w:rPr>
        <w:t>4</w:t>
      </w:r>
      <w:r>
        <w:rPr>
          <w:rFonts w:ascii="宋体" w:hAnsi="宋体"/>
          <w:b/>
          <w:bCs/>
          <w:iCs/>
          <w:szCs w:val="21"/>
        </w:rPr>
        <w:t xml:space="preserve">.3.18  </w:t>
      </w:r>
      <w:r>
        <w:rPr>
          <w:rFonts w:hint="eastAsia" w:asciiTheme="minorEastAsia" w:hAnsiTheme="minorEastAsia" w:eastAsiaTheme="minorEastAsia"/>
          <w:szCs w:val="21"/>
        </w:rPr>
        <w:t>本条参考15 D202-3《UPS与EPS电源装置的设计与安装》第26、27页第3款。对UPS机柜不同进出风方式的前后预留空间提出了要求，主要是为维护安装预留足够的空间。</w:t>
      </w:r>
    </w:p>
    <w:p>
      <w:pPr>
        <w:spacing w:line="360" w:lineRule="auto"/>
        <w:rPr>
          <w:rFonts w:asciiTheme="minorEastAsia" w:hAnsiTheme="minorEastAsia" w:eastAsiaTheme="minorEastAsia"/>
          <w:szCs w:val="21"/>
        </w:rPr>
      </w:pPr>
      <w:r>
        <w:rPr>
          <w:rFonts w:hint="eastAsia" w:ascii="宋体" w:hAnsi="宋体"/>
          <w:b/>
          <w:bCs/>
          <w:iCs/>
          <w:szCs w:val="21"/>
        </w:rPr>
        <w:t>4</w:t>
      </w:r>
      <w:r>
        <w:rPr>
          <w:rFonts w:ascii="宋体" w:hAnsi="宋体"/>
          <w:b/>
          <w:bCs/>
          <w:iCs/>
          <w:szCs w:val="21"/>
        </w:rPr>
        <w:t xml:space="preserve">.3.19  </w:t>
      </w:r>
      <w:r>
        <w:rPr>
          <w:rFonts w:hint="eastAsia" w:asciiTheme="minorEastAsia" w:hAnsiTheme="minorEastAsia" w:eastAsiaTheme="minorEastAsia"/>
          <w:szCs w:val="21"/>
        </w:rPr>
        <w:t>本条是GB50981-2014《建筑机电工程抗震设计规范》第7.4.3条部分条款引用。主要对蓄电池安装的抗震性提出了要求。</w:t>
      </w:r>
    </w:p>
    <w:p>
      <w:pPr>
        <w:spacing w:line="360" w:lineRule="auto"/>
        <w:rPr>
          <w:rFonts w:asciiTheme="minorEastAsia" w:hAnsiTheme="minorEastAsia" w:eastAsiaTheme="minorEastAsia"/>
          <w:szCs w:val="21"/>
        </w:rPr>
      </w:pPr>
      <w:r>
        <w:rPr>
          <w:rFonts w:hint="eastAsia" w:ascii="宋体" w:hAnsi="宋体"/>
          <w:b/>
          <w:bCs/>
          <w:iCs/>
          <w:szCs w:val="21"/>
        </w:rPr>
        <w:t>4</w:t>
      </w:r>
      <w:r>
        <w:rPr>
          <w:rFonts w:ascii="宋体" w:hAnsi="宋体"/>
          <w:b/>
          <w:bCs/>
          <w:iCs/>
          <w:szCs w:val="21"/>
        </w:rPr>
        <w:t xml:space="preserve">.3.20  </w:t>
      </w:r>
      <w:r>
        <w:rPr>
          <w:rFonts w:hint="eastAsia" w:asciiTheme="minorEastAsia" w:hAnsiTheme="minorEastAsia" w:eastAsiaTheme="minorEastAsia"/>
          <w:szCs w:val="21"/>
        </w:rPr>
        <w:t>本条是GB50303一般项目的引用，如 UPS 的各功能单元由独立机架搁置安装</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本条是对机架组合质量的规定。</w:t>
      </w:r>
    </w:p>
    <w:p>
      <w:pPr>
        <w:spacing w:line="360" w:lineRule="auto"/>
        <w:rPr>
          <w:rFonts w:asciiTheme="minorEastAsia" w:hAnsiTheme="minorEastAsia" w:eastAsiaTheme="minorEastAsia"/>
          <w:szCs w:val="21"/>
        </w:rPr>
      </w:pPr>
      <w:r>
        <w:rPr>
          <w:rFonts w:hint="eastAsia" w:ascii="宋体" w:hAnsi="宋体"/>
          <w:b/>
          <w:bCs/>
          <w:iCs/>
          <w:szCs w:val="21"/>
        </w:rPr>
        <w:t>4</w:t>
      </w:r>
      <w:r>
        <w:rPr>
          <w:rFonts w:ascii="宋体" w:hAnsi="宋体"/>
          <w:b/>
          <w:bCs/>
          <w:iCs/>
          <w:szCs w:val="21"/>
        </w:rPr>
        <w:t xml:space="preserve">.3.21  </w:t>
      </w:r>
      <w:r>
        <w:rPr>
          <w:rFonts w:hint="eastAsia" w:asciiTheme="minorEastAsia" w:hAnsiTheme="minorEastAsia" w:eastAsiaTheme="minorEastAsia"/>
          <w:szCs w:val="21"/>
        </w:rPr>
        <w:t>本条是GB50303一般项目的引用，为防止运行中的相互干扰</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确保屏蔽可靠，故作本条规定。</w:t>
      </w:r>
    </w:p>
    <w:p>
      <w:pPr>
        <w:spacing w:line="360" w:lineRule="auto"/>
        <w:rPr>
          <w:rFonts w:asciiTheme="minorEastAsia" w:hAnsiTheme="minorEastAsia" w:eastAsiaTheme="minorEastAsia"/>
          <w:szCs w:val="21"/>
        </w:rPr>
      </w:pPr>
      <w:r>
        <w:rPr>
          <w:rFonts w:hint="eastAsia" w:ascii="宋体" w:hAnsi="宋体"/>
          <w:b/>
          <w:bCs/>
          <w:iCs/>
          <w:szCs w:val="21"/>
        </w:rPr>
        <w:t>4</w:t>
      </w:r>
      <w:r>
        <w:rPr>
          <w:rFonts w:ascii="宋体" w:hAnsi="宋体"/>
          <w:b/>
          <w:bCs/>
          <w:iCs/>
          <w:szCs w:val="21"/>
        </w:rPr>
        <w:t xml:space="preserve">.3.23  </w:t>
      </w:r>
      <w:r>
        <w:rPr>
          <w:rFonts w:hint="eastAsia" w:asciiTheme="minorEastAsia" w:hAnsiTheme="minorEastAsia" w:eastAsiaTheme="minorEastAsia"/>
          <w:szCs w:val="21"/>
        </w:rPr>
        <w:t>本条是GB50303一般项目的引用，对噪声的规定</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既考核产品制造质量，又维持了环境质量有利于保护有人值班的变配电室工作人员的身体健康，产品标准对噪声值有明确规定</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运行时应测试其符合性。在噪声测量中，A声级被用作噪声评价的主要指标，因此测量时应选用 A 声级计。</w:t>
      </w:r>
    </w:p>
    <w:p>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296" w:name="_Toc136869128"/>
      <w:bookmarkStart w:id="297" w:name="_Toc137203430"/>
      <w:bookmarkStart w:id="298" w:name="_Toc136869544"/>
      <w:bookmarkStart w:id="299" w:name="_Toc137216280"/>
      <w:r>
        <w:rPr>
          <w:rFonts w:asciiTheme="minorEastAsia" w:hAnsiTheme="minorEastAsia" w:eastAsiaTheme="minorEastAsia"/>
          <w:sz w:val="24"/>
          <w:szCs w:val="24"/>
        </w:rPr>
        <w:t xml:space="preserve">4.4  </w:t>
      </w:r>
      <w:r>
        <w:rPr>
          <w:rFonts w:hint="eastAsia" w:asciiTheme="minorEastAsia" w:hAnsiTheme="minorEastAsia" w:eastAsiaTheme="minorEastAsia"/>
          <w:sz w:val="24"/>
          <w:szCs w:val="24"/>
        </w:rPr>
        <w:t>消防电源</w:t>
      </w:r>
      <w:bookmarkEnd w:id="295"/>
      <w:bookmarkEnd w:id="296"/>
      <w:bookmarkEnd w:id="297"/>
      <w:bookmarkEnd w:id="298"/>
      <w:bookmarkEnd w:id="299"/>
    </w:p>
    <w:p>
      <w:pPr>
        <w:pStyle w:val="4"/>
        <w:spacing w:before="120" w:beforeLines="50" w:after="120" w:afterLines="50"/>
        <w:rPr>
          <w:rFonts w:asciiTheme="minorEastAsia" w:hAnsiTheme="minorEastAsia" w:eastAsiaTheme="minorEastAsia"/>
          <w:sz w:val="21"/>
          <w:szCs w:val="21"/>
        </w:rPr>
      </w:pPr>
      <w:r>
        <w:t>I</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主控项目</w:t>
      </w:r>
    </w:p>
    <w:p>
      <w:pPr>
        <w:spacing w:line="360" w:lineRule="auto"/>
        <w:rPr>
          <w:rFonts w:asciiTheme="minorEastAsia" w:hAnsiTheme="minorEastAsia" w:eastAsiaTheme="minorEastAsia"/>
          <w:szCs w:val="21"/>
        </w:rPr>
      </w:pPr>
      <w:r>
        <w:rPr>
          <w:rFonts w:hint="eastAsia" w:ascii="宋体" w:hAnsi="宋体"/>
          <w:b/>
          <w:bCs/>
          <w:iCs/>
          <w:szCs w:val="21"/>
        </w:rPr>
        <w:t>4</w:t>
      </w:r>
      <w:r>
        <w:rPr>
          <w:rFonts w:ascii="宋体" w:hAnsi="宋体"/>
          <w:b/>
          <w:bCs/>
          <w:iCs/>
          <w:szCs w:val="21"/>
        </w:rPr>
        <w:t xml:space="preserve">.4.1  </w:t>
      </w:r>
      <w:r>
        <w:rPr>
          <w:rFonts w:hint="eastAsia" w:asciiTheme="minorEastAsia" w:hAnsiTheme="minorEastAsia" w:eastAsiaTheme="minorEastAsia"/>
          <w:szCs w:val="21"/>
        </w:rPr>
        <w:t>本条根据现行国家标准</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建筑设计防火</w:t>
      </w:r>
      <w:r>
        <w:rPr>
          <w:rFonts w:asciiTheme="minorEastAsia" w:hAnsiTheme="minorEastAsia" w:eastAsiaTheme="minorEastAsia"/>
          <w:color w:val="000000"/>
          <w:szCs w:val="21"/>
        </w:rPr>
        <w:t>规范》</w:t>
      </w:r>
      <w:r>
        <w:rPr>
          <w:rFonts w:hint="eastAsia" w:asciiTheme="minorEastAsia" w:hAnsiTheme="minorEastAsia" w:eastAsiaTheme="minorEastAsia"/>
          <w:color w:val="000000"/>
          <w:szCs w:val="21"/>
        </w:rPr>
        <w:t>G</w:t>
      </w:r>
      <w:r>
        <w:rPr>
          <w:rFonts w:asciiTheme="minorEastAsia" w:hAnsiTheme="minorEastAsia" w:eastAsiaTheme="minorEastAsia"/>
          <w:color w:val="000000"/>
          <w:szCs w:val="21"/>
        </w:rPr>
        <w:t>B50016</w:t>
      </w:r>
      <w:r>
        <w:rPr>
          <w:rFonts w:hint="eastAsia" w:asciiTheme="minorEastAsia" w:hAnsiTheme="minorEastAsia" w:eastAsiaTheme="minorEastAsia"/>
          <w:color w:val="000000"/>
          <w:szCs w:val="21"/>
        </w:rPr>
        <w:t>-2014</w:t>
      </w:r>
      <w:r>
        <w:rPr>
          <w:rFonts w:hint="eastAsia" w:asciiTheme="minorEastAsia" w:hAnsiTheme="minorEastAsia" w:eastAsiaTheme="minorEastAsia"/>
          <w:szCs w:val="21"/>
        </w:rPr>
        <w:t>建筑扑救难度和建筑的功能及其重要性以及建筑发生火灾后可能的危害与损失、消防设施的用电情况，确定了建筑中的消防用电设备要求。</w:t>
      </w:r>
      <w:r>
        <w:rPr>
          <w:rFonts w:asciiTheme="minorEastAsia" w:hAnsiTheme="minorEastAsia" w:eastAsiaTheme="minorEastAsia"/>
          <w:szCs w:val="21"/>
        </w:rPr>
        <w:t>消防用电负荷分级可参见现行国家标准《供配电系统设计规范》GB 50052的</w:t>
      </w:r>
      <w:r>
        <w:rPr>
          <w:rFonts w:hint="eastAsia" w:asciiTheme="minorEastAsia" w:hAnsiTheme="minorEastAsia" w:eastAsiaTheme="minorEastAsia"/>
          <w:szCs w:val="21"/>
        </w:rPr>
        <w:t>负荷分级及供电要求</w:t>
      </w:r>
      <w:r>
        <w:rPr>
          <w:rFonts w:asciiTheme="minorEastAsia" w:hAnsiTheme="minorEastAsia" w:eastAsiaTheme="minorEastAsia"/>
          <w:szCs w:val="21"/>
        </w:rPr>
        <w:t>。</w:t>
      </w:r>
      <w:r>
        <w:rPr>
          <w:rFonts w:hint="eastAsia" w:asciiTheme="minorEastAsia" w:hAnsiTheme="minorEastAsia" w:eastAsiaTheme="minorEastAsia"/>
          <w:szCs w:val="21"/>
        </w:rPr>
        <w:t>消防用电包括消防控制室照明、消防水泵、消防电梯、防烟排烟设施、火灾探测与报警系统、自动灭火系统或装置、疏散照明、疏散指示标志和电动的防火门窗、卷帘、阀门等设施、设备在正常和应急情况下的用电。</w:t>
      </w:r>
    </w:p>
    <w:p>
      <w:pPr>
        <w:spacing w:line="360" w:lineRule="auto"/>
        <w:rPr>
          <w:rFonts w:asciiTheme="minorEastAsia" w:hAnsiTheme="minorEastAsia" w:eastAsiaTheme="minorEastAsia"/>
          <w:szCs w:val="21"/>
        </w:rPr>
      </w:pPr>
      <w:r>
        <w:rPr>
          <w:rFonts w:hint="eastAsia" w:ascii="宋体" w:hAnsi="宋体"/>
          <w:b/>
          <w:bCs/>
          <w:iCs/>
          <w:szCs w:val="21"/>
        </w:rPr>
        <w:t>4</w:t>
      </w:r>
      <w:r>
        <w:rPr>
          <w:rFonts w:ascii="宋体" w:hAnsi="宋体"/>
          <w:b/>
          <w:bCs/>
          <w:iCs/>
          <w:szCs w:val="21"/>
        </w:rPr>
        <w:t xml:space="preserve">.4.2  </w:t>
      </w:r>
      <w:r>
        <w:rPr>
          <w:rFonts w:hint="eastAsia" w:asciiTheme="minorEastAsia" w:hAnsiTheme="minorEastAsia" w:eastAsiaTheme="minorEastAsia"/>
          <w:szCs w:val="21"/>
        </w:rPr>
        <w:t>本条旨在保证消防用电设备供电的可靠性。实践中，尽管电源可靠，但如果消防设备的配电线路不可靠，仍不能保证消防用电设备供电可靠性，因此要求消防用电设备采用专用的供电回路，确保生产、生活用电被切断时，仍能保证消防供电。</w:t>
      </w:r>
    </w:p>
    <w:p>
      <w:pPr>
        <w:pStyle w:val="4"/>
        <w:spacing w:before="120" w:beforeLines="50" w:after="120" w:afterLines="50"/>
        <w:rPr>
          <w:rFonts w:asciiTheme="minorEastAsia" w:hAnsiTheme="minorEastAsia" w:eastAsiaTheme="minorEastAsia"/>
          <w:sz w:val="21"/>
          <w:szCs w:val="21"/>
        </w:rPr>
      </w:pPr>
      <w:r>
        <w:t>Ⅱ</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一般项目</w:t>
      </w:r>
    </w:p>
    <w:p>
      <w:pPr>
        <w:spacing w:line="360" w:lineRule="auto"/>
        <w:rPr>
          <w:rFonts w:asciiTheme="minorEastAsia" w:hAnsiTheme="minorEastAsia" w:eastAsiaTheme="minorEastAsia"/>
          <w:szCs w:val="21"/>
        </w:rPr>
      </w:pPr>
      <w:r>
        <w:rPr>
          <w:rFonts w:hint="eastAsia" w:ascii="宋体" w:hAnsi="宋体"/>
          <w:b/>
          <w:bCs/>
          <w:iCs/>
          <w:szCs w:val="21"/>
        </w:rPr>
        <w:t>4</w:t>
      </w:r>
      <w:r>
        <w:rPr>
          <w:rFonts w:ascii="宋体" w:hAnsi="宋体"/>
          <w:b/>
          <w:bCs/>
          <w:iCs/>
          <w:szCs w:val="21"/>
        </w:rPr>
        <w:t xml:space="preserve">.4.3  </w:t>
      </w:r>
      <w:r>
        <w:rPr>
          <w:rFonts w:asciiTheme="minorEastAsia" w:hAnsiTheme="minorEastAsia" w:eastAsiaTheme="minorEastAsia"/>
          <w:szCs w:val="21"/>
        </w:rPr>
        <w:t>本条要求也是保证消防用电供电可靠性的一项重要措施。对于消防控制室、消防水泵房、防烟和排烟风机房的消防用电设备及消防电梯等，为上述消防设备或消防设备</w:t>
      </w:r>
      <w:r>
        <w:rPr>
          <w:rFonts w:asciiTheme="minorEastAsia" w:hAnsiTheme="minorEastAsia" w:eastAsiaTheme="minorEastAsia"/>
          <w:color w:val="000000"/>
          <w:szCs w:val="21"/>
        </w:rPr>
        <w:t>室</w:t>
      </w:r>
      <w:r>
        <w:rPr>
          <w:rFonts w:asciiTheme="minorEastAsia" w:hAnsiTheme="minorEastAsia" w:eastAsiaTheme="minorEastAsia"/>
          <w:szCs w:val="21"/>
        </w:rPr>
        <w:t>的最末级配电箱。</w:t>
      </w:r>
      <w:r>
        <w:rPr>
          <w:rFonts w:hint="eastAsia" w:asciiTheme="minorEastAsia" w:hAnsiTheme="minorEastAsia" w:eastAsiaTheme="minorEastAsia"/>
          <w:szCs w:val="21"/>
        </w:rPr>
        <w:t>自动控制方式下，手动切断消防主电源，观察备用消防电源的投入及指示灯的显示。手动控制模式下，在低压配电室应先切断消防主电源，后闭合备用消防电源，观察备用消防电源的投入及指示灯的显示。</w:t>
      </w:r>
    </w:p>
    <w:p>
      <w:pPr>
        <w:widowControl/>
        <w:jc w:val="left"/>
        <w:rPr>
          <w:b/>
          <w:kern w:val="0"/>
          <w:sz w:val="28"/>
          <w:szCs w:val="28"/>
        </w:rPr>
      </w:pPr>
      <w:bookmarkStart w:id="300" w:name="_Toc135299513"/>
      <w:bookmarkStart w:id="301" w:name="_Toc136869129"/>
      <w:bookmarkStart w:id="302" w:name="_Toc136869545"/>
      <w:r>
        <w:rPr>
          <w:bCs/>
        </w:rPr>
        <w:br w:type="page"/>
      </w:r>
    </w:p>
    <w:p>
      <w:pPr>
        <w:pStyle w:val="78"/>
        <w:spacing w:before="240" w:after="240"/>
        <w:ind w:firstLine="0" w:firstLineChars="0"/>
        <w:rPr>
          <w:bCs w:val="0"/>
        </w:rPr>
      </w:pPr>
      <w:bookmarkStart w:id="303" w:name="_Toc137203431"/>
      <w:bookmarkStart w:id="304" w:name="_Toc137216281"/>
      <w:r>
        <w:rPr>
          <w:rFonts w:hint="eastAsia"/>
          <w:bCs w:val="0"/>
        </w:rPr>
        <w:t>5</w:t>
      </w:r>
      <w:r>
        <w:rPr>
          <w:bCs w:val="0"/>
        </w:rPr>
        <w:t xml:space="preserve">  管线</w:t>
      </w:r>
      <w:bookmarkEnd w:id="300"/>
      <w:bookmarkEnd w:id="301"/>
      <w:bookmarkEnd w:id="302"/>
      <w:bookmarkEnd w:id="303"/>
      <w:bookmarkEnd w:id="304"/>
    </w:p>
    <w:p>
      <w:pPr>
        <w:pStyle w:val="3"/>
        <w:numPr>
          <w:ilvl w:val="1"/>
          <w:numId w:val="196"/>
        </w:numPr>
        <w:spacing w:before="120" w:beforeLines="50" w:after="120" w:afterLines="50" w:line="360" w:lineRule="auto"/>
        <w:jc w:val="center"/>
        <w:rPr>
          <w:rFonts w:asciiTheme="minorEastAsia" w:hAnsiTheme="minorEastAsia" w:eastAsiaTheme="minorEastAsia"/>
          <w:sz w:val="24"/>
          <w:szCs w:val="24"/>
        </w:rPr>
      </w:pPr>
      <w:bookmarkStart w:id="305" w:name="_Toc136869130"/>
      <w:bookmarkStart w:id="306" w:name="_Toc136869546"/>
      <w:bookmarkStart w:id="307" w:name="_Toc137216282"/>
      <w:bookmarkStart w:id="308" w:name="_Toc137203432"/>
      <w:r>
        <w:rPr>
          <w:rFonts w:hint="eastAsia" w:asciiTheme="minorEastAsia" w:hAnsiTheme="minorEastAsia" w:eastAsiaTheme="minorEastAsia"/>
          <w:sz w:val="24"/>
          <w:szCs w:val="24"/>
        </w:rPr>
        <w:t>母线槽安装</w:t>
      </w:r>
      <w:bookmarkEnd w:id="305"/>
      <w:bookmarkEnd w:id="306"/>
      <w:bookmarkEnd w:id="307"/>
      <w:bookmarkEnd w:id="308"/>
    </w:p>
    <w:p>
      <w:pPr>
        <w:pStyle w:val="4"/>
        <w:spacing w:before="120" w:beforeLines="50" w:after="120" w:afterLines="50"/>
        <w:rPr>
          <w:rFonts w:asciiTheme="minorEastAsia" w:hAnsiTheme="minorEastAsia" w:eastAsiaTheme="minorEastAsia"/>
          <w:sz w:val="21"/>
          <w:szCs w:val="21"/>
        </w:rPr>
      </w:pPr>
      <w:r>
        <w:t>I</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主控项目</w:t>
      </w:r>
    </w:p>
    <w:p>
      <w:pPr>
        <w:spacing w:line="360" w:lineRule="auto"/>
        <w:rPr>
          <w:rFonts w:asciiTheme="minorEastAsia" w:hAnsiTheme="minorEastAsia" w:eastAsiaTheme="minorEastAsia"/>
          <w:szCs w:val="21"/>
        </w:rPr>
      </w:pPr>
      <w:r>
        <w:rPr>
          <w:b/>
          <w:bCs/>
          <w:iCs/>
          <w:szCs w:val="21"/>
        </w:rPr>
        <w:t>5.1.1</w:t>
      </w:r>
      <w:r>
        <w:rPr>
          <w:rFonts w:hint="eastAsia"/>
          <w:b/>
          <w:bCs/>
          <w:iCs/>
          <w:szCs w:val="21"/>
        </w:rPr>
        <w:t xml:space="preserve"> </w:t>
      </w:r>
      <w:r>
        <w:rPr>
          <w:b/>
          <w:bCs/>
          <w:iCs/>
          <w:szCs w:val="21"/>
        </w:rPr>
        <w:t xml:space="preserve"> </w:t>
      </w:r>
      <w:r>
        <w:rPr>
          <w:rFonts w:hint="eastAsia" w:asciiTheme="minorEastAsia" w:hAnsiTheme="minorEastAsia" w:eastAsiaTheme="minorEastAsia"/>
          <w:szCs w:val="21"/>
        </w:rPr>
        <w:t>母线槽是供配电线路主干线，其外露可导电部分均应与保护导体可靠连接，可靠连接是指与保护导体干线直接连接且应采用螺栓锁紧紧固，是为了一旦母线槽发生漏电可直接导入接地装置，防止可能出现的人身和设备危害。需要说明的是：要求母线槽全长不应少于2处与保护导体可靠连接，是在每段金属母线槽之间已有可靠连接的基础上提出的，但并非局限于2处，对通过金属母线分支干线供电的场所，其金属母线分支干线的外壳也应与保护导体可靠连接，因此从母线全长的概念上讲是不少于2处。对连接导体的材质和截面要求是由设计根据母线槽金属外壳的不同用途提出的，当母线槽的金属外壳作为保护接地导体时，其与外部保护导体连接的导体截面还应考虑其承受预期故障电流的大小，因此施工时只要符合设计要求即可。</w:t>
      </w:r>
    </w:p>
    <w:p>
      <w:pPr>
        <w:spacing w:line="360" w:lineRule="auto"/>
        <w:rPr>
          <w:rFonts w:asciiTheme="minorEastAsia" w:hAnsiTheme="minorEastAsia" w:eastAsiaTheme="minorEastAsia"/>
          <w:szCs w:val="21"/>
        </w:rPr>
      </w:pPr>
      <w:r>
        <w:rPr>
          <w:b/>
          <w:bCs/>
          <w:iCs/>
          <w:szCs w:val="21"/>
        </w:rPr>
        <w:t>5.1.2</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母线槽的金属外壳是否可作为保护接地导体</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PE</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是由设计决定的。本条是根据现行国家标准《低压成套开关设备和控制设备 第1部分：总则》</w:t>
      </w:r>
      <w:r>
        <w:rPr>
          <w:rFonts w:hint="eastAsia" w:asciiTheme="minorEastAsia" w:hAnsiTheme="minorEastAsia" w:eastAsiaTheme="minorEastAsia"/>
          <w:color w:val="000000"/>
          <w:szCs w:val="21"/>
        </w:rPr>
        <w:t>GB/T 7251.1-2013</w:t>
      </w:r>
      <w:r>
        <w:t xml:space="preserve"> </w:t>
      </w:r>
      <w:r>
        <w:rPr>
          <w:rFonts w:hint="eastAsia" w:asciiTheme="minorEastAsia" w:hAnsiTheme="minorEastAsia" w:eastAsiaTheme="minorEastAsia"/>
          <w:szCs w:val="21"/>
        </w:rPr>
        <w:t>第8.4.3.2.2条和第10.11.5.6.1条所作出的规定，母线槽的金属外壳作为PE导体是允许的，但需要满足一定的条件，因此产品提供时应同时提供母线槽的金属外壳可作为保护接地导体</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PE</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的相关说明，包括：外壳具有可靠的连接和连续性，截面满足作为PE的要求，短路耐受能力为三相短路耐受能力的60</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，连接部位的接触电阻足够小。</w:t>
      </w:r>
    </w:p>
    <w:p>
      <w:pPr>
        <w:spacing w:line="360" w:lineRule="auto"/>
        <w:rPr>
          <w:rFonts w:asciiTheme="minorEastAsia" w:hAnsiTheme="minorEastAsia" w:eastAsiaTheme="minorEastAsia"/>
          <w:szCs w:val="21"/>
        </w:rPr>
      </w:pPr>
      <w:r>
        <w:rPr>
          <w:b/>
          <w:bCs/>
          <w:iCs/>
          <w:szCs w:val="21"/>
        </w:rPr>
        <w:t>5.1</w:t>
      </w:r>
      <w:r>
        <w:rPr>
          <w:rFonts w:ascii="宋体" w:hAnsi="宋体"/>
          <w:b/>
          <w:bCs/>
          <w:iCs/>
          <w:szCs w:val="21"/>
        </w:rPr>
        <w:t>.3</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本条是安全性的规定，当一个连接处需要多个螺栓进行连接时，如果每个螺栓的拧紧力矩值不一致，可能会影响其连接的可靠性。母线接触面的清理主要是为了防止母线接触面发生氧化和污染而造成过热，影响导电效能，引发接触故障。</w:t>
      </w:r>
    </w:p>
    <w:p>
      <w:pPr>
        <w:spacing w:line="360" w:lineRule="auto"/>
        <w:rPr>
          <w:rFonts w:asciiTheme="minorEastAsia" w:hAnsiTheme="minorEastAsia" w:eastAsiaTheme="minorEastAsia"/>
          <w:szCs w:val="21"/>
        </w:rPr>
      </w:pPr>
      <w:r>
        <w:rPr>
          <w:b/>
          <w:bCs/>
          <w:iCs/>
          <w:szCs w:val="21"/>
        </w:rPr>
        <w:t>5.1.4</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母线槽是长期通电运行的设备，当母线槽安装于水管正下方且母线槽又不防水时，一旦水管爆裂或水管配件损坏漏水极易造成母线槽运行不正常或发生事故；对母线槽段与段进行硬连接时，两相邻段母线及外壳宜对准；又由于母线槽属于项目定制型成套设备，母线槽安装应考虑相序、安装次序、精度、功能单元</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如弯头、支接单元、安装吊架等</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位置、防护等级等因素，母线槽的连接程序、伸缩节的设置和连接以及其他相关说明在产品技术文件中均有规定，因此母线槽的安装应严格按照产品相关技术文件要求进行。</w:t>
      </w:r>
    </w:p>
    <w:p>
      <w:pPr>
        <w:spacing w:line="360" w:lineRule="auto"/>
        <w:rPr>
          <w:rFonts w:asciiTheme="minorEastAsia" w:hAnsiTheme="minorEastAsia" w:eastAsiaTheme="minorEastAsia"/>
          <w:szCs w:val="21"/>
        </w:rPr>
      </w:pPr>
      <w:r>
        <w:rPr>
          <w:b/>
          <w:bCs/>
          <w:iCs/>
          <w:szCs w:val="21"/>
        </w:rPr>
        <w:t>5.1.5</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母线槽通电运行前的检验或试验尤为重要。导体绝缘电阻、接线相序和分接单元的触头接触检查，导体规格和回路电阻的核对均是为运行安全和保障操作人员的人身安全，确保接地触头与保护接地导体</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PE</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的接触先于相线触头与相导体的接触，断开时，则反之，是为了带电作业时的安全考虑。</w:t>
      </w:r>
    </w:p>
    <w:p>
      <w:pPr>
        <w:pStyle w:val="4"/>
        <w:spacing w:before="120" w:beforeLines="50" w:after="120" w:afterLines="50"/>
        <w:rPr>
          <w:rFonts w:asciiTheme="minorEastAsia" w:hAnsiTheme="minorEastAsia" w:eastAsiaTheme="minorEastAsia"/>
          <w:sz w:val="21"/>
          <w:szCs w:val="21"/>
        </w:rPr>
      </w:pPr>
      <w:r>
        <w:t>Ⅱ</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一般项目</w:t>
      </w:r>
    </w:p>
    <w:p>
      <w:pPr>
        <w:spacing w:line="360" w:lineRule="auto"/>
        <w:rPr>
          <w:rFonts w:asciiTheme="minorEastAsia" w:hAnsiTheme="minorEastAsia" w:eastAsiaTheme="minorEastAsia"/>
          <w:szCs w:val="21"/>
        </w:rPr>
      </w:pPr>
      <w:r>
        <w:rPr>
          <w:b/>
          <w:bCs/>
          <w:iCs/>
          <w:szCs w:val="21"/>
        </w:rPr>
        <w:t>5.1.6</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由于母线槽自重较大、连接部位均以螺栓连接且使用年限相对较长，在保证安装支架承重性能的同时，其固定方式的稳定性也是必须要考虑的，并应根据母线槽的安装环境做好防腐处理。吊架圆钢的直径大小是考虑了钢材的抗拉强度，并为了与母线槽及其附件的重量相匹配，对于自重较大的配电母线槽，圆钢直径不得低于</w:t>
      </w:r>
      <w:r>
        <w:rPr>
          <w:rFonts w:hint="eastAsia" w:asciiTheme="minorEastAsia" w:hAnsiTheme="minorEastAsia" w:eastAsiaTheme="minorEastAsia"/>
          <w:color w:val="000000"/>
          <w:szCs w:val="21"/>
        </w:rPr>
        <w:t>8</w:t>
      </w:r>
      <w:r>
        <w:rPr>
          <w:rFonts w:hint="eastAsia" w:cs="仿宋" w:asciiTheme="minorEastAsia" w:hAnsiTheme="minorEastAsia" w:eastAsiaTheme="minorEastAsia"/>
          <w:color w:val="000000"/>
          <w:spacing w:val="0"/>
          <w:w w:val="15"/>
          <w:kern w:val="0"/>
          <w:szCs w:val="21"/>
          <w:fitText w:val="42" w:id="1840075371"/>
        </w:rPr>
        <w:t xml:space="preserve">　 </w:t>
      </w:r>
      <w:r>
        <w:rPr>
          <w:rFonts w:hint="eastAsia" w:cs="仿宋" w:asciiTheme="minorEastAsia" w:hAnsiTheme="minorEastAsia" w:eastAsiaTheme="minorEastAsia"/>
          <w:color w:val="000000"/>
          <w:spacing w:val="-17"/>
          <w:w w:val="15"/>
          <w:kern w:val="0"/>
          <w:szCs w:val="21"/>
          <w:fitText w:val="42" w:id="1840075371"/>
        </w:rPr>
        <w:t>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，对于自重较小的照明母线槽，因为自重较轻，可以采用直径不低于</w:t>
      </w:r>
      <w:r>
        <w:rPr>
          <w:rFonts w:hint="eastAsia" w:asciiTheme="minorEastAsia" w:hAnsiTheme="minorEastAsia" w:eastAsiaTheme="minorEastAsia"/>
          <w:color w:val="000000"/>
          <w:szCs w:val="21"/>
        </w:rPr>
        <w:t>6</w:t>
      </w:r>
      <w:r>
        <w:rPr>
          <w:rFonts w:hint="eastAsia" w:cs="仿宋" w:asciiTheme="minorEastAsia" w:hAnsiTheme="minorEastAsia" w:eastAsiaTheme="minorEastAsia"/>
          <w:color w:val="000000"/>
          <w:spacing w:val="0"/>
          <w:w w:val="15"/>
          <w:kern w:val="0"/>
          <w:szCs w:val="21"/>
          <w:fitText w:val="42" w:id="146417040"/>
        </w:rPr>
        <w:t xml:space="preserve">　 </w:t>
      </w:r>
      <w:r>
        <w:rPr>
          <w:rFonts w:hint="eastAsia" w:cs="仿宋" w:asciiTheme="minorEastAsia" w:hAnsiTheme="minorEastAsia" w:eastAsiaTheme="minorEastAsia"/>
          <w:color w:val="000000"/>
          <w:spacing w:val="-17"/>
          <w:w w:val="15"/>
          <w:kern w:val="0"/>
          <w:szCs w:val="21"/>
          <w:fitText w:val="42" w:id="146417040"/>
        </w:rPr>
        <w:t>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的圆钢。</w:t>
      </w:r>
    </w:p>
    <w:p>
      <w:pPr>
        <w:spacing w:line="360" w:lineRule="auto"/>
        <w:rPr>
          <w:rFonts w:asciiTheme="minorEastAsia" w:hAnsiTheme="minorEastAsia" w:eastAsiaTheme="minorEastAsia"/>
          <w:szCs w:val="21"/>
        </w:rPr>
      </w:pPr>
      <w:r>
        <w:rPr>
          <w:b/>
          <w:bCs/>
          <w:iCs/>
          <w:szCs w:val="21"/>
        </w:rPr>
        <w:t>5.1</w:t>
      </w:r>
      <w:r>
        <w:rPr>
          <w:rFonts w:ascii="宋体" w:hAnsi="宋体"/>
          <w:b/>
          <w:bCs/>
          <w:iCs/>
          <w:szCs w:val="21"/>
        </w:rPr>
        <w:t>.7</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本条是为了防止电化腐蚀而作出的规定，因每种金属它的化学活泼程度不同，相互接触表现正负极性也不相同，在潮湿场所会形成电池而导致金属腐蚀，采用过渡层可降低接触处的接触电压而缓解腐蚀速度。腐蚀速度往往取决于环境的潮湿与否和空气的洁净程度。铝母线的搭接面最好是做处理，不做处理易产生氧化膜，影响导电能力，但由于施工现场条件受限，铝母线的搪锡处理有一定的难度，故在现场不具备搪锡处理条件时可直接搭接，但对成套设备提供的铝母线，设备制造厂出厂前应对其端部进行搪锡处理，对制造厂而言其工艺已经成熟。</w:t>
      </w:r>
    </w:p>
    <w:p>
      <w:pPr>
        <w:spacing w:line="360" w:lineRule="auto"/>
        <w:rPr>
          <w:rFonts w:asciiTheme="minorEastAsia" w:hAnsiTheme="minorEastAsia" w:eastAsiaTheme="minorEastAsia"/>
          <w:szCs w:val="21"/>
        </w:rPr>
      </w:pPr>
      <w:r>
        <w:rPr>
          <w:b/>
          <w:bCs/>
          <w:iCs/>
          <w:szCs w:val="21"/>
        </w:rPr>
        <w:t>5.1.8</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本条是矩形母线在支持绝缘子上固定的技术要求，是保证母线通电后，在负荷电流下不发生短路环涡流效应，使母线可自由伸缩，防止局部过热及产生热膨胀后应力增大而影响母线安全运行。</w:t>
      </w:r>
    </w:p>
    <w:p>
      <w:pPr>
        <w:spacing w:line="360" w:lineRule="auto"/>
        <w:rPr>
          <w:rFonts w:asciiTheme="minorEastAsia" w:hAnsiTheme="minorEastAsia" w:eastAsiaTheme="minorEastAsia"/>
          <w:szCs w:val="21"/>
        </w:rPr>
      </w:pPr>
      <w:r>
        <w:rPr>
          <w:b/>
          <w:bCs/>
          <w:iCs/>
          <w:szCs w:val="21"/>
        </w:rPr>
        <w:t>5.1.9</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10.2.4本条将L1、L2、L3取代A、B、C主要是从安全用电方面考虑，此标识与我国电力系统规定的导体颜色一致，我国电力系统规定的导体颜色至今尚未变更。</w:t>
      </w:r>
    </w:p>
    <w:p>
      <w:pPr>
        <w:spacing w:line="360" w:lineRule="auto"/>
        <w:rPr>
          <w:rFonts w:asciiTheme="minorEastAsia" w:hAnsiTheme="minorEastAsia" w:eastAsiaTheme="minorEastAsia"/>
          <w:szCs w:val="21"/>
        </w:rPr>
      </w:pPr>
      <w:r>
        <w:rPr>
          <w:b/>
          <w:bCs/>
          <w:iCs/>
          <w:szCs w:val="21"/>
        </w:rPr>
        <w:t>5.1.10</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本条规定了母线槽与其他建筑构件的间距，以及在特殊安装位置的注意事项，以防母线槽在与其他管线交叉布置及防护不足时对母线造成损伤。</w:t>
      </w:r>
    </w:p>
    <w:p>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309" w:name="_Toc136869131"/>
      <w:bookmarkStart w:id="310" w:name="_Toc137216283"/>
      <w:bookmarkStart w:id="311" w:name="_Toc135299515"/>
      <w:bookmarkStart w:id="312" w:name="_Toc136869547"/>
      <w:bookmarkStart w:id="313" w:name="_Toc137203433"/>
      <w:r>
        <w:rPr>
          <w:rFonts w:asciiTheme="minorEastAsia" w:hAnsiTheme="minorEastAsia" w:eastAsiaTheme="minorEastAsia"/>
          <w:sz w:val="24"/>
          <w:szCs w:val="24"/>
        </w:rPr>
        <w:t xml:space="preserve">5.2 </w:t>
      </w:r>
      <w:r>
        <w:rPr>
          <w:rFonts w:hint="eastAsia" w:asciiTheme="minorEastAsia" w:hAnsiTheme="minorEastAsia" w:eastAsiaTheme="minorEastAsia"/>
          <w:sz w:val="24"/>
          <w:szCs w:val="24"/>
        </w:rPr>
        <w:t>梯架、托盘和槽盒安装</w:t>
      </w:r>
      <w:bookmarkEnd w:id="309"/>
      <w:bookmarkEnd w:id="310"/>
      <w:bookmarkEnd w:id="311"/>
      <w:bookmarkEnd w:id="312"/>
      <w:bookmarkEnd w:id="313"/>
    </w:p>
    <w:p>
      <w:pPr>
        <w:pStyle w:val="4"/>
        <w:spacing w:before="120" w:beforeLines="50" w:after="120" w:afterLines="50"/>
        <w:rPr>
          <w:rFonts w:asciiTheme="minorEastAsia" w:hAnsiTheme="minorEastAsia" w:eastAsiaTheme="minorEastAsia"/>
          <w:sz w:val="21"/>
          <w:szCs w:val="21"/>
        </w:rPr>
      </w:pPr>
      <w:r>
        <w:t>I</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主控项目</w:t>
      </w:r>
    </w:p>
    <w:p>
      <w:pPr>
        <w:spacing w:line="360" w:lineRule="auto"/>
        <w:rPr>
          <w:rFonts w:asciiTheme="minorEastAsia" w:hAnsiTheme="minorEastAsia" w:eastAsiaTheme="minorEastAsia"/>
          <w:szCs w:val="21"/>
        </w:rPr>
      </w:pPr>
      <w:r>
        <w:rPr>
          <w:b/>
          <w:bCs/>
          <w:iCs/>
          <w:szCs w:val="21"/>
        </w:rPr>
        <w:t>5.2.1</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本条是在原规范强制性条文的基础上进行了局部的修改。建筑电气工程中的电缆梯架、托盘和槽盒大量采用钢制产品，所以与保护导体的连接至关重要，增加与保护导体的连接点，目的也是为了保证供电干线电路的使用安全。有的施工设计在金属梯架、托盘或槽盒内，全线敷设一支铜或钢制成的保护导体，且与梯架、托盘或槽盒每段有数个电气连通点，则金属梯架、托盘或槽盒与保护导体的连接十分可靠，因而验收时可不作本条第2款和第3款的检查。非镀锌电缆梯架、托盘和槽盒是指钢板制成涂以油漆或其他涂层防腐的电缆梯架、托盘和槽盒，镀锌电缆梯架、托盘和槽盒也是钢板制成的，但是是经镀锌防腐处理的。本条修改了原规范中要求固定金属梯架、托盘或槽盒的金属支架也应与保护导体连接的要求，主要是考虑到：金属梯架、托盘或槽盒已与保护导体进行了可靠连接，一旦电缆或导线发生绝缘损坏，泄漏电流将直接通过金属梯架、托盘、槽盒和保护导体导入接地装置，不可能引起金属支架的带电，故金属支架没有必要单独再与保护导体连接。本条要求与保护导体可靠连接包括螺栓锁紧连接和非镀锌钢材的焊接连接两种连接方法。</w:t>
      </w:r>
    </w:p>
    <w:p>
      <w:pPr>
        <w:spacing w:line="360" w:lineRule="auto"/>
        <w:rPr>
          <w:rFonts w:asciiTheme="minorEastAsia" w:hAnsiTheme="minorEastAsia" w:eastAsiaTheme="minorEastAsia"/>
          <w:szCs w:val="21"/>
        </w:rPr>
      </w:pPr>
      <w:r>
        <w:rPr>
          <w:b/>
          <w:bCs/>
          <w:iCs/>
          <w:szCs w:val="21"/>
        </w:rPr>
        <w:t>5.2.2</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表11.1.2的规定与现行国家标准</w:t>
      </w:r>
      <w:r>
        <w:rPr>
          <w:rFonts w:hint="eastAsia" w:asciiTheme="minorEastAsia" w:hAnsiTheme="minorEastAsia" w:eastAsiaTheme="minorEastAsia"/>
          <w:color w:val="000000"/>
          <w:szCs w:val="21"/>
        </w:rPr>
        <w:t>《电气装置安装工程电缆线路施工及验收标准》GB 50168-2018</w:t>
      </w:r>
      <w:r>
        <w:rPr>
          <w:rFonts w:hint="eastAsia" w:asciiTheme="minorEastAsia" w:hAnsiTheme="minorEastAsia" w:eastAsiaTheme="minorEastAsia"/>
          <w:szCs w:val="21"/>
        </w:rPr>
        <w:t>是基本一致的。规定电缆梯架、托盘和槽盒在转弯和分支处采用工厂生产专用连接配件，不排除特殊部位自制弯头。一方面是保证电缆弯曲半径满足要求，避免电缆绝缘层和外护层的破坏，另一方面也能保证工程的观感质量，数据来自制造和检验标准。低压铝合金导体电力电缆采用的是AA8030的铝合金材料，在电缆制作过程中铝合金导体经过退火处理，且由于导体绞合方式、成缆绞合方式和联锁型铠装结构的特点，使得铝合金导体电力电缆的弯曲半径可以更小，尤其适用于改造工程、建筑内部的电力供电，能节约空间。该弯曲半径与《美国电气安装规范》NEC（2011年版</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第330.24条B</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款的规定是一致的。</w:t>
      </w:r>
    </w:p>
    <w:p>
      <w:pPr>
        <w:pStyle w:val="4"/>
        <w:spacing w:before="120" w:beforeLines="50" w:after="120" w:afterLines="50"/>
        <w:rPr>
          <w:rFonts w:asciiTheme="minorEastAsia" w:hAnsiTheme="minorEastAsia" w:eastAsiaTheme="minorEastAsia"/>
          <w:sz w:val="21"/>
          <w:szCs w:val="21"/>
        </w:rPr>
      </w:pPr>
      <w:r>
        <w:t>Ⅱ</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一般项目</w:t>
      </w:r>
    </w:p>
    <w:p>
      <w:pPr>
        <w:spacing w:line="360" w:lineRule="auto"/>
        <w:rPr>
          <w:rFonts w:asciiTheme="minorEastAsia" w:hAnsiTheme="minorEastAsia" w:eastAsiaTheme="minorEastAsia"/>
          <w:szCs w:val="21"/>
        </w:rPr>
      </w:pPr>
      <w:r>
        <w:rPr>
          <w:b/>
          <w:bCs/>
          <w:iCs/>
          <w:szCs w:val="21"/>
        </w:rPr>
        <w:t>5.2.3</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直线敷设的电缆梯架、托盘和槽盒，要考虑因环境温度变化而引起膨胀或收缩，所以要装补偿的伸缩节，以免产生过大的膨胀力或收缩力而破坏梯架、托盘和槽盒整体性，建筑物伸缩缝处的梯架、托盘和槽盒补偿装置是为了建筑物沉降等发生位移时防止损伤梯架、托盘、槽盒和电缆的措施，以保证供电安全可靠。</w:t>
      </w:r>
    </w:p>
    <w:p>
      <w:pPr>
        <w:spacing w:line="360" w:lineRule="auto"/>
        <w:rPr>
          <w:rFonts w:asciiTheme="minorEastAsia" w:hAnsiTheme="minorEastAsia" w:eastAsiaTheme="minorEastAsia"/>
          <w:szCs w:val="21"/>
        </w:rPr>
      </w:pPr>
      <w:r>
        <w:rPr>
          <w:b/>
          <w:bCs/>
          <w:iCs/>
          <w:szCs w:val="21"/>
        </w:rPr>
        <w:t>5.2.4</w:t>
      </w:r>
      <w:r>
        <w:rPr>
          <w:rFonts w:hint="eastAsia"/>
          <w:b/>
          <w:bCs/>
          <w:iCs/>
          <w:szCs w:val="21"/>
        </w:rPr>
        <w:t xml:space="preserve"> </w:t>
      </w:r>
      <w:r>
        <w:rPr>
          <w:b/>
          <w:bCs/>
          <w:iCs/>
          <w:szCs w:val="21"/>
        </w:rPr>
        <w:t xml:space="preserve"> </w:t>
      </w:r>
      <w:r>
        <w:rPr>
          <w:rFonts w:hint="eastAsia" w:asciiTheme="minorEastAsia" w:hAnsiTheme="minorEastAsia" w:eastAsiaTheme="minorEastAsia"/>
          <w:szCs w:val="21"/>
        </w:rPr>
        <w:t>要求螺母位于梯架、托盘和槽盒外侧，主要是防止电缆或导线敷设时受损伤。</w:t>
      </w:r>
    </w:p>
    <w:p>
      <w:pPr>
        <w:spacing w:line="360" w:lineRule="auto"/>
        <w:rPr>
          <w:rFonts w:asciiTheme="minorEastAsia" w:hAnsiTheme="minorEastAsia" w:eastAsiaTheme="minorEastAsia"/>
          <w:szCs w:val="21"/>
        </w:rPr>
      </w:pPr>
      <w:r>
        <w:rPr>
          <w:b/>
          <w:bCs/>
          <w:iCs/>
          <w:szCs w:val="21"/>
        </w:rPr>
        <w:t>5.2.5</w:t>
      </w:r>
      <w:r>
        <w:rPr>
          <w:rFonts w:hint="eastAsia"/>
          <w:b/>
          <w:bCs/>
          <w:iCs/>
          <w:szCs w:val="21"/>
        </w:rPr>
        <w:t xml:space="preserve"> </w:t>
      </w:r>
      <w:r>
        <w:rPr>
          <w:b/>
          <w:bCs/>
          <w:iCs/>
          <w:szCs w:val="21"/>
        </w:rPr>
        <w:t xml:space="preserve"> </w:t>
      </w:r>
      <w:r>
        <w:rPr>
          <w:rFonts w:hint="eastAsia" w:asciiTheme="minorEastAsia" w:hAnsiTheme="minorEastAsia" w:eastAsiaTheme="minorEastAsia"/>
          <w:szCs w:val="21"/>
        </w:rPr>
        <w:t>为了使电缆供电时散热良好和当气体管道发生故障时，最大限度地减少对电缆梯架、托盘、槽盒及电缆的影响，因而作出敷设位置和注意事项的规定；同时基于防火需要和承力钢结构的安全，提出应做好防火隔堵措施和支架焊接要求等；当电缆通过室外安装的梯架、托盘、槽盒进入配电箱</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柜</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或室内时，为防止大雨天气雨水沿着梯架、托盘、槽盒进入配电箱</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柜</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或室内而发生安全事故，提出了防雨水的措施，这些措施包括：梯架、托盘、槽盒与配电箱</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柜</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或墙体接口处设置“乙”字弯或做防水封堵等。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电线、电缆、接地线敷设时，应有一定的伸缩余量，防止地震时被切断影响电力恢复及人身安全。</w:t>
      </w:r>
    </w:p>
    <w:p>
      <w:pPr>
        <w:spacing w:line="360" w:lineRule="auto"/>
        <w:rPr>
          <w:rFonts w:asciiTheme="minorEastAsia" w:hAnsiTheme="minorEastAsia" w:eastAsiaTheme="minorEastAsia"/>
          <w:szCs w:val="21"/>
        </w:rPr>
      </w:pPr>
      <w:r>
        <w:rPr>
          <w:b/>
          <w:bCs/>
          <w:iCs/>
          <w:szCs w:val="21"/>
        </w:rPr>
        <w:t>5.2.8</w:t>
      </w:r>
      <w:r>
        <w:rPr>
          <w:rFonts w:hint="eastAsia" w:asciiTheme="minorEastAsia" w:hAnsiTheme="minorEastAsia" w:eastAsiaTheme="minorEastAsia"/>
          <w:b/>
          <w:szCs w:val="21"/>
        </w:rPr>
        <w:t xml:space="preserve"> </w:t>
      </w:r>
      <w:r>
        <w:rPr>
          <w:rFonts w:asciiTheme="minorEastAsia" w:hAnsiTheme="minorEastAsia" w:eastAsiaTheme="minorEastAsia"/>
          <w:b/>
          <w:szCs w:val="21"/>
        </w:rPr>
        <w:t xml:space="preserve"> </w:t>
      </w:r>
      <w:r>
        <w:rPr>
          <w:rFonts w:hint="eastAsia" w:asciiTheme="minorEastAsia" w:hAnsiTheme="minorEastAsia" w:eastAsiaTheme="minorEastAsia"/>
          <w:bCs/>
          <w:szCs w:val="21"/>
        </w:rPr>
        <w:t>本条要求建筑工程中常用的梯架、托盘和槽盒安装过程中质量管控的具体要求。</w:t>
      </w:r>
    </w:p>
    <w:p>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314" w:name="_Toc137216284"/>
      <w:bookmarkStart w:id="315" w:name="_Toc137203434"/>
      <w:bookmarkStart w:id="316" w:name="_Toc136869132"/>
      <w:bookmarkStart w:id="317" w:name="_Toc135299516"/>
      <w:bookmarkStart w:id="318" w:name="_Toc136869548"/>
      <w:r>
        <w:rPr>
          <w:rFonts w:hint="eastAsia" w:asciiTheme="minorEastAsia" w:hAnsiTheme="minorEastAsia" w:eastAsiaTheme="minorEastAsia"/>
          <w:sz w:val="24"/>
          <w:szCs w:val="24"/>
        </w:rPr>
        <w:t>5</w:t>
      </w:r>
      <w:r>
        <w:rPr>
          <w:rFonts w:asciiTheme="minorEastAsia" w:hAnsiTheme="minorEastAsia" w:eastAsiaTheme="minorEastAsia"/>
          <w:sz w:val="24"/>
          <w:szCs w:val="24"/>
        </w:rPr>
        <w:t xml:space="preserve">.3  </w:t>
      </w:r>
      <w:r>
        <w:rPr>
          <w:rFonts w:hint="eastAsia" w:asciiTheme="minorEastAsia" w:hAnsiTheme="minorEastAsia" w:eastAsiaTheme="minorEastAsia"/>
          <w:sz w:val="24"/>
          <w:szCs w:val="24"/>
        </w:rPr>
        <w:t>导管敷设</w:t>
      </w:r>
      <w:bookmarkEnd w:id="314"/>
      <w:bookmarkEnd w:id="315"/>
      <w:bookmarkEnd w:id="316"/>
      <w:bookmarkEnd w:id="317"/>
      <w:bookmarkEnd w:id="318"/>
    </w:p>
    <w:p>
      <w:pPr>
        <w:pStyle w:val="4"/>
        <w:spacing w:before="120" w:beforeLines="50" w:after="120" w:afterLines="50"/>
        <w:rPr>
          <w:rFonts w:asciiTheme="minorEastAsia" w:hAnsiTheme="minorEastAsia" w:eastAsiaTheme="minorEastAsia"/>
          <w:sz w:val="21"/>
          <w:szCs w:val="21"/>
        </w:rPr>
      </w:pPr>
      <w:r>
        <w:t>I</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主控项目</w:t>
      </w:r>
    </w:p>
    <w:p>
      <w:pPr>
        <w:spacing w:line="360" w:lineRule="auto"/>
        <w:rPr>
          <w:rFonts w:cs="仿宋_GB2312" w:asciiTheme="minorEastAsia" w:hAnsiTheme="minorEastAsia" w:eastAsiaTheme="minorEastAsia"/>
          <w:szCs w:val="21"/>
        </w:rPr>
      </w:pPr>
      <w:r>
        <w:rPr>
          <w:b/>
          <w:bCs/>
          <w:iCs/>
          <w:szCs w:val="21"/>
        </w:rPr>
        <w:t>5.3.1</w:t>
      </w:r>
      <w:r>
        <w:rPr>
          <w:rFonts w:hint="eastAsia" w:cs="仿宋_GB2312" w:asciiTheme="minorEastAsia" w:hAnsiTheme="minorEastAsia" w:eastAsiaTheme="minorEastAsia"/>
          <w:szCs w:val="21"/>
        </w:rPr>
        <w:t xml:space="preserve"> </w:t>
      </w:r>
      <w:r>
        <w:rPr>
          <w:rFonts w:cs="仿宋_GB2312" w:asciiTheme="minorEastAsia" w:hAnsiTheme="minorEastAsia" w:eastAsiaTheme="minorEastAsia"/>
          <w:szCs w:val="21"/>
        </w:rPr>
        <w:t xml:space="preserve"> </w:t>
      </w:r>
      <w:r>
        <w:rPr>
          <w:rFonts w:hint="eastAsia" w:cs="仿宋_GB2312" w:asciiTheme="minorEastAsia" w:hAnsiTheme="minorEastAsia" w:eastAsiaTheme="minorEastAsia"/>
          <w:szCs w:val="21"/>
        </w:rPr>
        <w:t>本规范中的金属导管主要包括：钢导管、可弯曲金属导管和金属柔性导管，这些金属导管属外露可导电部分，因此与保护导体可靠连接是基本要求，以防产生间接接触电击现象，对采用熔焊焊接的钢质保护联结导体的规格是按等同铜质</w:t>
      </w:r>
      <w:r>
        <w:rPr>
          <w:rFonts w:hint="eastAsia" w:cs="仿宋_GB2312" w:asciiTheme="minorEastAsia" w:hAnsiTheme="minorEastAsia" w:eastAsiaTheme="minorEastAsia"/>
          <w:color w:val="000000"/>
          <w:szCs w:val="21"/>
        </w:rPr>
        <w:t>2.5</w:t>
      </w:r>
      <w:r>
        <w:rPr>
          <w:rFonts w:hint="eastAsia" w:cs="仿宋" w:asciiTheme="minorEastAsia" w:hAnsiTheme="minorEastAsia" w:eastAsiaTheme="minorEastAsia"/>
          <w:color w:val="000000"/>
          <w:spacing w:val="0"/>
          <w:w w:val="15"/>
          <w:kern w:val="0"/>
          <w:szCs w:val="21"/>
          <w:fitText w:val="42" w:id="1710368298"/>
        </w:rPr>
        <w:t xml:space="preserve">　 </w:t>
      </w:r>
      <w:r>
        <w:rPr>
          <w:rFonts w:hint="eastAsia" w:cs="仿宋" w:asciiTheme="minorEastAsia" w:hAnsiTheme="minorEastAsia" w:eastAsiaTheme="minorEastAsia"/>
          <w:color w:val="000000"/>
          <w:spacing w:val="-17"/>
          <w:w w:val="15"/>
          <w:kern w:val="0"/>
          <w:szCs w:val="21"/>
          <w:fitText w:val="42" w:id="1710368298"/>
        </w:rPr>
        <w:t>　</w:t>
      </w:r>
      <w:r>
        <w:rPr>
          <w:rFonts w:hint="eastAsia" w:cs="仿宋_GB2312" w:asciiTheme="minorEastAsia" w:hAnsiTheme="minorEastAsia" w:eastAsiaTheme="minorEastAsia"/>
          <w:color w:val="000000"/>
          <w:szCs w:val="21"/>
        </w:rPr>
        <w:t>mm²</w:t>
      </w:r>
      <w:r>
        <w:rPr>
          <w:rFonts w:hint="eastAsia" w:cs="仿宋_GB2312" w:asciiTheme="minorEastAsia" w:hAnsiTheme="minorEastAsia" w:eastAsiaTheme="minorEastAsia"/>
          <w:szCs w:val="21"/>
        </w:rPr>
        <w:t>的载流量结合相关接地装置规范综合考虑的，实际施工中应参照设计文件执行。本条主要突出对镀锌与非镀锌钢导管的不同处理方法和要求。设计选用镀锌的材料，理由是抗锈蚀性好，使用寿命长，施工中不应破坏锌保护层，保护层不仅是外表面，还包括内壁表面，如果焊接接地线用熔焊法，则必然会破坏内、外表面的锌保护层，外表面尚可用刷油漆补救，而内表面则无法刷漆，这显然违背了设计采用镀锌材料的初衷，若设计既选用镀锌材料，说明中又允许熔焊处理，其推理上必然相悖。可弯曲金属导管和金属柔性导管由于其结构特性所决定，安装施工工艺无法保证施焊后的导管不被损坏，故也不允许熔焊连接。对镀锌钢导管、可弯曲金属导管和金属柔性导管连接处的两端跨接保护联结导体的做法既可采用锡焊焊接连接，也可采用专用接地卡连接，由于导管连接部位的不确定性，对高处施工或施工作业环境狭小的场所锡焊连接可能有一定的难度，可选用专用接地卡固定保护联结导体。本条所指机械连接仅指紧定式连接和扣压式连接，对连接处的接触电阻有异议时，应在材料进场验收时进行抽样检验，抽样方法按现行国家标准</w:t>
      </w:r>
      <w:r>
        <w:rPr>
          <w:rFonts w:hint="eastAsia" w:cs="仿宋_GB2312" w:asciiTheme="minorEastAsia" w:hAnsiTheme="minorEastAsia" w:eastAsiaTheme="minorEastAsia"/>
          <w:color w:val="000000"/>
          <w:szCs w:val="21"/>
        </w:rPr>
        <w:t>《电缆管理用导管系统 第1部分：通用要求》GB/T 20041.1</w:t>
      </w:r>
      <w:r>
        <w:rPr>
          <w:rFonts w:hint="eastAsia"/>
        </w:rPr>
        <w:t>-</w:t>
      </w:r>
      <w:r>
        <w:rPr>
          <w:rFonts w:hint="eastAsia" w:cs="仿宋_GB2312" w:asciiTheme="minorEastAsia" w:hAnsiTheme="minorEastAsia" w:eastAsiaTheme="minorEastAsia"/>
          <w:szCs w:val="21"/>
        </w:rPr>
        <w:t>2015的相关规定执行。</w:t>
      </w:r>
    </w:p>
    <w:p>
      <w:pPr>
        <w:spacing w:line="360" w:lineRule="auto"/>
        <w:rPr>
          <w:rFonts w:asciiTheme="minorEastAsia" w:hAnsiTheme="minorEastAsia" w:eastAsiaTheme="minorEastAsia"/>
          <w:szCs w:val="21"/>
        </w:rPr>
      </w:pPr>
      <w:r>
        <w:rPr>
          <w:b/>
          <w:bCs/>
          <w:iCs/>
          <w:szCs w:val="21"/>
        </w:rPr>
        <w:t>5.3.2</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本条与本规范修订前一致，是原规范的强制性条文。镀锌钢导管不能熔焊连接的理由如本规范第12.1.1条所述，考虑到技术经济原因，钢导管不得采用熔焊对口连接，技术上熔焊会产生烧穿，内部结瘤，使穿线缆时损坏绝缘层，埋入混凝土中会渗入浆水导致导管堵塞，这种现象显然是不容许发生的；若使用高素质焊工，采用气体保护焊方法，进行焊口破坏性抽检，对建筑电气配管来说没有这个必要，不仅施工工序繁琐，使施工效率低下，在经济上也是不合算的。现在已有不少薄壁钢导管的连接工艺标准问世，如螺纹连接、紧定连接、卡套连接等，既技术上可行，又经济上价廉，只要依据具体情况选用不同连接方法，薄壁钢导管的连接工艺问题是可以解决的，这条规定仅是不允许安全风险太大的熔焊连接工艺的应用。文中的薄壁钢导管是指壁厚小于或等于</w:t>
      </w:r>
      <w:r>
        <w:rPr>
          <w:rFonts w:hint="eastAsia" w:asciiTheme="minorEastAsia" w:hAnsiTheme="minorEastAsia" w:eastAsiaTheme="minorEastAsia"/>
          <w:color w:val="000000"/>
          <w:szCs w:val="21"/>
        </w:rPr>
        <w:t>2</w:t>
      </w:r>
      <w:r>
        <w:rPr>
          <w:rFonts w:hint="eastAsia" w:cs="仿宋" w:asciiTheme="minorEastAsia" w:hAnsiTheme="minorEastAsia" w:eastAsiaTheme="minorEastAsia"/>
          <w:color w:val="000000"/>
          <w:spacing w:val="0"/>
          <w:w w:val="15"/>
          <w:kern w:val="0"/>
          <w:szCs w:val="21"/>
          <w:fitText w:val="42" w:id="1622436508"/>
        </w:rPr>
        <w:t xml:space="preserve">　 </w:t>
      </w:r>
      <w:r>
        <w:rPr>
          <w:rFonts w:hint="eastAsia" w:cs="仿宋" w:asciiTheme="minorEastAsia" w:hAnsiTheme="minorEastAsia" w:eastAsiaTheme="minorEastAsia"/>
          <w:color w:val="000000"/>
          <w:spacing w:val="-17"/>
          <w:w w:val="15"/>
          <w:kern w:val="0"/>
          <w:szCs w:val="21"/>
          <w:fitText w:val="42" w:id="1622436508"/>
        </w:rPr>
        <w:t>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的钢导管，壁厚大于</w:t>
      </w:r>
      <w:r>
        <w:rPr>
          <w:rFonts w:hint="eastAsia" w:asciiTheme="minorEastAsia" w:hAnsiTheme="minorEastAsia" w:eastAsiaTheme="minorEastAsia"/>
          <w:color w:val="000000"/>
          <w:szCs w:val="21"/>
        </w:rPr>
        <w:t>2</w:t>
      </w:r>
      <w:r>
        <w:rPr>
          <w:rFonts w:hint="eastAsia" w:cs="仿宋" w:asciiTheme="minorEastAsia" w:hAnsiTheme="minorEastAsia" w:eastAsiaTheme="minorEastAsia"/>
          <w:color w:val="000000"/>
          <w:spacing w:val="0"/>
          <w:w w:val="15"/>
          <w:kern w:val="0"/>
          <w:szCs w:val="21"/>
          <w:fitText w:val="42" w:id="1923176963"/>
        </w:rPr>
        <w:t xml:space="preserve">　 </w:t>
      </w:r>
      <w:r>
        <w:rPr>
          <w:rFonts w:hint="eastAsia" w:cs="仿宋" w:asciiTheme="minorEastAsia" w:hAnsiTheme="minorEastAsia" w:eastAsiaTheme="minorEastAsia"/>
          <w:color w:val="000000"/>
          <w:spacing w:val="-17"/>
          <w:w w:val="15"/>
          <w:kern w:val="0"/>
          <w:szCs w:val="21"/>
          <w:fitText w:val="42" w:id="1923176963"/>
        </w:rPr>
        <w:t>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的称厚壁钢导管。</w:t>
      </w:r>
    </w:p>
    <w:p>
      <w:pPr>
        <w:spacing w:line="360" w:lineRule="auto"/>
        <w:rPr>
          <w:rFonts w:asciiTheme="minorEastAsia" w:hAnsiTheme="minorEastAsia" w:eastAsiaTheme="minorEastAsia"/>
          <w:szCs w:val="21"/>
        </w:rPr>
      </w:pPr>
      <w:r>
        <w:rPr>
          <w:b/>
          <w:bCs/>
          <w:iCs/>
          <w:szCs w:val="21"/>
        </w:rPr>
        <w:t>5.3.4</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密闭或防护密闭隔墙的部位在建筑工程中一般属人防工程的隔墙，为防止各类毒剂的入侵，保证导管穿越墙体时保持其密闭性，导管穿越密闭或防护密闭隔墙时需要设置带有密闭翼环的密闭套管，导管穿越密闭穿墙套管后需设置过线盒，其</w:t>
      </w:r>
      <w:r>
        <w:rPr>
          <w:rFonts w:hint="eastAsia" w:asciiTheme="minorEastAsia" w:hAnsiTheme="minorEastAsia" w:eastAsiaTheme="minorEastAsia"/>
          <w:color w:val="000000"/>
          <w:szCs w:val="21"/>
        </w:rPr>
        <w:t>目的是</w:t>
      </w:r>
      <w:r>
        <w:rPr>
          <w:rFonts w:hint="eastAsia" w:asciiTheme="minorEastAsia" w:hAnsiTheme="minorEastAsia" w:eastAsiaTheme="minorEastAsia"/>
          <w:szCs w:val="21"/>
        </w:rPr>
        <w:t>穿线或穿电缆后便于做密封处理，导管穿越套管及导管内穿线或穿电缆后，应将导管与套管间空隙及过线盒内的管口用密封材料填充密实。</w:t>
      </w:r>
    </w:p>
    <w:p>
      <w:pPr>
        <w:pStyle w:val="4"/>
        <w:spacing w:before="120" w:beforeLines="50" w:after="120" w:afterLines="50"/>
        <w:rPr>
          <w:rFonts w:asciiTheme="minorEastAsia" w:hAnsiTheme="minorEastAsia" w:eastAsiaTheme="minorEastAsia"/>
          <w:sz w:val="21"/>
          <w:szCs w:val="21"/>
        </w:rPr>
      </w:pPr>
      <w:r>
        <w:t>Ⅱ</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一般项目</w:t>
      </w:r>
    </w:p>
    <w:p>
      <w:pPr>
        <w:spacing w:line="360" w:lineRule="auto"/>
        <w:rPr>
          <w:rFonts w:asciiTheme="minorEastAsia" w:hAnsiTheme="minorEastAsia" w:eastAsiaTheme="minorEastAsia"/>
          <w:szCs w:val="21"/>
        </w:rPr>
      </w:pPr>
      <w:r>
        <w:rPr>
          <w:b/>
          <w:bCs/>
          <w:iCs/>
          <w:szCs w:val="21"/>
        </w:rPr>
        <w:t>5.3.5</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导管的弯曲半径的数值是经验数据，与原有类同规范数值是相同的，在实践中证明是可行的，弯曲半径越小，穿线时拉力越大，绝缘层被管壁磨损越严重。类同规范规定埋设于地下或混凝土内的导管，其弯曲半径均不应小于管外径的10倍，规定值比其他情况均较大的原因是为了更方便穿线，不致使导线穿不过而造成开凿返工，地下和混凝土内返工难度大，还会影响结构安全。本规范将地下和混凝土中的弯曲半径值区分开来，地下仍规定为导管外径的10倍，而混凝土内改为导管外径的6倍，主要考虑到现在建筑物楼板均为现浇，导管弯曲半径值规定太大，则竖向沿墙导管引入楼板时在墙根处导管会裸露在外，影响装修和日后使用效果，由于规定的是最小值，所以楼板内的弯曲半径值可尽量做大。</w:t>
      </w:r>
    </w:p>
    <w:p>
      <w:pPr>
        <w:spacing w:line="360" w:lineRule="auto"/>
        <w:rPr>
          <w:rFonts w:asciiTheme="minorEastAsia" w:hAnsiTheme="minorEastAsia" w:eastAsiaTheme="minorEastAsia"/>
          <w:szCs w:val="21"/>
        </w:rPr>
      </w:pPr>
      <w:r>
        <w:rPr>
          <w:b/>
          <w:bCs/>
          <w:iCs/>
          <w:szCs w:val="21"/>
        </w:rPr>
        <w:t>5.3.6</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吊架是指用小直径圆钢，带有可调节悬吊高度螺纹的一种固定支架，建筑电气施工中，吊顶内的配管大量采用此类吊架，一定程度上节约了投入成本，但由于构造原因，由此产生了新的问题，受到外力扰动易发生晃动，管内穿线时线路摆动不稳易发生安全事故，故需设置刚度较大的防晃支架，防晃支架的位置宜在线路的中部，而线路端部明确规定设置刚性的固定支架。</w:t>
      </w:r>
    </w:p>
    <w:p>
      <w:pPr>
        <w:spacing w:line="360" w:lineRule="auto"/>
        <w:rPr>
          <w:rFonts w:asciiTheme="minorEastAsia" w:hAnsiTheme="minorEastAsia" w:eastAsiaTheme="minorEastAsia"/>
          <w:szCs w:val="21"/>
        </w:rPr>
      </w:pPr>
      <w:r>
        <w:rPr>
          <w:b/>
          <w:bCs/>
          <w:iCs/>
          <w:szCs w:val="21"/>
        </w:rPr>
        <w:t>5.3.7</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暗配管要有一定的埋设深度，太深不利于与盒、箱连接，有时剔槽太深会影响墙体等建筑物的质量；太浅同样不利于与盒、箱连接，还会使建筑物表面有裂纹，在某些潮湿场所</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如实验室等</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，钢导管的锈蚀会</w:t>
      </w:r>
      <w:r>
        <w:rPr>
          <w:rFonts w:hint="eastAsia" w:asciiTheme="minorEastAsia" w:hAnsiTheme="minorEastAsia" w:eastAsiaTheme="minorEastAsia"/>
          <w:color w:val="000000"/>
          <w:szCs w:val="21"/>
        </w:rPr>
        <w:t>印显</w:t>
      </w:r>
      <w:r>
        <w:rPr>
          <w:rFonts w:hint="eastAsia" w:asciiTheme="minorEastAsia" w:hAnsiTheme="minorEastAsia" w:eastAsiaTheme="minorEastAsia"/>
          <w:szCs w:val="21"/>
        </w:rPr>
        <w:t>在墙面上，所以埋设深度恰当，既保护导管又不影响建筑物质量。但当设计有特殊要求时</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如火灾自动报警系统的电气线路配管</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，则应按设计要求进行配管埋设。</w:t>
      </w:r>
    </w:p>
    <w:p>
      <w:pPr>
        <w:spacing w:line="360" w:lineRule="auto"/>
        <w:rPr>
          <w:rFonts w:asciiTheme="minorEastAsia" w:hAnsiTheme="minorEastAsia" w:eastAsiaTheme="minorEastAsia"/>
          <w:szCs w:val="21"/>
        </w:rPr>
      </w:pPr>
      <w:r>
        <w:rPr>
          <w:b/>
          <w:bCs/>
          <w:iCs/>
          <w:szCs w:val="21"/>
        </w:rPr>
        <w:t>5.3.8</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室内导管管口高出基础面的目的是防止尘埃等异物进入管子，也避免室外积水或室内外地面清扫冲洗时水流流入管内，这都能使导管的防腐和导线的绝缘处于良好状态；管口太高也不合适，会影响导线或电缆的上部出线和柜、台、箱内下部电气设备的接线。5.2.3用螺栓连接固定，既方便拆卸更迭，又避免因焊接固定而造成柜、箱壳体涂层防腐损坏、使用寿命缩短。</w:t>
      </w:r>
    </w:p>
    <w:p>
      <w:pPr>
        <w:spacing w:line="360" w:lineRule="auto"/>
        <w:rPr>
          <w:rFonts w:asciiTheme="minorEastAsia" w:hAnsiTheme="minorEastAsia" w:eastAsiaTheme="minorEastAsia"/>
          <w:szCs w:val="21"/>
        </w:rPr>
      </w:pPr>
      <w:r>
        <w:rPr>
          <w:b/>
          <w:bCs/>
          <w:iCs/>
          <w:szCs w:val="21"/>
        </w:rPr>
        <w:t>5.3.9</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建筑电气工程的室外部分与主体建筑的电气工程往往是紧密相连的，如庭院布置的需要、对建筑景观照明的需要，维修更新的周期短，人来车往接触频繁。设计中考虑的原则也不一样，不能与工厂或长途输电的电缆一样采用直埋敷设，敷设的位置也很难避免车辆和人流的干扰。为安全考虑，均规定为穿导管敷设，其埋设深度是由设计根据所处位置的抗压条件和冻土层厚度而决定的，因此施工时应符合设计要求。薄壁的钢导管直埋于土壤内很易腐蚀，使用寿命不长，限制使用；室外配管不应敞口垂直向上主要是防止雨水入侵管内，影响运行安全；管口设在盒、箱和建筑物内，是为防止雨水侵入；管口密封有两层含义，一是防止异物进入，二是最大限度地减少管内凝露，以减缓内壁锈蚀现象。</w:t>
      </w:r>
    </w:p>
    <w:p>
      <w:pPr>
        <w:spacing w:line="360" w:lineRule="auto"/>
        <w:rPr>
          <w:rFonts w:asciiTheme="minorEastAsia" w:hAnsiTheme="minorEastAsia" w:eastAsiaTheme="minorEastAsia"/>
          <w:szCs w:val="21"/>
        </w:rPr>
      </w:pPr>
      <w:r>
        <w:rPr>
          <w:b/>
          <w:bCs/>
          <w:iCs/>
          <w:szCs w:val="21"/>
        </w:rPr>
        <w:t>5.3.10</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kern w:val="0"/>
          <w:szCs w:val="21"/>
        </w:rPr>
        <w:t>明配管要合理设置固定点，是为了穿线缆时不发生管子移位脱落现象，也是为了使电气线路有足够的机械强度，受到冲击</w:t>
      </w:r>
      <w:r>
        <w:rPr>
          <w:rFonts w:hint="eastAsia" w:asciiTheme="minorEastAsia" w:hAnsiTheme="minorEastAsia" w:eastAsiaTheme="minorEastAsia"/>
          <w:color w:val="000000"/>
          <w:kern w:val="0"/>
          <w:szCs w:val="21"/>
        </w:rPr>
        <w:t>（</w:t>
      </w:r>
      <w:r>
        <w:rPr>
          <w:rFonts w:hint="eastAsia" w:asciiTheme="minorEastAsia" w:hAnsiTheme="minorEastAsia" w:eastAsiaTheme="minorEastAsia"/>
          <w:kern w:val="0"/>
          <w:szCs w:val="21"/>
        </w:rPr>
        <w:t>如轻度地震</w:t>
      </w:r>
      <w:r>
        <w:rPr>
          <w:rFonts w:hint="eastAsia" w:asciiTheme="minorEastAsia" w:hAnsiTheme="minorEastAsia" w:eastAsiaTheme="minorEastAsia"/>
          <w:color w:val="000000"/>
          <w:kern w:val="0"/>
          <w:szCs w:val="21"/>
        </w:rPr>
        <w:t>）</w:t>
      </w:r>
      <w:r>
        <w:rPr>
          <w:rFonts w:hint="eastAsia" w:asciiTheme="minorEastAsia" w:hAnsiTheme="minorEastAsia" w:eastAsiaTheme="minorEastAsia"/>
          <w:kern w:val="0"/>
          <w:szCs w:val="21"/>
        </w:rPr>
        <w:t>仍安全可靠地保持使用功能。</w:t>
      </w:r>
    </w:p>
    <w:p>
      <w:pPr>
        <w:spacing w:line="360" w:lineRule="auto"/>
        <w:rPr>
          <w:rFonts w:asciiTheme="minorEastAsia" w:hAnsiTheme="minorEastAsia" w:eastAsiaTheme="minorEastAsia"/>
          <w:szCs w:val="21"/>
        </w:rPr>
      </w:pPr>
      <w:r>
        <w:rPr>
          <w:b/>
          <w:bCs/>
          <w:iCs/>
          <w:szCs w:val="21"/>
        </w:rPr>
        <w:t>5.3.11</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刚性绝缘导管可以螺纹连接，更适宜用胶合剂</w:t>
      </w:r>
      <w:r>
        <w:rPr>
          <w:rFonts w:hint="eastAsia" w:asciiTheme="minorEastAsia" w:hAnsiTheme="minorEastAsia" w:eastAsiaTheme="minorEastAsia"/>
          <w:color w:val="000000"/>
          <w:szCs w:val="21"/>
        </w:rPr>
        <w:t>粘接</w:t>
      </w: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粘接</w:t>
      </w:r>
      <w:r>
        <w:rPr>
          <w:rFonts w:hint="eastAsia" w:asciiTheme="minorEastAsia" w:hAnsiTheme="minorEastAsia" w:eastAsiaTheme="minorEastAsia"/>
          <w:szCs w:val="21"/>
        </w:rPr>
        <w:t>可方便与设备器具间的连接，效率高、质量好、便于施工。</w:t>
      </w:r>
    </w:p>
    <w:p>
      <w:pPr>
        <w:spacing w:line="360" w:lineRule="auto"/>
        <w:rPr>
          <w:rFonts w:asciiTheme="minorEastAsia" w:hAnsiTheme="minorEastAsia" w:eastAsiaTheme="minorEastAsia"/>
          <w:szCs w:val="21"/>
        </w:rPr>
      </w:pPr>
      <w:r>
        <w:rPr>
          <w:b/>
          <w:bCs/>
          <w:iCs/>
          <w:szCs w:val="21"/>
        </w:rPr>
        <w:t>5.3.12</w:t>
      </w:r>
      <w:r>
        <w:rPr>
          <w:rFonts w:hint="eastAsia"/>
          <w:b/>
          <w:bCs/>
          <w:iCs/>
          <w:szCs w:val="21"/>
        </w:rPr>
        <w:t xml:space="preserve"> </w:t>
      </w:r>
      <w:r>
        <w:rPr>
          <w:b/>
          <w:bCs/>
          <w:iCs/>
          <w:szCs w:val="21"/>
        </w:rPr>
        <w:t xml:space="preserve"> </w:t>
      </w:r>
      <w:r>
        <w:rPr>
          <w:rFonts w:hint="eastAsia" w:asciiTheme="minorEastAsia" w:hAnsiTheme="minorEastAsia" w:eastAsiaTheme="minorEastAsia"/>
          <w:szCs w:val="21"/>
        </w:rPr>
        <w:t>弱电工程的定义：智能建筑中的弱电主要有两类，一 类是国家规定的安全电压等级及控制电压等低电压电能，有交流与直流之分，交流</w:t>
      </w:r>
      <w:r>
        <w:rPr>
          <w:rFonts w:hint="eastAsia" w:asciiTheme="minorEastAsia" w:hAnsiTheme="minorEastAsia" w:eastAsiaTheme="minorEastAsia"/>
          <w:color w:val="000000"/>
          <w:szCs w:val="21"/>
        </w:rPr>
        <w:t>36</w:t>
      </w:r>
      <w:r>
        <w:rPr>
          <w:rFonts w:hint="eastAsia" w:cs="仿宋" w:asciiTheme="minorEastAsia" w:hAnsiTheme="minorEastAsia" w:eastAsiaTheme="minorEastAsia"/>
          <w:color w:val="000000"/>
          <w:spacing w:val="0"/>
          <w:w w:val="15"/>
          <w:kern w:val="0"/>
          <w:szCs w:val="21"/>
          <w:fitText w:val="42" w:id="1612656236"/>
        </w:rPr>
        <w:t xml:space="preserve">　 </w:t>
      </w:r>
      <w:r>
        <w:rPr>
          <w:rFonts w:hint="eastAsia" w:cs="仿宋" w:asciiTheme="minorEastAsia" w:hAnsiTheme="minorEastAsia" w:eastAsiaTheme="minorEastAsia"/>
          <w:color w:val="000000"/>
          <w:spacing w:val="-17"/>
          <w:w w:val="15"/>
          <w:kern w:val="0"/>
          <w:szCs w:val="21"/>
          <w:fitText w:val="42" w:id="1612656236"/>
        </w:rPr>
        <w:t>　</w:t>
      </w:r>
      <w:r>
        <w:rPr>
          <w:rFonts w:hint="eastAsia" w:asciiTheme="minorEastAsia" w:hAnsiTheme="minorEastAsia" w:eastAsiaTheme="minorEastAsia"/>
          <w:color w:val="000000"/>
          <w:szCs w:val="21"/>
        </w:rPr>
        <w:t>V</w:t>
      </w:r>
      <w:r>
        <w:rPr>
          <w:rFonts w:hint="eastAsia" w:asciiTheme="minorEastAsia" w:hAnsiTheme="minorEastAsia" w:eastAsiaTheme="minorEastAsia"/>
          <w:szCs w:val="21"/>
        </w:rPr>
        <w:t>以下，直流</w:t>
      </w:r>
      <w:r>
        <w:rPr>
          <w:rFonts w:hint="eastAsia" w:asciiTheme="minorEastAsia" w:hAnsiTheme="minorEastAsia" w:eastAsiaTheme="minorEastAsia"/>
          <w:color w:val="000000"/>
          <w:szCs w:val="21"/>
        </w:rPr>
        <w:t>24</w:t>
      </w:r>
      <w:r>
        <w:rPr>
          <w:rFonts w:hint="eastAsia" w:cs="仿宋" w:asciiTheme="minorEastAsia" w:hAnsiTheme="minorEastAsia" w:eastAsiaTheme="minorEastAsia"/>
          <w:color w:val="000000"/>
          <w:spacing w:val="0"/>
          <w:w w:val="15"/>
          <w:kern w:val="0"/>
          <w:szCs w:val="21"/>
          <w:fitText w:val="42" w:id="1959082922"/>
        </w:rPr>
        <w:t xml:space="preserve">　 </w:t>
      </w:r>
      <w:r>
        <w:rPr>
          <w:rFonts w:hint="eastAsia" w:cs="仿宋" w:asciiTheme="minorEastAsia" w:hAnsiTheme="minorEastAsia" w:eastAsiaTheme="minorEastAsia"/>
          <w:color w:val="000000"/>
          <w:spacing w:val="-17"/>
          <w:w w:val="15"/>
          <w:kern w:val="0"/>
          <w:szCs w:val="21"/>
          <w:fitText w:val="42" w:id="1959082922"/>
        </w:rPr>
        <w:t>　</w:t>
      </w:r>
      <w:r>
        <w:rPr>
          <w:rFonts w:hint="eastAsia" w:asciiTheme="minorEastAsia" w:hAnsiTheme="minorEastAsia" w:eastAsiaTheme="minorEastAsia"/>
          <w:color w:val="000000"/>
          <w:szCs w:val="21"/>
        </w:rPr>
        <w:t>V</w:t>
      </w:r>
      <w:r>
        <w:rPr>
          <w:rFonts w:hint="eastAsia" w:asciiTheme="minorEastAsia" w:hAnsiTheme="minorEastAsia" w:eastAsiaTheme="minorEastAsia"/>
          <w:szCs w:val="21"/>
        </w:rPr>
        <w:t>以下，如</w:t>
      </w:r>
      <w:r>
        <w:rPr>
          <w:rFonts w:hint="eastAsia" w:asciiTheme="minorEastAsia" w:hAnsiTheme="minorEastAsia" w:eastAsiaTheme="minorEastAsia"/>
          <w:color w:val="000000"/>
          <w:szCs w:val="21"/>
        </w:rPr>
        <w:t>24</w:t>
      </w:r>
      <w:r>
        <w:rPr>
          <w:rFonts w:hint="eastAsia" w:cs="仿宋" w:asciiTheme="minorEastAsia" w:hAnsiTheme="minorEastAsia" w:eastAsiaTheme="minorEastAsia"/>
          <w:color w:val="000000"/>
          <w:spacing w:val="0"/>
          <w:w w:val="15"/>
          <w:kern w:val="0"/>
          <w:szCs w:val="21"/>
          <w:fitText w:val="42" w:id="1589531617"/>
        </w:rPr>
        <w:t xml:space="preserve">　 </w:t>
      </w:r>
      <w:r>
        <w:rPr>
          <w:rFonts w:hint="eastAsia" w:cs="仿宋" w:asciiTheme="minorEastAsia" w:hAnsiTheme="minorEastAsia" w:eastAsiaTheme="minorEastAsia"/>
          <w:color w:val="000000"/>
          <w:spacing w:val="-17"/>
          <w:w w:val="15"/>
          <w:kern w:val="0"/>
          <w:szCs w:val="21"/>
          <w:fitText w:val="42" w:id="1589531617"/>
        </w:rPr>
        <w:t>　</w:t>
      </w:r>
      <w:r>
        <w:rPr>
          <w:rFonts w:hint="eastAsia" w:asciiTheme="minorEastAsia" w:hAnsiTheme="minorEastAsia" w:eastAsiaTheme="minorEastAsia"/>
          <w:color w:val="000000"/>
          <w:szCs w:val="21"/>
        </w:rPr>
        <w:t>V</w:t>
      </w:r>
      <w:r>
        <w:rPr>
          <w:rFonts w:hint="eastAsia" w:asciiTheme="minorEastAsia" w:hAnsiTheme="minorEastAsia" w:eastAsiaTheme="minorEastAsia"/>
          <w:szCs w:val="21"/>
        </w:rPr>
        <w:t>直流控制电源，或应急照明灯备用电源。另一类是载有语音、图像、数据等信息的信息源，如电话、电视、计算机的信息。人们习惯把弱电方面的技术称之为弱电技术，可见智能建筑弱电技术基本</w:t>
      </w:r>
      <w:r>
        <w:rPr>
          <w:rFonts w:hint="eastAsia" w:asciiTheme="minorEastAsia" w:hAnsiTheme="minorEastAsia" w:eastAsiaTheme="minorEastAsia"/>
          <w:color w:val="000000"/>
          <w:szCs w:val="21"/>
        </w:rPr>
        <w:t>含义</w:t>
      </w:r>
      <w:r>
        <w:rPr>
          <w:rFonts w:hint="eastAsia" w:asciiTheme="minorEastAsia" w:hAnsiTheme="minorEastAsia" w:eastAsiaTheme="minorEastAsia"/>
          <w:szCs w:val="21"/>
        </w:rPr>
        <w:t>仍然是原来意义上的弱电技术。只不过随着现代弱电高新技术的迅速发展，智能建筑中的弱电技术应用越来越广泛。</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-般情况下，弱电系统工程指第二类应用。主要包括</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1、电视信号工程，如电视监控系统、有线电视；2、通信工程，如电话；3、智能消防工程；4、扩声与音响工程，如小区的中背景音乐广播，建筑物中的背景音乐；5、综合布线工程，主要用于计算机网络。随着计算机技术的飞速发展，软硬件功能的迅速强大，各种弱电系统工程和计算机技术的完美结合，使以往的各种分类不再像以前那么清晰。各类工程的相互融合，就是系统集成。常见的弱电系统工作电压包括：</w:t>
      </w:r>
      <w:r>
        <w:rPr>
          <w:rFonts w:hint="eastAsia" w:asciiTheme="minorEastAsia" w:hAnsiTheme="minorEastAsia" w:eastAsiaTheme="minorEastAsia"/>
          <w:color w:val="000000"/>
          <w:szCs w:val="21"/>
        </w:rPr>
        <w:t>24</w:t>
      </w:r>
      <w:r>
        <w:rPr>
          <w:rFonts w:hint="eastAsia" w:cs="仿宋" w:asciiTheme="minorEastAsia" w:hAnsiTheme="minorEastAsia" w:eastAsiaTheme="minorEastAsia"/>
          <w:color w:val="000000"/>
          <w:spacing w:val="0"/>
          <w:w w:val="15"/>
          <w:kern w:val="0"/>
          <w:szCs w:val="21"/>
          <w:fitText w:val="42" w:id="90269189"/>
        </w:rPr>
        <w:t xml:space="preserve">　 </w:t>
      </w:r>
      <w:r>
        <w:rPr>
          <w:rFonts w:hint="eastAsia" w:cs="仿宋" w:asciiTheme="minorEastAsia" w:hAnsiTheme="minorEastAsia" w:eastAsiaTheme="minorEastAsia"/>
          <w:color w:val="000000"/>
          <w:spacing w:val="-17"/>
          <w:w w:val="15"/>
          <w:kern w:val="0"/>
          <w:szCs w:val="21"/>
          <w:fitText w:val="42" w:id="90269189"/>
        </w:rPr>
        <w:t>　</w:t>
      </w:r>
      <w:r>
        <w:rPr>
          <w:rFonts w:hint="eastAsia" w:asciiTheme="minorEastAsia" w:hAnsiTheme="minorEastAsia" w:eastAsiaTheme="minorEastAsia"/>
          <w:color w:val="000000"/>
          <w:szCs w:val="21"/>
        </w:rPr>
        <w:t>VAC</w:t>
      </w: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16.5</w:t>
      </w:r>
      <w:r>
        <w:rPr>
          <w:rFonts w:hint="eastAsia" w:cs="仿宋" w:asciiTheme="minorEastAsia" w:hAnsiTheme="minorEastAsia" w:eastAsiaTheme="minorEastAsia"/>
          <w:color w:val="000000"/>
          <w:spacing w:val="0"/>
          <w:w w:val="15"/>
          <w:kern w:val="0"/>
          <w:szCs w:val="21"/>
          <w:fitText w:val="42" w:id="691099254"/>
        </w:rPr>
        <w:t xml:space="preserve">　 </w:t>
      </w:r>
      <w:r>
        <w:rPr>
          <w:rFonts w:hint="eastAsia" w:cs="仿宋" w:asciiTheme="minorEastAsia" w:hAnsiTheme="minorEastAsia" w:eastAsiaTheme="minorEastAsia"/>
          <w:color w:val="000000"/>
          <w:spacing w:val="-17"/>
          <w:w w:val="15"/>
          <w:kern w:val="0"/>
          <w:szCs w:val="21"/>
          <w:fitText w:val="42" w:id="691099254"/>
        </w:rPr>
        <w:t>　</w:t>
      </w:r>
      <w:r>
        <w:rPr>
          <w:rFonts w:hint="eastAsia" w:asciiTheme="minorEastAsia" w:hAnsiTheme="minorEastAsia" w:eastAsiaTheme="minorEastAsia"/>
          <w:color w:val="000000"/>
          <w:szCs w:val="21"/>
        </w:rPr>
        <w:t>VAC</w:t>
      </w:r>
      <w:r>
        <w:rPr>
          <w:rFonts w:hint="eastAsia" w:asciiTheme="minorEastAsia" w:hAnsiTheme="minorEastAsia" w:eastAsiaTheme="minorEastAsia"/>
          <w:szCs w:val="21"/>
        </w:rPr>
        <w:t>、12</w:t>
      </w:r>
      <w:r>
        <w:rPr>
          <w:rFonts w:hint="eastAsia" w:cs="仿宋" w:asciiTheme="minorEastAsia" w:hAnsiTheme="minorEastAsia" w:eastAsiaTheme="minorEastAsia"/>
          <w:color w:val="000000"/>
          <w:spacing w:val="0"/>
          <w:w w:val="15"/>
          <w:kern w:val="0"/>
          <w:szCs w:val="21"/>
          <w:fitText w:val="42" w:id="911965868"/>
        </w:rPr>
        <w:t xml:space="preserve">　 </w:t>
      </w:r>
      <w:r>
        <w:rPr>
          <w:rFonts w:hint="eastAsia" w:cs="仿宋" w:asciiTheme="minorEastAsia" w:hAnsiTheme="minorEastAsia" w:eastAsiaTheme="minorEastAsia"/>
          <w:color w:val="000000"/>
          <w:spacing w:val="-17"/>
          <w:w w:val="15"/>
          <w:kern w:val="0"/>
          <w:szCs w:val="21"/>
          <w:fitText w:val="42" w:id="911965868"/>
        </w:rPr>
        <w:t>　</w:t>
      </w:r>
      <w:r>
        <w:rPr>
          <w:rFonts w:hint="eastAsia" w:asciiTheme="minorEastAsia" w:hAnsiTheme="minorEastAsia" w:eastAsiaTheme="minorEastAsia"/>
          <w:szCs w:val="21"/>
        </w:rPr>
        <w:t>VDC，有的时候</w:t>
      </w:r>
      <w:r>
        <w:rPr>
          <w:rFonts w:hint="eastAsia" w:asciiTheme="minorEastAsia" w:hAnsiTheme="minorEastAsia" w:eastAsiaTheme="minorEastAsia"/>
          <w:color w:val="000000"/>
          <w:szCs w:val="21"/>
        </w:rPr>
        <w:t>220</w:t>
      </w:r>
      <w:r>
        <w:rPr>
          <w:rFonts w:hint="eastAsia" w:cs="仿宋" w:asciiTheme="minorEastAsia" w:hAnsiTheme="minorEastAsia" w:eastAsiaTheme="minorEastAsia"/>
          <w:color w:val="000000"/>
          <w:spacing w:val="0"/>
          <w:w w:val="15"/>
          <w:kern w:val="0"/>
          <w:szCs w:val="21"/>
          <w:fitText w:val="42" w:id="713315467"/>
        </w:rPr>
        <w:t xml:space="preserve">　 </w:t>
      </w:r>
      <w:r>
        <w:rPr>
          <w:rFonts w:hint="eastAsia" w:cs="仿宋" w:asciiTheme="minorEastAsia" w:hAnsiTheme="minorEastAsia" w:eastAsiaTheme="minorEastAsia"/>
          <w:color w:val="000000"/>
          <w:spacing w:val="-17"/>
          <w:w w:val="15"/>
          <w:kern w:val="0"/>
          <w:szCs w:val="21"/>
          <w:fitText w:val="42" w:id="713315467"/>
        </w:rPr>
        <w:t>　</w:t>
      </w:r>
      <w:r>
        <w:rPr>
          <w:rFonts w:hint="eastAsia" w:asciiTheme="minorEastAsia" w:hAnsiTheme="minorEastAsia" w:eastAsiaTheme="minorEastAsia"/>
          <w:color w:val="000000"/>
          <w:szCs w:val="21"/>
        </w:rPr>
        <w:t>VAC</w:t>
      </w:r>
      <w:r>
        <w:rPr>
          <w:rFonts w:hint="eastAsia" w:asciiTheme="minorEastAsia" w:hAnsiTheme="minorEastAsia" w:eastAsiaTheme="minorEastAsia"/>
          <w:szCs w:val="21"/>
        </w:rPr>
        <w:t>也算弱电系统，比如有的摄像机的工作电压是</w:t>
      </w:r>
      <w:r>
        <w:rPr>
          <w:rFonts w:hint="eastAsia" w:asciiTheme="minorEastAsia" w:hAnsiTheme="minorEastAsia" w:eastAsiaTheme="minorEastAsia"/>
          <w:color w:val="000000"/>
          <w:szCs w:val="21"/>
        </w:rPr>
        <w:t>220</w:t>
      </w:r>
      <w:r>
        <w:rPr>
          <w:rFonts w:hint="eastAsia" w:cs="仿宋" w:asciiTheme="minorEastAsia" w:hAnsiTheme="minorEastAsia" w:eastAsiaTheme="minorEastAsia"/>
          <w:color w:val="000000"/>
          <w:spacing w:val="0"/>
          <w:w w:val="15"/>
          <w:kern w:val="0"/>
          <w:szCs w:val="21"/>
          <w:fitText w:val="42" w:id="2127132511"/>
        </w:rPr>
        <w:t xml:space="preserve">　 </w:t>
      </w:r>
      <w:r>
        <w:rPr>
          <w:rFonts w:hint="eastAsia" w:cs="仿宋" w:asciiTheme="minorEastAsia" w:hAnsiTheme="minorEastAsia" w:eastAsiaTheme="minorEastAsia"/>
          <w:color w:val="000000"/>
          <w:spacing w:val="-17"/>
          <w:w w:val="15"/>
          <w:kern w:val="0"/>
          <w:szCs w:val="21"/>
          <w:fitText w:val="42" w:id="2127132511"/>
        </w:rPr>
        <w:t>　</w:t>
      </w:r>
      <w:r>
        <w:rPr>
          <w:rFonts w:hint="eastAsia" w:asciiTheme="minorEastAsia" w:hAnsiTheme="minorEastAsia" w:eastAsiaTheme="minorEastAsia"/>
          <w:color w:val="000000"/>
          <w:szCs w:val="21"/>
        </w:rPr>
        <w:t>VAC，</w:t>
      </w:r>
      <w:r>
        <w:rPr>
          <w:rFonts w:hint="eastAsia" w:asciiTheme="minorEastAsia" w:hAnsiTheme="minorEastAsia" w:eastAsiaTheme="minorEastAsia"/>
          <w:szCs w:val="21"/>
        </w:rPr>
        <w:t>我们就不能把它们归入强电系统。</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在建筑电气工程中，不能将柔性导管用作线路的敷设，仅在刚性导管不能准确配入电气设备器具时做过渡导管用，所以要限制其长度，且动力工程和照明工程所用的场合不同，规定的允许长度有所不同。</w:t>
      </w:r>
    </w:p>
    <w:p>
      <w:pPr>
        <w:spacing w:line="360" w:lineRule="auto"/>
        <w:rPr>
          <w:rFonts w:asciiTheme="minorEastAsia" w:hAnsiTheme="minorEastAsia" w:eastAsiaTheme="minorEastAsia"/>
          <w:szCs w:val="21"/>
        </w:rPr>
      </w:pPr>
      <w:r>
        <w:rPr>
          <w:b/>
          <w:bCs/>
          <w:iCs/>
          <w:szCs w:val="21"/>
        </w:rPr>
        <w:t>5.3.14</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非镀锌钢导管的防腐，对外壁防腐的争论不大，内壁防腐因为管径小，较难处理，主要是工艺较麻烦，不是做不到。根据现行国家标准</w:t>
      </w:r>
      <w:r>
        <w:rPr>
          <w:rFonts w:hint="eastAsia" w:asciiTheme="minorEastAsia" w:hAnsiTheme="minorEastAsia" w:eastAsiaTheme="minorEastAsia"/>
          <w:color w:val="000000"/>
          <w:szCs w:val="21"/>
        </w:rPr>
        <w:t>《电缆管理用导管系统 第1部分：通用要求》GB／T 20041.1-2015</w:t>
      </w:r>
      <w:r>
        <w:rPr>
          <w:rFonts w:hint="eastAsia" w:asciiTheme="minorEastAsia" w:hAnsiTheme="minorEastAsia" w:eastAsiaTheme="minorEastAsia"/>
          <w:szCs w:val="21"/>
        </w:rPr>
        <w:t>规定，钢导管的防护能力分为4个等级，并作出防护试验的细则规定。由此可以认为，非镀锌钢导管应做防护</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防腐</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，不管什么场所选用何种等级，是设计要明确的，否则仅认为导管内、外壁要作油漆处理。导管与其他管道应保持一定距离，是为了运行安全，其所列数据与相关设计规范是一致的。</w:t>
      </w:r>
    </w:p>
    <w:p>
      <w:pPr>
        <w:spacing w:line="360" w:lineRule="auto"/>
        <w:rPr>
          <w:rFonts w:asciiTheme="minorEastAsia" w:hAnsiTheme="minorEastAsia" w:eastAsiaTheme="minorEastAsia"/>
          <w:szCs w:val="21"/>
        </w:rPr>
      </w:pPr>
      <w:r>
        <w:rPr>
          <w:b/>
          <w:bCs/>
          <w:iCs/>
          <w:szCs w:val="21"/>
        </w:rPr>
        <w:t>5.3.15</w:t>
      </w:r>
      <w:r>
        <w:rPr>
          <w:rFonts w:hint="eastAsia"/>
          <w:b/>
          <w:bCs/>
          <w:iCs/>
          <w:szCs w:val="21"/>
        </w:rPr>
        <w:t xml:space="preserve"> </w:t>
      </w:r>
      <w:r>
        <w:rPr>
          <w:b/>
          <w:bCs/>
          <w:iCs/>
          <w:szCs w:val="21"/>
        </w:rPr>
        <w:t xml:space="preserve"> </w:t>
      </w:r>
      <w:r>
        <w:rPr>
          <w:rFonts w:hint="eastAsia" w:asciiTheme="minorEastAsia" w:hAnsiTheme="minorEastAsia" w:eastAsiaTheme="minorEastAsia"/>
          <w:szCs w:val="21"/>
        </w:rPr>
        <w:t>金属导管明敷于潮湿场所或埋地敷设时，会受到不同程度的锈蚀，为保障线路安全，应采用厚壁镀锌钢导管。</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在建筑电气工程中，不能将柔性导管用作线路的敷设，仅在刚性导管不能准确配入电气设备器具时做过渡导管用，所以要限制其长度，且动力工程和照明工程所用的场合不同，规定的允许长度有所不同。</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实践证明，管内或槽内有接头将影响线路的机械强度，另外有接头也是故障的隐患点，不容易进行检查，所以必须在接线盒内进行连接，以便于检查。</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线缆的接头位于管内或槽内时，由于受连接工艺的限制会影响线路的机械强度和线路的绝缘性能，同时也不利于线路的日常维护，因此，要求导线的接头应在接线盒内采用可靠工艺连接。</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多尘、潮湿场所中，环境中的水汽、粉尘会侵蚀裸露的导体或端子，降低线路连接的可靠性和绝缘性能，因此这些场所设置的接线盒和导线的接头需要进行防腐蚀和防潮处理；接线盒是系统部件之间电气连接的主要配件，为保障系统部件整体电气连接的可靠性，接线盒的IP防护等级应与系统部件</w:t>
      </w:r>
      <w:r>
        <w:rPr>
          <w:rFonts w:hint="eastAsia" w:asciiTheme="minorEastAsia" w:hAnsiTheme="minorEastAsia" w:eastAsiaTheme="minorEastAsia"/>
          <w:color w:val="000000"/>
          <w:szCs w:val="21"/>
        </w:rPr>
        <w:t>等</w:t>
      </w:r>
      <w:r>
        <w:rPr>
          <w:rFonts w:hint="eastAsia" w:asciiTheme="minorEastAsia" w:hAnsiTheme="minorEastAsia" w:eastAsiaTheme="minorEastAsia"/>
          <w:szCs w:val="21"/>
        </w:rPr>
        <w:t>同要求。</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为了避免套接紧定式钢导管和连接处受损或基础发生变化</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对电线管路带来不利因素，影响安全</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电线管路不应敷设在此类位置和地段。</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本条保留了原规程第5.0.4</w:t>
      </w:r>
      <w:r>
        <w:rPr>
          <w:rFonts w:hint="eastAsia" w:asciiTheme="minorEastAsia" w:hAnsiTheme="minorEastAsia" w:eastAsiaTheme="minorEastAsia"/>
          <w:color w:val="000000"/>
          <w:szCs w:val="21"/>
        </w:rPr>
        <w:t>条条</w:t>
      </w:r>
      <w:r>
        <w:rPr>
          <w:rFonts w:hint="eastAsia" w:asciiTheme="minorEastAsia" w:hAnsiTheme="minorEastAsia" w:eastAsiaTheme="minorEastAsia"/>
          <w:szCs w:val="21"/>
        </w:rPr>
        <w:t>文。为防止潮、湿气及水等由连接处缝隙渗入管路，影响管路内壁等的安全运行和连接的质量。在连接时，当管材管端插入连接件内，其缝隙采用封堵措施是必要的。目前封堵措施之一是涂电力复合脂，对提高金属管路连接处电气性能是有利的。</w:t>
      </w:r>
    </w:p>
    <w:p>
      <w:pPr>
        <w:spacing w:line="360" w:lineRule="auto"/>
        <w:rPr>
          <w:rFonts w:asciiTheme="minorEastAsia" w:hAnsiTheme="minorEastAsia" w:eastAsiaTheme="minorEastAsia"/>
          <w:szCs w:val="21"/>
        </w:rPr>
      </w:pPr>
      <w:r>
        <w:rPr>
          <w:b/>
          <w:bCs/>
          <w:iCs/>
          <w:szCs w:val="21"/>
        </w:rPr>
        <w:t>5.3.17</w:t>
      </w:r>
      <w:r>
        <w:rPr>
          <w:rFonts w:hint="eastAsia" w:asciiTheme="minorEastAsia" w:hAnsiTheme="minorEastAsia" w:eastAsiaTheme="minorEastAsia"/>
          <w:b/>
          <w:szCs w:val="21"/>
        </w:rPr>
        <w:t xml:space="preserve"> </w:t>
      </w:r>
      <w:r>
        <w:rPr>
          <w:rFonts w:asciiTheme="minorEastAsia" w:hAnsiTheme="minorEastAsia" w:eastAsiaTheme="minorEastAsia"/>
          <w:b/>
          <w:szCs w:val="21"/>
        </w:rPr>
        <w:t xml:space="preserve"> </w:t>
      </w:r>
      <w:r>
        <w:rPr>
          <w:rFonts w:hint="eastAsia" w:asciiTheme="minorEastAsia" w:hAnsiTheme="minorEastAsia" w:eastAsiaTheme="minorEastAsia"/>
          <w:bCs/>
          <w:szCs w:val="21"/>
        </w:rPr>
        <w:t>本条是对建筑工程中常用到的金属暗配管套管连接安装的质量控制。</w:t>
      </w:r>
    </w:p>
    <w:p>
      <w:pPr>
        <w:spacing w:line="360" w:lineRule="auto"/>
        <w:rPr>
          <w:rFonts w:asciiTheme="minorEastAsia" w:hAnsiTheme="minorEastAsia" w:eastAsiaTheme="minorEastAsia"/>
          <w:b/>
          <w:szCs w:val="21"/>
        </w:rPr>
      </w:pPr>
      <w:r>
        <w:rPr>
          <w:b/>
          <w:bCs/>
          <w:iCs/>
          <w:szCs w:val="21"/>
        </w:rPr>
        <w:t>5.3.18</w:t>
      </w:r>
      <w:r>
        <w:rPr>
          <w:rFonts w:hint="eastAsia" w:asciiTheme="minorEastAsia" w:hAnsiTheme="minorEastAsia" w:eastAsiaTheme="minorEastAsia"/>
          <w:b/>
          <w:szCs w:val="21"/>
        </w:rPr>
        <w:t xml:space="preserve"> </w:t>
      </w:r>
      <w:r>
        <w:rPr>
          <w:rFonts w:asciiTheme="minorEastAsia" w:hAnsiTheme="minorEastAsia" w:eastAsiaTheme="minorEastAsia"/>
          <w:b/>
          <w:szCs w:val="21"/>
        </w:rPr>
        <w:t xml:space="preserve"> </w:t>
      </w:r>
      <w:r>
        <w:rPr>
          <w:rFonts w:hint="eastAsia" w:asciiTheme="minorEastAsia" w:hAnsiTheme="minorEastAsia" w:eastAsiaTheme="minorEastAsia"/>
          <w:bCs/>
          <w:szCs w:val="21"/>
        </w:rPr>
        <w:t>本条是对市政建筑工程中常用到的</w:t>
      </w:r>
      <w:r>
        <w:rPr>
          <w:rFonts w:hint="eastAsia" w:asciiTheme="minorEastAsia" w:hAnsiTheme="minorEastAsia" w:eastAsiaTheme="minorEastAsia"/>
          <w:szCs w:val="21"/>
        </w:rPr>
        <w:t>阻燃型塑料管</w:t>
      </w:r>
      <w:r>
        <w:rPr>
          <w:rFonts w:hint="eastAsia" w:asciiTheme="minorEastAsia" w:hAnsiTheme="minorEastAsia" w:eastAsiaTheme="minorEastAsia"/>
          <w:bCs/>
          <w:szCs w:val="21"/>
        </w:rPr>
        <w:t>的材料和安装质量控制。</w:t>
      </w:r>
    </w:p>
    <w:p>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319" w:name="_Toc135299517"/>
      <w:bookmarkStart w:id="320" w:name="_Toc137216285"/>
      <w:bookmarkStart w:id="321" w:name="_Toc137203435"/>
      <w:bookmarkStart w:id="322" w:name="_Toc136869133"/>
      <w:bookmarkStart w:id="323" w:name="_Toc136869549"/>
      <w:r>
        <w:rPr>
          <w:rFonts w:hint="eastAsia" w:asciiTheme="minorEastAsia" w:hAnsiTheme="minorEastAsia" w:eastAsiaTheme="minorEastAsia"/>
          <w:sz w:val="24"/>
          <w:szCs w:val="24"/>
        </w:rPr>
        <w:t>5</w:t>
      </w:r>
      <w:r>
        <w:rPr>
          <w:rFonts w:asciiTheme="minorEastAsia" w:hAnsiTheme="minorEastAsia" w:eastAsiaTheme="minorEastAsia"/>
          <w:sz w:val="24"/>
          <w:szCs w:val="24"/>
        </w:rPr>
        <w:t xml:space="preserve">.4  </w:t>
      </w:r>
      <w:r>
        <w:rPr>
          <w:rFonts w:hint="eastAsia" w:asciiTheme="minorEastAsia" w:hAnsiTheme="minorEastAsia" w:eastAsiaTheme="minorEastAsia"/>
          <w:sz w:val="24"/>
          <w:szCs w:val="24"/>
        </w:rPr>
        <w:t>电缆敷设</w:t>
      </w:r>
      <w:bookmarkEnd w:id="319"/>
      <w:bookmarkEnd w:id="320"/>
      <w:bookmarkEnd w:id="321"/>
      <w:bookmarkEnd w:id="322"/>
      <w:bookmarkEnd w:id="323"/>
    </w:p>
    <w:p>
      <w:pPr>
        <w:pStyle w:val="4"/>
        <w:spacing w:before="120" w:beforeLines="50" w:after="120" w:afterLines="50"/>
        <w:rPr>
          <w:rFonts w:asciiTheme="minorEastAsia" w:hAnsiTheme="minorEastAsia" w:eastAsiaTheme="minorEastAsia"/>
          <w:sz w:val="21"/>
          <w:szCs w:val="21"/>
        </w:rPr>
      </w:pPr>
      <w:r>
        <w:t>I</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主控项目</w:t>
      </w:r>
    </w:p>
    <w:p>
      <w:pPr>
        <w:spacing w:line="360" w:lineRule="auto"/>
        <w:rPr>
          <w:rFonts w:cs="仿宋" w:asciiTheme="minorEastAsia" w:hAnsiTheme="minorEastAsia" w:eastAsiaTheme="minorEastAsia"/>
          <w:szCs w:val="21"/>
        </w:rPr>
      </w:pPr>
      <w:r>
        <w:rPr>
          <w:b/>
          <w:bCs/>
          <w:iCs/>
          <w:szCs w:val="21"/>
        </w:rPr>
        <w:t>5.4.1</w:t>
      </w:r>
      <w:r>
        <w:rPr>
          <w:rFonts w:hint="eastAsia" w:cs="仿宋" w:asciiTheme="minorEastAsia" w:hAnsiTheme="minorEastAsia" w:eastAsiaTheme="minorEastAsia"/>
          <w:b/>
          <w:szCs w:val="21"/>
        </w:rPr>
        <w:t xml:space="preserve"> </w:t>
      </w:r>
      <w:r>
        <w:rPr>
          <w:rFonts w:cs="仿宋" w:asciiTheme="minorEastAsia" w:hAnsiTheme="minorEastAsia" w:eastAsiaTheme="minorEastAsia"/>
          <w:b/>
          <w:szCs w:val="21"/>
        </w:rPr>
        <w:t xml:space="preserve"> </w:t>
      </w:r>
      <w:r>
        <w:rPr>
          <w:rFonts w:hint="eastAsia" w:cs="仿宋" w:asciiTheme="minorEastAsia" w:hAnsiTheme="minorEastAsia" w:eastAsiaTheme="minorEastAsia"/>
          <w:szCs w:val="21"/>
        </w:rPr>
        <w:t>本条是根据电气装置的外露可导电部分均应与保护导体可靠连接这一原则提出的，目的是保护人身安全和供电安全。金属电缆支架通常与保护导体做熔焊连接，熔焊焊缝应饱满、焊缝无咬肉。</w:t>
      </w:r>
    </w:p>
    <w:p>
      <w:pPr>
        <w:spacing w:line="360" w:lineRule="auto"/>
        <w:rPr>
          <w:rFonts w:cs="仿宋" w:asciiTheme="minorEastAsia" w:hAnsiTheme="minorEastAsia" w:eastAsiaTheme="minorEastAsia"/>
          <w:szCs w:val="21"/>
        </w:rPr>
      </w:pPr>
      <w:r>
        <w:rPr>
          <w:b/>
          <w:bCs/>
          <w:iCs/>
          <w:szCs w:val="21"/>
        </w:rPr>
        <w:t>5.4.2</w:t>
      </w:r>
      <w:r>
        <w:rPr>
          <w:rFonts w:hint="eastAsia" w:cs="仿宋" w:asciiTheme="minorEastAsia" w:hAnsiTheme="minorEastAsia" w:eastAsiaTheme="minorEastAsia"/>
          <w:b/>
          <w:szCs w:val="21"/>
        </w:rPr>
        <w:t xml:space="preserve"> </w:t>
      </w:r>
      <w:r>
        <w:rPr>
          <w:rFonts w:cs="仿宋" w:asciiTheme="minorEastAsia" w:hAnsiTheme="minorEastAsia" w:eastAsiaTheme="minorEastAsia"/>
          <w:b/>
          <w:szCs w:val="21"/>
        </w:rPr>
        <w:t xml:space="preserve"> </w:t>
      </w:r>
      <w:r>
        <w:rPr>
          <w:rFonts w:hint="eastAsia" w:cs="仿宋" w:asciiTheme="minorEastAsia" w:hAnsiTheme="minorEastAsia" w:eastAsiaTheme="minorEastAsia"/>
          <w:szCs w:val="21"/>
        </w:rPr>
        <w:t>本条是对电缆敷设完成后的质量要求，建筑电气工程中电缆敷设基本采用电缆沟内或电气竖井内沿支架上敷设、电缆托盘或梯架或槽盒内敷设和电缆穿管敷设等方式，对电缆沟内或电气竖井内沿支架敷设的方式，可以等电缆全部敷设完后进行检查；对在电缆托盘或梯架或槽盒内敷设的电缆应在敷设过程中进行分层检查，以免电缆敷设完成后由于电缆叠加不方便检查；对电缆穿管敷设应使导管的管口和导管连接处光滑、无毛刺。</w:t>
      </w:r>
    </w:p>
    <w:p>
      <w:pPr>
        <w:spacing w:line="360" w:lineRule="auto"/>
        <w:rPr>
          <w:rFonts w:cs="仿宋" w:asciiTheme="minorEastAsia" w:hAnsiTheme="minorEastAsia" w:eastAsiaTheme="minorEastAsia"/>
          <w:b/>
          <w:bCs/>
          <w:szCs w:val="21"/>
        </w:rPr>
      </w:pPr>
      <w:r>
        <w:rPr>
          <w:b/>
          <w:bCs/>
          <w:iCs/>
          <w:szCs w:val="21"/>
        </w:rPr>
        <w:t>5.4.3</w:t>
      </w:r>
      <w:r>
        <w:rPr>
          <w:rFonts w:hint="eastAsia" w:cs="仿宋" w:asciiTheme="minorEastAsia" w:hAnsiTheme="minorEastAsia" w:eastAsiaTheme="minorEastAsia"/>
          <w:b/>
          <w:szCs w:val="21"/>
        </w:rPr>
        <w:t xml:space="preserve"> </w:t>
      </w:r>
      <w:r>
        <w:rPr>
          <w:rFonts w:cs="仿宋" w:asciiTheme="minorEastAsia" w:hAnsiTheme="minorEastAsia" w:eastAsiaTheme="minorEastAsia"/>
          <w:b/>
          <w:szCs w:val="21"/>
        </w:rPr>
        <w:t xml:space="preserve"> </w:t>
      </w:r>
      <w:r>
        <w:rPr>
          <w:rFonts w:hint="eastAsia" w:cs="仿宋" w:asciiTheme="minorEastAsia" w:hAnsiTheme="minorEastAsia" w:eastAsiaTheme="minorEastAsia"/>
          <w:szCs w:val="21"/>
        </w:rPr>
        <w:t>敷设在室内设备附近或穿越楼板、墙体以及在室外的电缆，不可避免地存在有损于电缆的情况，但只要采取一些措施是可以避免的，这些措施包括加套保护管、铺砂或选用合适的电缆等。</w:t>
      </w:r>
    </w:p>
    <w:p>
      <w:pPr>
        <w:spacing w:line="360" w:lineRule="auto"/>
        <w:rPr>
          <w:rFonts w:cs="仿宋" w:asciiTheme="minorEastAsia" w:hAnsiTheme="minorEastAsia" w:eastAsiaTheme="minorEastAsia"/>
          <w:szCs w:val="21"/>
        </w:rPr>
      </w:pPr>
      <w:r>
        <w:rPr>
          <w:b/>
          <w:bCs/>
          <w:iCs/>
          <w:szCs w:val="21"/>
        </w:rPr>
        <w:t>5.4.4</w:t>
      </w:r>
      <w:r>
        <w:rPr>
          <w:rFonts w:hint="eastAsia" w:cs="仿宋" w:asciiTheme="minorEastAsia" w:hAnsiTheme="minorEastAsia" w:eastAsiaTheme="minorEastAsia"/>
          <w:b/>
          <w:szCs w:val="21"/>
        </w:rPr>
        <w:t xml:space="preserve"> </w:t>
      </w:r>
      <w:r>
        <w:rPr>
          <w:rFonts w:cs="仿宋" w:asciiTheme="minorEastAsia" w:hAnsiTheme="minorEastAsia" w:eastAsiaTheme="minorEastAsia"/>
          <w:b/>
          <w:szCs w:val="21"/>
        </w:rPr>
        <w:t xml:space="preserve"> </w:t>
      </w:r>
      <w:r>
        <w:rPr>
          <w:rFonts w:hint="eastAsia" w:cs="仿宋" w:asciiTheme="minorEastAsia" w:hAnsiTheme="minorEastAsia" w:eastAsiaTheme="minorEastAsia"/>
          <w:szCs w:val="21"/>
        </w:rPr>
        <w:t>设计中，并联使用的电缆型号、规格、长度一般是相同的。本条主要是考虑由于施工现场的工期问题或电缆货源问题，随意替代会造成一根电缆过载一根电缆负荷不足影响运行安全的现象。由于不同型号或不同规格的电缆的允许载流量和允许运行温度是不相同的，不同长度的电缆其负荷的分配比例也是有区别的，将会影响电缆运行的安全。</w:t>
      </w:r>
    </w:p>
    <w:p>
      <w:pPr>
        <w:spacing w:line="360" w:lineRule="auto"/>
        <w:rPr>
          <w:rFonts w:cs="仿宋" w:asciiTheme="minorEastAsia" w:hAnsiTheme="minorEastAsia" w:eastAsiaTheme="minorEastAsia"/>
          <w:szCs w:val="21"/>
        </w:rPr>
      </w:pPr>
      <w:r>
        <w:rPr>
          <w:b/>
          <w:bCs/>
          <w:iCs/>
          <w:szCs w:val="21"/>
        </w:rPr>
        <w:t>5.4.5</w:t>
      </w:r>
      <w:r>
        <w:rPr>
          <w:rFonts w:hint="eastAsia" w:cs="仿宋" w:asciiTheme="minorEastAsia" w:hAnsiTheme="minorEastAsia" w:eastAsiaTheme="minorEastAsia"/>
          <w:b/>
          <w:szCs w:val="21"/>
        </w:rPr>
        <w:t xml:space="preserve"> </w:t>
      </w:r>
      <w:r>
        <w:rPr>
          <w:rFonts w:cs="仿宋" w:asciiTheme="minorEastAsia" w:hAnsiTheme="minorEastAsia" w:eastAsiaTheme="minorEastAsia"/>
          <w:b/>
          <w:szCs w:val="21"/>
        </w:rPr>
        <w:t xml:space="preserve"> </w:t>
      </w:r>
      <w:r>
        <w:rPr>
          <w:rFonts w:hint="eastAsia" w:cs="仿宋" w:asciiTheme="minorEastAsia" w:hAnsiTheme="minorEastAsia" w:eastAsiaTheme="minorEastAsia"/>
          <w:szCs w:val="21"/>
        </w:rPr>
        <w:t>本条是在原规范强制性条文的基础上进行了局部修改，是电缆敷设在钢导管内或电缆固定的基本要求，也是为了安全供电应该做到的规定。尤其在采用预制电缆头作分支连接或单芯矿物绝缘电缆在进、出配电柜、箱时，要防止分支处电缆芯线单根固定时，采用的夹具和支架形成闭合铁磁回路。说得严谨一点，钢导管或钢夹具和支架是指可导磁的钢导管或钢夹具和支架。</w:t>
      </w:r>
    </w:p>
    <w:p>
      <w:pPr>
        <w:spacing w:line="360" w:lineRule="auto"/>
        <w:rPr>
          <w:rFonts w:cs="仿宋" w:asciiTheme="minorEastAsia" w:hAnsiTheme="minorEastAsia" w:eastAsiaTheme="minorEastAsia"/>
          <w:szCs w:val="21"/>
        </w:rPr>
      </w:pPr>
      <w:r>
        <w:rPr>
          <w:b/>
          <w:bCs/>
          <w:iCs/>
          <w:szCs w:val="21"/>
        </w:rPr>
        <w:t>5.4.6</w:t>
      </w:r>
      <w:r>
        <w:rPr>
          <w:rFonts w:hint="eastAsia" w:cs="仿宋" w:asciiTheme="minorEastAsia" w:hAnsiTheme="minorEastAsia" w:eastAsiaTheme="minorEastAsia"/>
          <w:b/>
          <w:szCs w:val="21"/>
        </w:rPr>
        <w:t xml:space="preserve"> </w:t>
      </w:r>
      <w:r>
        <w:rPr>
          <w:rFonts w:cs="仿宋" w:asciiTheme="minorEastAsia" w:hAnsiTheme="minorEastAsia" w:eastAsiaTheme="minorEastAsia"/>
          <w:b/>
          <w:szCs w:val="21"/>
        </w:rPr>
        <w:t xml:space="preserve"> </w:t>
      </w:r>
      <w:r>
        <w:rPr>
          <w:rFonts w:hint="eastAsia" w:cs="仿宋" w:asciiTheme="minorEastAsia" w:hAnsiTheme="minorEastAsia" w:eastAsiaTheme="minorEastAsia"/>
          <w:szCs w:val="21"/>
        </w:rPr>
        <w:t>这是使零序电流互感器正确反映电缆运行情况，并防止离散电流的影响而使零序保护错误发出信号或动作的规定。</w:t>
      </w:r>
    </w:p>
    <w:p>
      <w:pPr>
        <w:pStyle w:val="4"/>
        <w:spacing w:before="120" w:beforeLines="50" w:after="120" w:afterLines="50"/>
        <w:rPr>
          <w:rFonts w:asciiTheme="minorEastAsia" w:hAnsiTheme="minorEastAsia" w:eastAsiaTheme="minorEastAsia"/>
          <w:sz w:val="21"/>
          <w:szCs w:val="21"/>
        </w:rPr>
      </w:pPr>
      <w:r>
        <w:t>Ⅱ</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一般项目</w:t>
      </w:r>
    </w:p>
    <w:p>
      <w:pPr>
        <w:spacing w:line="360" w:lineRule="auto"/>
        <w:rPr>
          <w:rFonts w:cs="仿宋" w:asciiTheme="minorEastAsia" w:hAnsiTheme="minorEastAsia" w:eastAsiaTheme="minorEastAsia"/>
          <w:szCs w:val="21"/>
        </w:rPr>
      </w:pPr>
      <w:r>
        <w:rPr>
          <w:b/>
          <w:bCs/>
          <w:iCs/>
          <w:szCs w:val="21"/>
        </w:rPr>
        <w:t>5.4.7</w:t>
      </w:r>
      <w:r>
        <w:rPr>
          <w:rFonts w:hint="eastAsia" w:cs="仿宋" w:asciiTheme="minorEastAsia" w:hAnsiTheme="minorEastAsia" w:eastAsiaTheme="minorEastAsia"/>
          <w:b/>
          <w:szCs w:val="21"/>
        </w:rPr>
        <w:t xml:space="preserve"> </w:t>
      </w:r>
      <w:r>
        <w:rPr>
          <w:rFonts w:cs="仿宋" w:asciiTheme="minorEastAsia" w:hAnsiTheme="minorEastAsia" w:eastAsiaTheme="minorEastAsia"/>
          <w:b/>
          <w:szCs w:val="21"/>
        </w:rPr>
        <w:t xml:space="preserve"> </w:t>
      </w:r>
      <w:r>
        <w:rPr>
          <w:rFonts w:hint="eastAsia" w:cs="仿宋" w:asciiTheme="minorEastAsia" w:hAnsiTheme="minorEastAsia" w:eastAsiaTheme="minorEastAsia"/>
          <w:szCs w:val="21"/>
        </w:rPr>
        <w:t>电缆在沟内或电气竖井内敷设，要用支架支持或固定，因而支架的安装是关键，其相互间距离是否恰当，对通电后电缆的散热状况是否良好，对电缆的日常巡视和维护检修是否方便以及在电缆弯曲处的弯曲半径是否合理均有影响。规定最上层电缆支架距其他设备的最小净距，是为了避免设备维护检修时引起电缆损伤而作出的防护要求，最下层电缆支架距沟底、地面的最小净距，主要是为了避免电缆沟或隧道或屋面积水影响电缆的正常运行。表中数据基本与现行国家标准</w:t>
      </w:r>
      <w:r>
        <w:rPr>
          <w:rFonts w:hint="eastAsia" w:cs="仿宋" w:asciiTheme="minorEastAsia" w:hAnsiTheme="minorEastAsia" w:eastAsiaTheme="minorEastAsia"/>
          <w:color w:val="000000"/>
          <w:szCs w:val="21"/>
        </w:rPr>
        <w:t>《电力工程电缆设计标准》GB50217-2018</w:t>
      </w:r>
      <w:r>
        <w:rPr>
          <w:rFonts w:hint="eastAsia" w:cs="仿宋" w:asciiTheme="minorEastAsia" w:hAnsiTheme="minorEastAsia" w:eastAsiaTheme="minorEastAsia"/>
          <w:szCs w:val="21"/>
        </w:rPr>
        <w:t>保持一致。</w:t>
      </w:r>
    </w:p>
    <w:p>
      <w:pPr>
        <w:spacing w:line="360" w:lineRule="auto"/>
        <w:rPr>
          <w:rFonts w:cs="仿宋" w:asciiTheme="minorEastAsia" w:hAnsiTheme="minorEastAsia" w:eastAsiaTheme="minorEastAsia"/>
          <w:szCs w:val="21"/>
        </w:rPr>
      </w:pPr>
      <w:r>
        <w:rPr>
          <w:b/>
          <w:bCs/>
          <w:iCs/>
          <w:szCs w:val="21"/>
        </w:rPr>
        <w:t>5.4.8</w:t>
      </w:r>
      <w:r>
        <w:rPr>
          <w:rFonts w:hint="eastAsia" w:cs="仿宋" w:asciiTheme="minorEastAsia" w:hAnsiTheme="minorEastAsia" w:eastAsiaTheme="minorEastAsia"/>
          <w:b/>
          <w:szCs w:val="21"/>
        </w:rPr>
        <w:t xml:space="preserve"> </w:t>
      </w:r>
      <w:r>
        <w:rPr>
          <w:rFonts w:cs="仿宋" w:asciiTheme="minorEastAsia" w:hAnsiTheme="minorEastAsia" w:eastAsiaTheme="minorEastAsia"/>
          <w:b/>
          <w:szCs w:val="21"/>
        </w:rPr>
        <w:t xml:space="preserve"> </w:t>
      </w:r>
      <w:r>
        <w:rPr>
          <w:rFonts w:hint="eastAsia" w:cs="仿宋" w:asciiTheme="minorEastAsia" w:hAnsiTheme="minorEastAsia" w:eastAsiaTheme="minorEastAsia"/>
          <w:szCs w:val="21"/>
        </w:rPr>
        <w:t>本条需要说明的有三点，一是电缆在电气竖井内敷设完毕，应先做电气交接试验，合格后再按设计要求做防火隔堵措施，防火隔堵是否符合要求，是施工验收时必检的项目。二是增加铝合金电缆的内容，铝合金带联锁铠装硬度大，其支持点的间距规定与美国《国家电气规范》NEC（2011年版）第330.30-B款的规定是一致的：联锁型或皱纹型铠装电缆（</w:t>
      </w:r>
      <w:r>
        <w:rPr>
          <w:rFonts w:cs="仿宋" w:asciiTheme="minorEastAsia" w:hAnsiTheme="minorEastAsia" w:eastAsiaTheme="minorEastAsia"/>
          <w:color w:val="000000"/>
          <w:szCs w:val="21"/>
        </w:rPr>
        <w:t>M</w:t>
      </w:r>
      <w:r>
        <w:rPr>
          <w:rFonts w:hint="eastAsia" w:cs="仿宋" w:asciiTheme="minorEastAsia" w:hAnsiTheme="minorEastAsia" w:eastAsiaTheme="minorEastAsia"/>
          <w:color w:val="000000"/>
          <w:szCs w:val="21"/>
        </w:rPr>
        <w:t>etal Clad Cable</w:t>
      </w:r>
      <w:r>
        <w:rPr>
          <w:rFonts w:hint="eastAsia" w:cs="仿宋" w:asciiTheme="minorEastAsia" w:hAnsiTheme="minorEastAsia" w:eastAsiaTheme="minorEastAsia"/>
          <w:szCs w:val="21"/>
        </w:rPr>
        <w:t>）的支持点的距离不超过1.8 m。三是增加了电缆出入梯架、托盘、槽盒及配电（控制）柜、台、箱、盘要做固定的要求，旨在减少电缆局部受力和电缆端子连接部位的受力。电缆穿导管保护时的导管内径不应小于电缆外径的1.5倍，当多根电缆穿同一导管时，其电缆外径应为所有电缆绑扎在一起时并通过计算后的数值。</w:t>
      </w:r>
    </w:p>
    <w:p>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本条中提及的无挤塑外护层电缆金属护套指的是矿物绝缘电缆的铜或铝金属护套，为避免不同金属材料间的接触发生晶间腐蚀而作出了相应规定。</w:t>
      </w:r>
    </w:p>
    <w:p>
      <w:pPr>
        <w:spacing w:line="360" w:lineRule="auto"/>
        <w:rPr>
          <w:rFonts w:cs="仿宋" w:asciiTheme="minorEastAsia" w:hAnsiTheme="minorEastAsia" w:eastAsiaTheme="minorEastAsia"/>
          <w:szCs w:val="21"/>
        </w:rPr>
      </w:pPr>
      <w:r>
        <w:rPr>
          <w:b/>
          <w:bCs/>
          <w:iCs/>
          <w:szCs w:val="21"/>
        </w:rPr>
        <w:t>5.4.9</w:t>
      </w:r>
      <w:r>
        <w:rPr>
          <w:rFonts w:hint="eastAsia" w:cs="仿宋" w:asciiTheme="minorEastAsia" w:hAnsiTheme="minorEastAsia" w:eastAsiaTheme="minorEastAsia"/>
          <w:b/>
          <w:szCs w:val="21"/>
        </w:rPr>
        <w:t xml:space="preserve"> </w:t>
      </w:r>
      <w:r>
        <w:rPr>
          <w:rFonts w:cs="仿宋" w:asciiTheme="minorEastAsia" w:hAnsiTheme="minorEastAsia" w:eastAsiaTheme="minorEastAsia"/>
          <w:b/>
          <w:szCs w:val="21"/>
        </w:rPr>
        <w:t xml:space="preserve"> </w:t>
      </w:r>
      <w:r>
        <w:rPr>
          <w:rFonts w:hint="eastAsia" w:cs="仿宋" w:asciiTheme="minorEastAsia" w:hAnsiTheme="minorEastAsia" w:eastAsiaTheme="minorEastAsia"/>
          <w:szCs w:val="21"/>
        </w:rPr>
        <w:t>建筑工程中采用直埋电缆的部位大多是在室外，一般用于路灯，当电缆直埋于车辆有可能通过的草坪或行人等部位时，为避免由于泥土回填不当造成直埋的电缆受损、影响安全而作出本条规定。</w:t>
      </w:r>
    </w:p>
    <w:p>
      <w:pPr>
        <w:pStyle w:val="41"/>
        <w:spacing w:line="360" w:lineRule="auto"/>
        <w:ind w:firstLine="0" w:firstLineChars="0"/>
        <w:rPr>
          <w:rFonts w:cs="仿宋" w:asciiTheme="minorEastAsia" w:hAnsiTheme="minorEastAsia" w:eastAsiaTheme="minorEastAsia"/>
          <w:b/>
          <w:bCs/>
          <w:szCs w:val="21"/>
        </w:rPr>
      </w:pPr>
      <w:r>
        <w:rPr>
          <w:b/>
          <w:bCs/>
          <w:iCs/>
          <w:szCs w:val="21"/>
        </w:rPr>
        <w:t>5.4.10</w:t>
      </w:r>
      <w:r>
        <w:rPr>
          <w:rFonts w:hint="eastAsia" w:cs="仿宋" w:asciiTheme="minorEastAsia" w:hAnsiTheme="minorEastAsia" w:eastAsiaTheme="minorEastAsia"/>
          <w:b/>
          <w:szCs w:val="21"/>
        </w:rPr>
        <w:t xml:space="preserve"> </w:t>
      </w:r>
      <w:r>
        <w:rPr>
          <w:rFonts w:cs="仿宋" w:asciiTheme="minorEastAsia" w:hAnsiTheme="minorEastAsia" w:eastAsiaTheme="minorEastAsia"/>
          <w:b/>
          <w:szCs w:val="21"/>
        </w:rPr>
        <w:t xml:space="preserve"> </w:t>
      </w:r>
      <w:r>
        <w:rPr>
          <w:rFonts w:hint="eastAsia" w:cs="仿宋" w:asciiTheme="minorEastAsia" w:hAnsiTheme="minorEastAsia" w:eastAsiaTheme="minorEastAsia"/>
          <w:szCs w:val="21"/>
        </w:rPr>
        <w:t>本条是为了运行中巡视和方便维护检修而作出的规定。</w:t>
      </w:r>
    </w:p>
    <w:p>
      <w:pPr>
        <w:spacing w:line="360" w:lineRule="auto"/>
        <w:rPr>
          <w:rFonts w:cs="仿宋" w:asciiTheme="minorEastAsia" w:hAnsiTheme="minorEastAsia" w:eastAsiaTheme="minorEastAsia"/>
          <w:szCs w:val="21"/>
        </w:rPr>
      </w:pPr>
      <w:r>
        <w:rPr>
          <w:b/>
          <w:bCs/>
          <w:iCs/>
          <w:szCs w:val="21"/>
        </w:rPr>
        <w:t>5.4.11</w:t>
      </w:r>
      <w:r>
        <w:rPr>
          <w:rFonts w:hint="eastAsia" w:cs="仿宋" w:asciiTheme="minorEastAsia" w:hAnsiTheme="minorEastAsia" w:eastAsiaTheme="minorEastAsia"/>
          <w:b/>
          <w:szCs w:val="21"/>
        </w:rPr>
        <w:t xml:space="preserve"> </w:t>
      </w:r>
      <w:r>
        <w:rPr>
          <w:rFonts w:cs="仿宋" w:asciiTheme="minorEastAsia" w:hAnsiTheme="minorEastAsia" w:eastAsiaTheme="minorEastAsia"/>
          <w:b/>
          <w:szCs w:val="21"/>
        </w:rPr>
        <w:t xml:space="preserve"> </w:t>
      </w:r>
      <w:r>
        <w:rPr>
          <w:rFonts w:hint="eastAsia" w:cs="仿宋" w:asciiTheme="minorEastAsia" w:hAnsiTheme="minorEastAsia" w:eastAsiaTheme="minorEastAsia"/>
          <w:szCs w:val="21"/>
        </w:rPr>
        <w:t>考虑了双侧支架布置的情况</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当采用双侧电缆支架敷设时</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同一重要回路的工作与备用电缆优先布置在两侧。</w:t>
      </w:r>
    </w:p>
    <w:p>
      <w:pPr>
        <w:spacing w:line="360" w:lineRule="auto"/>
        <w:rPr>
          <w:rFonts w:cs="仿宋" w:asciiTheme="minorEastAsia" w:hAnsiTheme="minorEastAsia" w:eastAsiaTheme="minorEastAsia"/>
          <w:szCs w:val="21"/>
        </w:rPr>
      </w:pPr>
      <w:r>
        <w:rPr>
          <w:b/>
          <w:bCs/>
          <w:iCs/>
          <w:szCs w:val="21"/>
        </w:rPr>
        <w:t>5.4.12</w:t>
      </w:r>
      <w:r>
        <w:rPr>
          <w:rFonts w:hint="eastAsia" w:cs="仿宋" w:asciiTheme="minorEastAsia" w:hAnsiTheme="minorEastAsia" w:eastAsiaTheme="minorEastAsia"/>
          <w:b/>
          <w:szCs w:val="21"/>
        </w:rPr>
        <w:t xml:space="preserve"> </w:t>
      </w:r>
      <w:r>
        <w:rPr>
          <w:rFonts w:cs="仿宋" w:asciiTheme="minorEastAsia" w:hAnsiTheme="minorEastAsia" w:eastAsiaTheme="minorEastAsia"/>
          <w:b/>
          <w:szCs w:val="21"/>
        </w:rPr>
        <w:t xml:space="preserve"> </w:t>
      </w:r>
      <w:r>
        <w:rPr>
          <w:rFonts w:hint="eastAsia" w:cs="仿宋" w:asciiTheme="minorEastAsia" w:hAnsiTheme="minorEastAsia" w:eastAsiaTheme="minorEastAsia"/>
          <w:szCs w:val="21"/>
        </w:rPr>
        <w:t>对本条的规定说明如下</w:t>
      </w:r>
      <w:r>
        <w:rPr>
          <w:rFonts w:hint="eastAsia" w:cs="仿宋" w:asciiTheme="minorEastAsia" w:hAnsiTheme="minorEastAsia" w:eastAsiaTheme="minorEastAsia"/>
          <w:color w:val="0066FF"/>
          <w:szCs w:val="21"/>
        </w:rPr>
        <w:t>：</w:t>
      </w:r>
    </w:p>
    <w:p>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1 在塑料电缆的使用中</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有些人认为不怕水</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电缆两端即使不密封</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电缆内进入一些水分也不要紧</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这种观点是错误的。塑料电缆进水后</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在试验时一般不会发现问题</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即使线芯进水</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进行直流耐压和泄漏电流试验时也不会发现影响电缆使用的问题。但是高压交联聚乙烯电缆线芯进水后</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在长期运行中会出现水树枝现象</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即线芯内的水分呈树枝状进入塑料绝缘内</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从而使这些地方成为薄弱环节。据有关科研人员介绍</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塑料绝缘电缆线芯进水后</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一般运行6年~10年即显现出由此而造成的危害。此外高压交联聚乙烯电缆接头在模塑成形加热时</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线芯中的水汽会进入辐照交联聚乙烯带的层间</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形成气泡</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影响接头质量。</w:t>
      </w:r>
    </w:p>
    <w:p>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塑料护套电缆</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当护套内进水后</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会引起内铠装锈蚀。所以为了保证电缆的施工质量和使用寿命</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塑料电缆两端也应做好防潮密封。</w:t>
      </w:r>
    </w:p>
    <w:p>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2 充油电缆在切断前</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先在被分割的一端接上压力油箱</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切断后两端均可用压力油箱的油分别冲洗切断口</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并排出封端内的空气和杂质。</w:t>
      </w:r>
    </w:p>
    <w:p>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在连接油管路时</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可用压力油排除管内的空气</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并在有压力的情况下进行管路连接</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以免接头内积气。</w:t>
      </w:r>
    </w:p>
    <w:p>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充油电缆的切断口所抬起的高度</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只要高于其两侧电缆的外径</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电缆内就不易进气。</w:t>
      </w:r>
    </w:p>
    <w:p>
      <w:pPr>
        <w:spacing w:line="360" w:lineRule="auto"/>
        <w:rPr>
          <w:rFonts w:cs="仿宋" w:asciiTheme="minorEastAsia" w:hAnsiTheme="minorEastAsia" w:eastAsiaTheme="minorEastAsia"/>
          <w:szCs w:val="21"/>
        </w:rPr>
      </w:pPr>
      <w:r>
        <w:rPr>
          <w:b/>
          <w:bCs/>
          <w:iCs/>
          <w:szCs w:val="21"/>
        </w:rPr>
        <w:t>5.4.13</w:t>
      </w:r>
      <w:r>
        <w:rPr>
          <w:rFonts w:hint="eastAsia" w:cs="仿宋" w:asciiTheme="minorEastAsia" w:hAnsiTheme="minorEastAsia" w:eastAsiaTheme="minorEastAsia"/>
          <w:b/>
          <w:szCs w:val="21"/>
        </w:rPr>
        <w:t xml:space="preserve"> </w:t>
      </w:r>
      <w:r>
        <w:rPr>
          <w:rFonts w:cs="仿宋" w:asciiTheme="minorEastAsia" w:hAnsiTheme="minorEastAsia" w:eastAsiaTheme="minorEastAsia"/>
          <w:b/>
          <w:szCs w:val="21"/>
        </w:rPr>
        <w:t xml:space="preserve"> </w:t>
      </w:r>
      <w:r>
        <w:rPr>
          <w:rFonts w:hint="eastAsia" w:cs="仿宋" w:asciiTheme="minorEastAsia" w:hAnsiTheme="minorEastAsia" w:eastAsiaTheme="minorEastAsia"/>
          <w:szCs w:val="21"/>
        </w:rPr>
        <w:t>为加强防火措施</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第2款增加“电缆共通道敷设存在接头时</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接头宜采用防火隔板或防爆盒进行隔离”规定。</w:t>
      </w:r>
    </w:p>
    <w:p>
      <w:pPr>
        <w:spacing w:line="360" w:lineRule="auto"/>
        <w:rPr>
          <w:rFonts w:cs="仿宋" w:asciiTheme="minorEastAsia" w:hAnsiTheme="minorEastAsia" w:eastAsiaTheme="minorEastAsia"/>
          <w:szCs w:val="21"/>
        </w:rPr>
      </w:pPr>
      <w:r>
        <w:rPr>
          <w:b/>
          <w:bCs/>
          <w:iCs/>
          <w:szCs w:val="21"/>
        </w:rPr>
        <w:t xml:space="preserve">5.4.14  </w:t>
      </w:r>
      <w:r>
        <w:rPr>
          <w:rFonts w:hint="eastAsia" w:cs="仿宋" w:asciiTheme="minorEastAsia" w:hAnsiTheme="minorEastAsia" w:eastAsiaTheme="minorEastAsia"/>
          <w:szCs w:val="21"/>
        </w:rPr>
        <w:t>合格的控制电缆绝缘良好</w:t>
      </w:r>
      <w:r>
        <w:rPr>
          <w:rFonts w:hint="eastAsia" w:cs="仿宋" w:asciiTheme="minorEastAsia" w:hAnsiTheme="minorEastAsia" w:eastAsiaTheme="minorEastAsia"/>
          <w:color w:val="0066FF"/>
          <w:szCs w:val="21"/>
        </w:rPr>
        <w:t>，</w:t>
      </w:r>
      <w:r>
        <w:rPr>
          <w:rFonts w:hint="eastAsia" w:cs="仿宋" w:asciiTheme="minorEastAsia" w:hAnsiTheme="minorEastAsia" w:eastAsiaTheme="minorEastAsia"/>
          <w:szCs w:val="21"/>
        </w:rPr>
        <w:t>一般带有屏蔽层或铠装层</w:t>
      </w:r>
      <w:r>
        <w:rPr>
          <w:rFonts w:hint="eastAsia" w:cs="仿宋" w:asciiTheme="minorEastAsia" w:hAnsiTheme="minorEastAsia" w:eastAsiaTheme="minorEastAsia"/>
          <w:color w:val="0066FF"/>
          <w:szCs w:val="21"/>
        </w:rPr>
        <w:t>，</w:t>
      </w:r>
      <w:r>
        <w:rPr>
          <w:rFonts w:hint="eastAsia" w:cs="仿宋" w:asciiTheme="minorEastAsia" w:hAnsiTheme="minorEastAsia" w:eastAsiaTheme="minorEastAsia"/>
          <w:szCs w:val="21"/>
        </w:rPr>
        <w:t>电压均在 220 V及以下</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安装工程中常常零距离交叉</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对于绝缘、性能不会产生影响。</w:t>
      </w:r>
    </w:p>
    <w:p>
      <w:pPr>
        <w:spacing w:line="360" w:lineRule="auto"/>
        <w:rPr>
          <w:rFonts w:cs="仿宋" w:asciiTheme="minorEastAsia" w:hAnsiTheme="minorEastAsia" w:eastAsiaTheme="minorEastAsia"/>
          <w:szCs w:val="21"/>
        </w:rPr>
      </w:pPr>
      <w:r>
        <w:rPr>
          <w:b/>
          <w:bCs/>
          <w:iCs/>
          <w:szCs w:val="21"/>
        </w:rPr>
        <w:t>5.4.15</w:t>
      </w:r>
      <w:r>
        <w:rPr>
          <w:rFonts w:hint="eastAsia" w:cs="仿宋" w:asciiTheme="minorEastAsia" w:hAnsiTheme="minorEastAsia" w:eastAsiaTheme="minorEastAsia"/>
          <w:b/>
          <w:szCs w:val="21"/>
        </w:rPr>
        <w:t xml:space="preserve"> </w:t>
      </w:r>
      <w:r>
        <w:rPr>
          <w:rFonts w:cs="仿宋" w:asciiTheme="minorEastAsia" w:hAnsiTheme="minorEastAsia" w:eastAsiaTheme="minorEastAsia"/>
          <w:b/>
          <w:szCs w:val="21"/>
        </w:rPr>
        <w:t xml:space="preserve"> </w:t>
      </w:r>
      <w:r>
        <w:rPr>
          <w:rFonts w:hint="eastAsia" w:cs="仿宋" w:asciiTheme="minorEastAsia" w:hAnsiTheme="minorEastAsia" w:eastAsiaTheme="minorEastAsia"/>
          <w:szCs w:val="21"/>
        </w:rPr>
        <w:t>因桥梁型式多、结构差别大</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桥上敷设电缆的方式较多</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应根据桥梁的结构、特点和电缆线路具体情况决定敷设方式。</w:t>
      </w:r>
    </w:p>
    <w:p>
      <w:pPr>
        <w:pStyle w:val="41"/>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桥梁上敷设电缆</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电缆的运行条件较差</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应预防因短路、过负荷或其他原因引起电缆燃烧而影响桥梁结构安全</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视工程实际采取适当的防火措施。同时</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还需防止外力损伤电缆。</w:t>
      </w:r>
    </w:p>
    <w:p>
      <w:pPr>
        <w:spacing w:line="360" w:lineRule="auto"/>
        <w:rPr>
          <w:rFonts w:cs="仿宋" w:asciiTheme="minorEastAsia" w:hAnsiTheme="minorEastAsia" w:eastAsiaTheme="minorEastAsia"/>
          <w:szCs w:val="21"/>
        </w:rPr>
      </w:pPr>
      <w:r>
        <w:rPr>
          <w:b/>
          <w:bCs/>
          <w:iCs/>
          <w:szCs w:val="21"/>
        </w:rPr>
        <w:t>5.4.16</w:t>
      </w:r>
      <w:r>
        <w:rPr>
          <w:rFonts w:hint="eastAsia" w:cs="仿宋" w:asciiTheme="minorEastAsia" w:hAnsiTheme="minorEastAsia" w:eastAsiaTheme="minorEastAsia"/>
          <w:b/>
          <w:szCs w:val="21"/>
        </w:rPr>
        <w:t xml:space="preserve"> </w:t>
      </w:r>
      <w:r>
        <w:rPr>
          <w:rFonts w:cs="仿宋" w:asciiTheme="minorEastAsia" w:hAnsiTheme="minorEastAsia" w:eastAsiaTheme="minorEastAsia"/>
          <w:b/>
          <w:szCs w:val="21"/>
        </w:rPr>
        <w:t xml:space="preserve"> </w:t>
      </w:r>
      <w:r>
        <w:rPr>
          <w:rFonts w:hint="eastAsia" w:cs="仿宋" w:asciiTheme="minorEastAsia" w:hAnsiTheme="minorEastAsia" w:eastAsiaTheme="minorEastAsia"/>
          <w:szCs w:val="21"/>
        </w:rPr>
        <w:t>汽车或列车在桥梁上行驶及桥梁受风压都会发生振动。在选择电缆支撑方式及间隔时</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应保证其振动频率与桥梁振动的固有频率不同</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以避免形成共振。同时</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为减小桥梁振动给电缆运行带来的不良影响</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电缆选型时可选择皱纹铝护套</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施工时应采用橡皮、</w:t>
      </w:r>
      <w:r>
        <w:rPr>
          <w:rFonts w:hint="eastAsia" w:cs="仿宋" w:asciiTheme="minorEastAsia" w:hAnsiTheme="minorEastAsia" w:eastAsiaTheme="minorEastAsia"/>
          <w:color w:val="000000"/>
          <w:szCs w:val="21"/>
        </w:rPr>
        <w:t>砂袋</w:t>
      </w:r>
      <w:r>
        <w:rPr>
          <w:rFonts w:hint="eastAsia" w:cs="仿宋" w:asciiTheme="minorEastAsia" w:hAnsiTheme="minorEastAsia" w:eastAsiaTheme="minorEastAsia"/>
          <w:szCs w:val="21"/>
        </w:rPr>
        <w:t>等弹性衬垫的防振措施。</w:t>
      </w:r>
    </w:p>
    <w:p>
      <w:pPr>
        <w:pStyle w:val="41"/>
        <w:spacing w:line="360" w:lineRule="auto"/>
        <w:ind w:firstLine="0" w:firstLineChars="0"/>
        <w:rPr>
          <w:rFonts w:cs="仿宋" w:asciiTheme="minorEastAsia" w:hAnsiTheme="minorEastAsia" w:eastAsiaTheme="minorEastAsia"/>
          <w:szCs w:val="21"/>
        </w:rPr>
      </w:pPr>
      <w:r>
        <w:rPr>
          <w:rFonts w:hint="eastAsia" w:cs="仿宋" w:asciiTheme="minorEastAsia" w:hAnsiTheme="minorEastAsia" w:eastAsiaTheme="minorEastAsia"/>
          <w:szCs w:val="21"/>
        </w:rPr>
        <w:t>由于受</w:t>
      </w:r>
      <w:r>
        <w:rPr>
          <w:rFonts w:hint="eastAsia" w:cs="仿宋" w:asciiTheme="minorEastAsia" w:hAnsiTheme="minorEastAsia" w:eastAsiaTheme="minorEastAsia"/>
          <w:color w:val="000000"/>
          <w:szCs w:val="21"/>
        </w:rPr>
        <w:t>高温</w:t>
      </w:r>
      <w:r>
        <w:rPr>
          <w:rFonts w:hint="eastAsia" w:cs="仿宋" w:asciiTheme="minorEastAsia" w:hAnsiTheme="minorEastAsia" w:eastAsiaTheme="minorEastAsia"/>
          <w:szCs w:val="21"/>
        </w:rPr>
        <w:t>、湿度变化和车辆通行、风、地震等动载荷的影响，桥梁会在纵向上发生一定的位移变化</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而电缆也会因环境温度或负载变化造成热伸缩</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因此应视工程实际情况采取必要措施减小其影响</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如电缆采取蛇形敷设</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在桥梁两端、伸缩缝和电缆中间接头等处采用大的蛇形敷设方式</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或设置吸收伸缩的电缆伸缩装置。为避免桥梁伸缩影响</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电缆接头位置宜避开桥梁伸缩缝位置。</w:t>
      </w:r>
    </w:p>
    <w:p>
      <w:pPr>
        <w:spacing w:line="360" w:lineRule="auto"/>
        <w:rPr>
          <w:rFonts w:cs="仿宋" w:asciiTheme="minorEastAsia" w:hAnsiTheme="minorEastAsia" w:eastAsiaTheme="minorEastAsia"/>
          <w:szCs w:val="21"/>
        </w:rPr>
      </w:pPr>
      <w:r>
        <w:rPr>
          <w:b/>
          <w:bCs/>
          <w:iCs/>
          <w:szCs w:val="21"/>
        </w:rPr>
        <w:t>5.4.17</w:t>
      </w:r>
      <w:r>
        <w:rPr>
          <w:rFonts w:hint="eastAsia" w:cs="仿宋" w:asciiTheme="minorEastAsia" w:hAnsiTheme="minorEastAsia" w:eastAsiaTheme="minorEastAsia"/>
          <w:b/>
          <w:szCs w:val="21"/>
        </w:rPr>
        <w:t xml:space="preserve"> </w:t>
      </w:r>
      <w:r>
        <w:rPr>
          <w:rFonts w:cs="仿宋" w:asciiTheme="minorEastAsia" w:hAnsiTheme="minorEastAsia" w:eastAsiaTheme="minorEastAsia"/>
          <w:b/>
          <w:szCs w:val="21"/>
        </w:rPr>
        <w:t xml:space="preserve"> </w:t>
      </w:r>
      <w:r>
        <w:rPr>
          <w:rFonts w:hint="eastAsia" w:cs="仿宋" w:asciiTheme="minorEastAsia" w:hAnsiTheme="minorEastAsia" w:eastAsiaTheme="minorEastAsia"/>
          <w:szCs w:val="21"/>
        </w:rPr>
        <w:t>需满足国家现行标准《交流电气装置的接地设计规范》</w:t>
      </w:r>
      <w:r>
        <w:rPr>
          <w:rFonts w:hint="eastAsia" w:cs="仿宋" w:asciiTheme="minorEastAsia" w:hAnsiTheme="minorEastAsia" w:eastAsiaTheme="minorEastAsia"/>
          <w:color w:val="000000"/>
          <w:szCs w:val="21"/>
        </w:rPr>
        <w:t>GB</w:t>
      </w:r>
      <w:r>
        <w:rPr>
          <w:rFonts w:cs="仿宋" w:asciiTheme="minorEastAsia" w:hAnsiTheme="minorEastAsia" w:eastAsiaTheme="minorEastAsia"/>
          <w:color w:val="000000"/>
          <w:szCs w:val="21"/>
        </w:rPr>
        <w:t>/T</w:t>
      </w:r>
      <w:r>
        <w:rPr>
          <w:rFonts w:hint="eastAsia" w:cs="仿宋" w:asciiTheme="minorEastAsia" w:hAnsiTheme="minorEastAsia" w:eastAsiaTheme="minorEastAsia"/>
          <w:color w:val="000000"/>
          <w:szCs w:val="21"/>
        </w:rPr>
        <w:t>50065-2011</w:t>
      </w:r>
      <w:r>
        <w:rPr>
          <w:rFonts w:hint="eastAsia" w:cs="仿宋" w:asciiTheme="minorEastAsia" w:hAnsiTheme="minorEastAsia" w:eastAsiaTheme="minorEastAsia"/>
          <w:szCs w:val="21"/>
        </w:rPr>
        <w:t>、《电力工程电缆设计标准》</w:t>
      </w:r>
      <w:r>
        <w:rPr>
          <w:rFonts w:hint="eastAsia" w:cs="仿宋" w:asciiTheme="minorEastAsia" w:hAnsiTheme="minorEastAsia" w:eastAsiaTheme="minorEastAsia"/>
          <w:color w:val="000000"/>
          <w:szCs w:val="21"/>
        </w:rPr>
        <w:t>GB50217-2018、《66KV及以下架空电力线路设计规范》</w:t>
      </w:r>
      <w:r>
        <w:rPr>
          <w:rFonts w:hint="eastAsia" w:cs="仿宋" w:asciiTheme="minorEastAsia" w:hAnsiTheme="minorEastAsia" w:eastAsiaTheme="minorEastAsia"/>
          <w:szCs w:val="21"/>
        </w:rPr>
        <w:t>GB 50061-2010等的有关规定。</w:t>
      </w:r>
    </w:p>
    <w:p>
      <w:pPr>
        <w:spacing w:line="360" w:lineRule="auto"/>
        <w:rPr>
          <w:rFonts w:cs="仿宋" w:asciiTheme="minorEastAsia" w:hAnsiTheme="minorEastAsia" w:eastAsiaTheme="minorEastAsia"/>
          <w:b/>
          <w:szCs w:val="21"/>
        </w:rPr>
      </w:pPr>
      <w:r>
        <w:rPr>
          <w:b/>
          <w:bCs/>
          <w:iCs/>
          <w:szCs w:val="21"/>
        </w:rPr>
        <w:t>5.4.18</w:t>
      </w:r>
      <w:r>
        <w:rPr>
          <w:rFonts w:hint="eastAsia" w:cs="仿宋" w:asciiTheme="minorEastAsia" w:hAnsiTheme="minorEastAsia" w:eastAsiaTheme="minorEastAsia"/>
          <w:b/>
          <w:szCs w:val="21"/>
        </w:rPr>
        <w:t xml:space="preserve"> </w:t>
      </w:r>
      <w:r>
        <w:rPr>
          <w:rFonts w:cs="仿宋" w:asciiTheme="minorEastAsia" w:hAnsiTheme="minorEastAsia" w:eastAsiaTheme="minorEastAsia"/>
          <w:b/>
          <w:szCs w:val="21"/>
        </w:rPr>
        <w:t xml:space="preserve"> </w:t>
      </w:r>
      <w:r>
        <w:rPr>
          <w:rFonts w:hint="eastAsia" w:cs="仿宋" w:asciiTheme="minorEastAsia" w:hAnsiTheme="minorEastAsia" w:eastAsiaTheme="minorEastAsia"/>
          <w:szCs w:val="21"/>
        </w:rPr>
        <w:t>对于采用架空敷设的电缆</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应考虑当受阳光直射时</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架空敷设的电缆载流量将减小</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一般情况宜按小一规格截面的电缆载流量使用</w:t>
      </w:r>
      <w:r>
        <w:rPr>
          <w:rFonts w:hint="eastAsia" w:cs="仿宋" w:asciiTheme="minorEastAsia" w:hAnsiTheme="minorEastAsia" w:eastAsiaTheme="minorEastAsia"/>
          <w:color w:val="000000"/>
          <w:szCs w:val="21"/>
        </w:rPr>
        <w:t>，</w:t>
      </w:r>
      <w:r>
        <w:rPr>
          <w:rFonts w:hint="eastAsia" w:cs="仿宋" w:asciiTheme="minorEastAsia" w:hAnsiTheme="minorEastAsia" w:eastAsiaTheme="minorEastAsia"/>
          <w:szCs w:val="21"/>
        </w:rPr>
        <w:t>必要时还应核实选择满足载流量需要的电缆。</w:t>
      </w:r>
    </w:p>
    <w:p>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324" w:name="_Toc137203436"/>
      <w:bookmarkStart w:id="325" w:name="_Toc135299518"/>
      <w:bookmarkStart w:id="326" w:name="_Toc137216286"/>
      <w:bookmarkStart w:id="327" w:name="_Toc136869550"/>
      <w:bookmarkStart w:id="328" w:name="_Toc136869134"/>
      <w:r>
        <w:rPr>
          <w:rFonts w:hint="eastAsia" w:asciiTheme="minorEastAsia" w:hAnsiTheme="minorEastAsia" w:eastAsiaTheme="minorEastAsia"/>
          <w:sz w:val="24"/>
          <w:szCs w:val="24"/>
        </w:rPr>
        <w:t>5</w:t>
      </w:r>
      <w:r>
        <w:rPr>
          <w:rFonts w:asciiTheme="minorEastAsia" w:hAnsiTheme="minorEastAsia" w:eastAsiaTheme="minorEastAsia"/>
          <w:sz w:val="24"/>
          <w:szCs w:val="24"/>
        </w:rPr>
        <w:t xml:space="preserve">.5  </w:t>
      </w:r>
      <w:r>
        <w:rPr>
          <w:rFonts w:hint="eastAsia" w:asciiTheme="minorEastAsia" w:hAnsiTheme="minorEastAsia" w:eastAsiaTheme="minorEastAsia"/>
          <w:sz w:val="24"/>
          <w:szCs w:val="24"/>
        </w:rPr>
        <w:t>矿物电缆敷设</w:t>
      </w:r>
      <w:bookmarkEnd w:id="324"/>
      <w:bookmarkEnd w:id="325"/>
      <w:bookmarkEnd w:id="326"/>
      <w:bookmarkEnd w:id="327"/>
      <w:bookmarkEnd w:id="328"/>
    </w:p>
    <w:p>
      <w:pPr>
        <w:pStyle w:val="4"/>
        <w:spacing w:before="120" w:beforeLines="50" w:after="120" w:afterLines="50"/>
        <w:rPr>
          <w:rFonts w:asciiTheme="minorEastAsia" w:hAnsiTheme="minorEastAsia" w:eastAsiaTheme="minorEastAsia"/>
          <w:sz w:val="21"/>
          <w:szCs w:val="21"/>
        </w:rPr>
      </w:pPr>
      <w:r>
        <w:t>I</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主控项目</w:t>
      </w:r>
    </w:p>
    <w:p>
      <w:pPr>
        <w:spacing w:line="360" w:lineRule="auto"/>
        <w:rPr>
          <w:rFonts w:asciiTheme="minorEastAsia" w:hAnsiTheme="minorEastAsia" w:eastAsiaTheme="minorEastAsia"/>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.5.4</w:t>
      </w:r>
      <w:r>
        <w:rPr>
          <w:rFonts w:hint="eastAsia" w:asciiTheme="minorEastAsia" w:hAnsiTheme="minorEastAsia" w:eastAsiaTheme="minorEastAsia"/>
          <w:b/>
          <w:szCs w:val="21"/>
        </w:rPr>
        <w:t xml:space="preserve"> </w:t>
      </w:r>
      <w:r>
        <w:rPr>
          <w:rFonts w:asciiTheme="minorEastAsia" w:hAnsiTheme="minorEastAsia" w:eastAsiaTheme="minorEastAsia"/>
          <w:b/>
          <w:szCs w:val="21"/>
        </w:rPr>
        <w:t xml:space="preserve"> </w:t>
      </w:r>
      <w:r>
        <w:rPr>
          <w:rFonts w:hint="eastAsia" w:asciiTheme="minorEastAsia" w:hAnsiTheme="minorEastAsia" w:eastAsiaTheme="minorEastAsia"/>
          <w:szCs w:val="21"/>
        </w:rPr>
        <w:t>电缆敷设方式有沿支架、托盘、梯架、槽盒或直埋等多种形式，电缆的用途也各不相同，按功能分有正常供配电和应急或事故用供配电电缆，按电压等级分有高压、低压电缆，按用途分有动力、照明和控制电缆。对不同用途或电压等级的电缆其敷设方式、排列要求各有不同，这些是由设计单位在设计文件中作出规定的，施工单位在施工中应按设计要求进行施工。由于矿物绝缘电缆的硬度相对较高，规定在温度变化大的场所、振动场所或穿越建筑物变形缝等部位采取补偿措施是为了避免出现电缆变形和位移等状况。</w:t>
      </w:r>
    </w:p>
    <w:p>
      <w:pPr>
        <w:pStyle w:val="4"/>
        <w:spacing w:before="120" w:beforeLines="50" w:after="120" w:afterLines="50"/>
        <w:rPr>
          <w:rFonts w:asciiTheme="minorEastAsia" w:hAnsiTheme="minorEastAsia" w:eastAsiaTheme="minorEastAsia"/>
          <w:sz w:val="21"/>
          <w:szCs w:val="21"/>
        </w:rPr>
      </w:pPr>
      <w:r>
        <w:t>Ⅱ</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一般项目</w:t>
      </w:r>
    </w:p>
    <w:p>
      <w:pPr>
        <w:spacing w:line="360" w:lineRule="auto"/>
        <w:rPr>
          <w:rFonts w:asciiTheme="minorEastAsia" w:hAnsiTheme="minorEastAsia" w:eastAsiaTheme="minorEastAsia"/>
          <w:szCs w:val="21"/>
          <w:highlight w:val="green"/>
        </w:rPr>
      </w:pPr>
      <w:r>
        <w:rPr>
          <w:rFonts w:hint="eastAsia" w:asciiTheme="minorEastAsia" w:hAnsiTheme="minorEastAsia" w:eastAsiaTheme="minorEastAsia"/>
          <w:b/>
          <w:iCs/>
          <w:szCs w:val="21"/>
        </w:rPr>
        <w:t>5</w:t>
      </w:r>
      <w:r>
        <w:rPr>
          <w:rFonts w:asciiTheme="minorEastAsia" w:hAnsiTheme="minorEastAsia" w:eastAsiaTheme="minorEastAsia"/>
          <w:b/>
          <w:iCs/>
          <w:szCs w:val="21"/>
        </w:rPr>
        <w:t>.5.5</w:t>
      </w:r>
      <w:r>
        <w:rPr>
          <w:rFonts w:hint="eastAsia" w:asciiTheme="minorEastAsia" w:hAnsiTheme="minorEastAsia" w:eastAsiaTheme="minorEastAsia"/>
          <w:b/>
          <w:szCs w:val="21"/>
        </w:rPr>
        <w:t xml:space="preserve"> </w:t>
      </w:r>
      <w:r>
        <w:rPr>
          <w:rFonts w:asciiTheme="minorEastAsia" w:hAnsiTheme="minorEastAsia" w:eastAsiaTheme="minorEastAsia"/>
          <w:b/>
          <w:szCs w:val="21"/>
        </w:rPr>
        <w:t xml:space="preserve"> </w:t>
      </w:r>
      <w:r>
        <w:rPr>
          <w:rFonts w:hint="eastAsia" w:asciiTheme="minorEastAsia" w:hAnsiTheme="minorEastAsia" w:eastAsiaTheme="minorEastAsia"/>
          <w:bCs/>
          <w:szCs w:val="21"/>
        </w:rPr>
        <w:t>单芯电缆应测试芯线护套间绝缘电阻，多芯电缆还应测试各相间、相线对</w:t>
      </w:r>
      <w:r>
        <w:rPr>
          <w:rFonts w:hint="eastAsia" w:asciiTheme="minorEastAsia" w:hAnsiTheme="minorEastAsia" w:eastAsiaTheme="minorEastAsia"/>
          <w:bCs/>
          <w:color w:val="000000"/>
          <w:szCs w:val="21"/>
        </w:rPr>
        <w:t>中性线</w:t>
      </w:r>
      <w:r>
        <w:rPr>
          <w:rFonts w:hint="eastAsia" w:asciiTheme="minorEastAsia" w:hAnsiTheme="minorEastAsia" w:eastAsiaTheme="minorEastAsia"/>
          <w:bCs/>
          <w:szCs w:val="21"/>
        </w:rPr>
        <w:t>、相线对地线及中心线对地线绝缘电阻。</w:t>
      </w:r>
    </w:p>
    <w:p>
      <w:pPr>
        <w:spacing w:line="360" w:lineRule="auto"/>
        <w:rPr>
          <w:rFonts w:asciiTheme="minorEastAsia" w:hAnsiTheme="minorEastAsia" w:eastAsiaTheme="minorEastAsia"/>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.5.7</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当采用无挤塑外护层电缆敷设于人体易触及的部位时，电缆与伸臂范围内的金属物体应做辅助等电位联结。4.1.13相对湿度长期在 75%以上定义为潮湿环境。因潮湿环境下易产生原电池效应，造成铜或金属支架腐蚀，所以规定潮湿环境下与铜护套直接接触的金属支架之间必须做防电化腐蚀措施。铜护套与支架做绝缘处理后考虑人身安全，要求做辅助等电位联结。</w:t>
      </w:r>
    </w:p>
    <w:p>
      <w:pPr>
        <w:spacing w:line="360" w:lineRule="auto"/>
        <w:rPr>
          <w:rFonts w:asciiTheme="minorEastAsia" w:hAnsiTheme="minorEastAsia" w:eastAsiaTheme="minorEastAsia"/>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.5.8</w:t>
      </w:r>
      <w:r>
        <w:rPr>
          <w:rFonts w:hint="eastAsia" w:asciiTheme="minorEastAsia" w:hAnsiTheme="minorEastAsia" w:eastAsiaTheme="minorEastAsia"/>
          <w:b/>
          <w:szCs w:val="21"/>
        </w:rPr>
        <w:t xml:space="preserve"> </w:t>
      </w:r>
      <w:r>
        <w:rPr>
          <w:rFonts w:asciiTheme="minorEastAsia" w:hAnsiTheme="minorEastAsia" w:eastAsiaTheme="minorEastAsia"/>
          <w:b/>
          <w:szCs w:val="21"/>
        </w:rPr>
        <w:t xml:space="preserve"> </w:t>
      </w:r>
      <w:r>
        <w:rPr>
          <w:rFonts w:hint="eastAsia" w:asciiTheme="minorEastAsia" w:hAnsiTheme="minorEastAsia" w:eastAsiaTheme="minorEastAsia"/>
          <w:bCs/>
          <w:szCs w:val="21"/>
        </w:rPr>
        <w:t>大</w:t>
      </w:r>
      <w:r>
        <w:rPr>
          <w:rFonts w:hint="eastAsia" w:asciiTheme="minorEastAsia" w:hAnsiTheme="minorEastAsia" w:eastAsiaTheme="minorEastAsia"/>
          <w:szCs w:val="21"/>
        </w:rPr>
        <w:t>截面矿物绝缘电缆多为单芯电缆，在敷设时应有科学的排布方式以减少因涡流造成的能量损失。所以规定电缆进出钢制配电箱</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柜）、桥架等开孔及穿金属管道应避免产生涡流。</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电缆明敷直接固定在混凝土墙体</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顶板</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上，由于金属胀栓接触墙</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顶板</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内钢筋会形成闭合磁路。</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混凝土楼板或墙体内有密布钢筋可形成闭合磁路，所以电缆穿越混凝土楼板或墙体的预留洞可能产生涡流造成电能损耗。</w:t>
      </w:r>
    </w:p>
    <w:p>
      <w:pPr>
        <w:spacing w:line="360" w:lineRule="auto"/>
        <w:rPr>
          <w:rFonts w:asciiTheme="minorEastAsia" w:hAnsiTheme="minorEastAsia" w:eastAsiaTheme="minorEastAsia"/>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.5.10</w:t>
      </w:r>
      <w:r>
        <w:rPr>
          <w:rFonts w:hint="eastAsia" w:asciiTheme="minorEastAsia" w:hAnsiTheme="minorEastAsia" w:eastAsiaTheme="minorEastAsia"/>
          <w:b/>
          <w:szCs w:val="21"/>
        </w:rPr>
        <w:t xml:space="preserve"> </w:t>
      </w:r>
      <w:r>
        <w:rPr>
          <w:rFonts w:asciiTheme="minorEastAsia" w:hAnsiTheme="minorEastAsia" w:eastAsiaTheme="minorEastAsia"/>
          <w:b/>
          <w:szCs w:val="21"/>
        </w:rPr>
        <w:t xml:space="preserve"> </w:t>
      </w:r>
      <w:r>
        <w:rPr>
          <w:rFonts w:hint="eastAsia" w:asciiTheme="minorEastAsia" w:hAnsiTheme="minorEastAsia" w:eastAsiaTheme="minorEastAsia"/>
          <w:bCs/>
          <w:szCs w:val="21"/>
        </w:rPr>
        <w:t>无</w:t>
      </w:r>
      <w:r>
        <w:rPr>
          <w:rFonts w:hint="eastAsia" w:asciiTheme="minorEastAsia" w:hAnsiTheme="minorEastAsia" w:eastAsiaTheme="minorEastAsia"/>
          <w:szCs w:val="21"/>
        </w:rPr>
        <w:t>挤塑外护套电缆即为铜护套矿物绝缘电缆，电缆外皮是导体，支架也是导体。为使电缆和支架间的电位相等或更接近，在伸臂范围内用导线附加连接。</w:t>
      </w:r>
    </w:p>
    <w:p>
      <w:pPr>
        <w:spacing w:line="360" w:lineRule="auto"/>
        <w:rPr>
          <w:rFonts w:asciiTheme="minorEastAsia" w:hAnsiTheme="minorEastAsia" w:eastAsiaTheme="minorEastAsia"/>
          <w:bCs/>
          <w:iCs/>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.5.11</w:t>
      </w:r>
      <w:r>
        <w:rPr>
          <w:rFonts w:hint="eastAsia" w:asciiTheme="minorEastAsia" w:hAnsiTheme="minorEastAsia" w:eastAsiaTheme="minorEastAsia"/>
          <w:b/>
          <w:szCs w:val="21"/>
        </w:rPr>
        <w:t xml:space="preserve"> </w:t>
      </w:r>
      <w:r>
        <w:rPr>
          <w:rFonts w:asciiTheme="minorEastAsia" w:hAnsiTheme="minorEastAsia" w:eastAsiaTheme="minorEastAsia"/>
          <w:b/>
          <w:szCs w:val="21"/>
        </w:rPr>
        <w:t xml:space="preserve"> </w:t>
      </w:r>
      <w:r>
        <w:rPr>
          <w:rFonts w:hint="eastAsia" w:asciiTheme="minorEastAsia" w:hAnsiTheme="minorEastAsia" w:eastAsiaTheme="minorEastAsia"/>
          <w:szCs w:val="21"/>
        </w:rPr>
        <w:t>为避免因火灾造成中间连接附件的损毁，导致线路停电，特此对中间连接附件的耐火等级作出要求。</w:t>
      </w:r>
    </w:p>
    <w:p>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329" w:name="_Toc135299519"/>
      <w:bookmarkStart w:id="330" w:name="_Toc137203437"/>
      <w:bookmarkStart w:id="331" w:name="_Toc136869551"/>
      <w:bookmarkStart w:id="332" w:name="_Toc137216287"/>
      <w:bookmarkStart w:id="333" w:name="_Toc136869135"/>
      <w:r>
        <w:rPr>
          <w:rFonts w:hint="eastAsia" w:asciiTheme="minorEastAsia" w:hAnsiTheme="minorEastAsia" w:eastAsiaTheme="minorEastAsia"/>
          <w:sz w:val="24"/>
          <w:szCs w:val="24"/>
        </w:rPr>
        <w:t>5</w:t>
      </w:r>
      <w:r>
        <w:rPr>
          <w:rFonts w:asciiTheme="minorEastAsia" w:hAnsiTheme="minorEastAsia" w:eastAsiaTheme="minorEastAsia"/>
          <w:sz w:val="24"/>
          <w:szCs w:val="24"/>
        </w:rPr>
        <w:t xml:space="preserve">.6  </w:t>
      </w:r>
      <w:r>
        <w:rPr>
          <w:rFonts w:hint="eastAsia" w:asciiTheme="minorEastAsia" w:hAnsiTheme="minorEastAsia" w:eastAsiaTheme="minorEastAsia"/>
          <w:sz w:val="24"/>
          <w:szCs w:val="24"/>
        </w:rPr>
        <w:t>预分支电缆</w:t>
      </w:r>
      <w:bookmarkEnd w:id="329"/>
      <w:bookmarkEnd w:id="330"/>
      <w:bookmarkEnd w:id="331"/>
      <w:bookmarkEnd w:id="332"/>
      <w:bookmarkEnd w:id="333"/>
    </w:p>
    <w:p>
      <w:pPr>
        <w:pStyle w:val="4"/>
        <w:spacing w:before="120" w:beforeLines="50" w:after="120" w:afterLines="50"/>
        <w:rPr>
          <w:rFonts w:asciiTheme="minorEastAsia" w:hAnsiTheme="minorEastAsia" w:eastAsiaTheme="minorEastAsia"/>
          <w:sz w:val="21"/>
          <w:szCs w:val="21"/>
        </w:rPr>
      </w:pPr>
      <w:r>
        <w:t>I</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主控项目</w:t>
      </w:r>
    </w:p>
    <w:p>
      <w:pPr>
        <w:spacing w:line="360" w:lineRule="auto"/>
        <w:rPr>
          <w:rFonts w:asciiTheme="minorEastAsia" w:hAnsiTheme="minorEastAsia" w:eastAsiaTheme="minorEastAsia"/>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 xml:space="preserve">.6.4  </w:t>
      </w:r>
      <w:r>
        <w:rPr>
          <w:rFonts w:hint="eastAsia" w:asciiTheme="minorEastAsia" w:hAnsiTheme="minorEastAsia" w:eastAsiaTheme="minorEastAsia"/>
          <w:szCs w:val="21"/>
        </w:rPr>
        <w:t>预制分支电缆布线，应防止在电缆敷设和使用过程中，因电缆自重和敷设过程中的附加外力等机械应力作用而带来的损害。</w:t>
      </w:r>
    </w:p>
    <w:p>
      <w:pPr>
        <w:pStyle w:val="4"/>
        <w:spacing w:before="120" w:beforeLines="50" w:after="120" w:afterLines="50"/>
        <w:rPr>
          <w:rFonts w:asciiTheme="minorEastAsia" w:hAnsiTheme="minorEastAsia" w:eastAsiaTheme="minorEastAsia"/>
          <w:sz w:val="21"/>
          <w:szCs w:val="21"/>
        </w:rPr>
      </w:pPr>
      <w:r>
        <w:t>Ⅱ</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一般项目</w:t>
      </w:r>
    </w:p>
    <w:p>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334" w:name="_Toc137216288"/>
      <w:bookmarkStart w:id="335" w:name="_Toc135299520"/>
      <w:bookmarkStart w:id="336" w:name="_Toc136869136"/>
      <w:bookmarkStart w:id="337" w:name="_Toc137203438"/>
      <w:bookmarkStart w:id="338" w:name="_Toc136869552"/>
      <w:r>
        <w:rPr>
          <w:rFonts w:hint="eastAsia" w:asciiTheme="minorEastAsia" w:hAnsiTheme="minorEastAsia" w:eastAsiaTheme="minorEastAsia"/>
          <w:sz w:val="24"/>
          <w:szCs w:val="24"/>
        </w:rPr>
        <w:t>5</w:t>
      </w:r>
      <w:r>
        <w:rPr>
          <w:rFonts w:asciiTheme="minorEastAsia" w:hAnsiTheme="minorEastAsia" w:eastAsiaTheme="minorEastAsia"/>
          <w:sz w:val="24"/>
          <w:szCs w:val="24"/>
        </w:rPr>
        <w:t xml:space="preserve">.7  </w:t>
      </w:r>
      <w:r>
        <w:rPr>
          <w:rFonts w:hint="eastAsia" w:asciiTheme="minorEastAsia" w:hAnsiTheme="minorEastAsia" w:eastAsiaTheme="minorEastAsia"/>
          <w:sz w:val="24"/>
          <w:szCs w:val="24"/>
        </w:rPr>
        <w:t>导管内穿线和槽盒内敷线</w:t>
      </w:r>
      <w:bookmarkEnd w:id="334"/>
      <w:bookmarkEnd w:id="335"/>
      <w:bookmarkEnd w:id="336"/>
      <w:bookmarkEnd w:id="337"/>
      <w:bookmarkEnd w:id="338"/>
    </w:p>
    <w:p>
      <w:pPr>
        <w:pStyle w:val="4"/>
        <w:spacing w:before="120" w:beforeLines="50" w:after="120" w:afterLines="50"/>
        <w:rPr>
          <w:rFonts w:asciiTheme="minorEastAsia" w:hAnsiTheme="minorEastAsia" w:eastAsiaTheme="minorEastAsia"/>
          <w:sz w:val="21"/>
          <w:szCs w:val="21"/>
        </w:rPr>
      </w:pPr>
      <w:r>
        <w:t>I</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主控项目</w:t>
      </w:r>
    </w:p>
    <w:p>
      <w:pPr>
        <w:spacing w:line="360" w:lineRule="auto"/>
        <w:rPr>
          <w:rFonts w:asciiTheme="minorEastAsia" w:hAnsiTheme="minorEastAsia" w:eastAsiaTheme="minorEastAsia"/>
          <w:b/>
          <w:bCs/>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.7.1</w:t>
      </w:r>
      <w:r>
        <w:rPr>
          <w:rFonts w:hint="eastAsia" w:asciiTheme="minorEastAsia" w:hAnsiTheme="minorEastAsia" w:eastAsiaTheme="minorEastAsia"/>
          <w:b/>
          <w:bCs/>
          <w:szCs w:val="21"/>
        </w:rPr>
        <w:t xml:space="preserve"> </w:t>
      </w:r>
      <w:r>
        <w:rPr>
          <w:rFonts w:asciiTheme="minorEastAsia" w:hAnsiTheme="minorEastAsia" w:eastAsiaTheme="minorEastAsia"/>
          <w:b/>
          <w:bCs/>
          <w:szCs w:val="21"/>
        </w:rPr>
        <w:t xml:space="preserve"> </w:t>
      </w:r>
      <w:r>
        <w:rPr>
          <w:rFonts w:hint="eastAsia" w:asciiTheme="minorEastAsia" w:hAnsiTheme="minorEastAsia" w:eastAsiaTheme="minorEastAsia"/>
          <w:bCs/>
          <w:szCs w:val="21"/>
        </w:rPr>
        <w:t>金属导管、金属槽盒为铁磁性材料，为防止管内或槽盒内存在不平衡交流电流产生的涡流效应使导管或槽盒温度升高，导致导管内或槽盒内绝缘导线的绝缘层迅速老化，甚至龟裂脱落，发生漏电、短路、着火等事故而作出本条规定。</w:t>
      </w:r>
    </w:p>
    <w:p>
      <w:pPr>
        <w:spacing w:line="360" w:lineRule="auto"/>
        <w:rPr>
          <w:rFonts w:asciiTheme="minorEastAsia" w:hAnsiTheme="minorEastAsia" w:eastAsiaTheme="minorEastAsia"/>
          <w:b/>
          <w:bCs/>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.7.2</w:t>
      </w:r>
      <w:r>
        <w:rPr>
          <w:rFonts w:hint="eastAsia" w:asciiTheme="minorEastAsia" w:hAnsiTheme="minorEastAsia" w:eastAsiaTheme="minorEastAsia"/>
          <w:b/>
          <w:bCs/>
          <w:szCs w:val="21"/>
        </w:rPr>
        <w:t xml:space="preserve"> </w:t>
      </w:r>
      <w:r>
        <w:rPr>
          <w:rFonts w:asciiTheme="minorEastAsia" w:hAnsiTheme="minorEastAsia" w:eastAsiaTheme="minorEastAsia"/>
          <w:b/>
          <w:bCs/>
          <w:szCs w:val="21"/>
        </w:rPr>
        <w:t xml:space="preserve"> </w:t>
      </w:r>
      <w:r>
        <w:rPr>
          <w:rFonts w:hint="eastAsia" w:asciiTheme="minorEastAsia" w:hAnsiTheme="minorEastAsia" w:eastAsiaTheme="minorEastAsia"/>
          <w:bCs/>
          <w:szCs w:val="21"/>
        </w:rPr>
        <w:t>本条是防止发生短路故障和抗干扰而作的规定。</w:t>
      </w:r>
    </w:p>
    <w:p>
      <w:pPr>
        <w:spacing w:line="360" w:lineRule="auto"/>
        <w:rPr>
          <w:rFonts w:asciiTheme="minorEastAsia" w:hAnsiTheme="minorEastAsia" w:eastAsiaTheme="minorEastAsia"/>
          <w:b/>
          <w:bCs/>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.7.3</w:t>
      </w:r>
      <w:r>
        <w:rPr>
          <w:rFonts w:hint="eastAsia" w:asciiTheme="minorEastAsia" w:hAnsiTheme="minorEastAsia" w:eastAsiaTheme="minorEastAsia"/>
          <w:b/>
          <w:bCs/>
          <w:szCs w:val="21"/>
        </w:rPr>
        <w:t xml:space="preserve"> </w:t>
      </w:r>
      <w:r>
        <w:rPr>
          <w:rFonts w:asciiTheme="minorEastAsia" w:hAnsiTheme="minorEastAsia" w:eastAsiaTheme="minorEastAsia"/>
          <w:b/>
          <w:bCs/>
          <w:szCs w:val="21"/>
        </w:rPr>
        <w:t xml:space="preserve"> </w:t>
      </w:r>
      <w:r>
        <w:rPr>
          <w:rFonts w:hint="eastAsia" w:asciiTheme="minorEastAsia" w:hAnsiTheme="minorEastAsia" w:eastAsiaTheme="minorEastAsia"/>
          <w:bCs/>
          <w:szCs w:val="21"/>
        </w:rPr>
        <w:t>导线接头若设置在导管内，则穿线难度大，且发生故障时不利于检修；导线接头在槽盒内，发生故障时会蔓延到其他回路。为保证安全，便于维护检修作出本条规定。</w:t>
      </w:r>
    </w:p>
    <w:p>
      <w:pPr>
        <w:pStyle w:val="4"/>
        <w:spacing w:before="120" w:beforeLines="50" w:after="120" w:afterLines="50"/>
        <w:rPr>
          <w:rFonts w:asciiTheme="minorEastAsia" w:hAnsiTheme="minorEastAsia" w:eastAsiaTheme="minorEastAsia"/>
          <w:sz w:val="21"/>
          <w:szCs w:val="21"/>
        </w:rPr>
      </w:pPr>
      <w:r>
        <w:t>Ⅱ</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一般项目</w:t>
      </w:r>
    </w:p>
    <w:p>
      <w:pPr>
        <w:spacing w:line="360" w:lineRule="auto"/>
        <w:rPr>
          <w:rFonts w:asciiTheme="minorEastAsia" w:hAnsiTheme="minorEastAsia" w:eastAsiaTheme="minorEastAsia"/>
          <w:b/>
          <w:bCs/>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.7.4</w:t>
      </w:r>
      <w:r>
        <w:rPr>
          <w:rFonts w:hint="eastAsia" w:asciiTheme="minorEastAsia" w:hAnsiTheme="minorEastAsia" w:eastAsiaTheme="minorEastAsia"/>
          <w:b/>
          <w:bCs/>
          <w:szCs w:val="21"/>
        </w:rPr>
        <w:t xml:space="preserve"> </w:t>
      </w:r>
      <w:r>
        <w:rPr>
          <w:rFonts w:asciiTheme="minorEastAsia" w:hAnsiTheme="minorEastAsia" w:eastAsiaTheme="minorEastAsia"/>
          <w:b/>
          <w:bCs/>
          <w:szCs w:val="21"/>
        </w:rPr>
        <w:t xml:space="preserve"> </w:t>
      </w:r>
      <w:r>
        <w:rPr>
          <w:rFonts w:hint="eastAsia" w:asciiTheme="minorEastAsia" w:hAnsiTheme="minorEastAsia" w:eastAsiaTheme="minorEastAsia"/>
          <w:bCs/>
          <w:szCs w:val="21"/>
        </w:rPr>
        <w:t>绝缘导线因无护套，无导管或槽盒保护易导致绝缘导线受损，发生触电和火灾等事故。</w:t>
      </w:r>
    </w:p>
    <w:p>
      <w:pPr>
        <w:spacing w:line="360" w:lineRule="auto"/>
        <w:rPr>
          <w:rFonts w:asciiTheme="minorEastAsia" w:hAnsiTheme="minorEastAsia" w:eastAsiaTheme="minorEastAsia"/>
          <w:bCs/>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.7.5</w:t>
      </w:r>
      <w:r>
        <w:rPr>
          <w:rFonts w:hint="eastAsia" w:asciiTheme="minorEastAsia" w:hAnsiTheme="minorEastAsia" w:eastAsiaTheme="minorEastAsia"/>
          <w:b/>
          <w:bCs/>
          <w:szCs w:val="21"/>
        </w:rPr>
        <w:t xml:space="preserve"> </w:t>
      </w:r>
      <w:r>
        <w:rPr>
          <w:rFonts w:asciiTheme="minorEastAsia" w:hAnsiTheme="minorEastAsia" w:eastAsiaTheme="minorEastAsia"/>
          <w:b/>
          <w:bCs/>
          <w:szCs w:val="21"/>
        </w:rPr>
        <w:t xml:space="preserve"> </w:t>
      </w:r>
      <w:r>
        <w:rPr>
          <w:rFonts w:hint="eastAsia" w:asciiTheme="minorEastAsia" w:hAnsiTheme="minorEastAsia" w:eastAsiaTheme="minorEastAsia"/>
          <w:bCs/>
          <w:szCs w:val="21"/>
        </w:rPr>
        <w:t>管内清洁、干燥，便于维修和更换导线；钢导管管口护线口应齐全可靠，防止导线绝缘层受损伤。</w:t>
      </w:r>
    </w:p>
    <w:p>
      <w:pPr>
        <w:spacing w:line="360" w:lineRule="auto"/>
        <w:rPr>
          <w:rFonts w:asciiTheme="minorEastAsia" w:hAnsiTheme="minorEastAsia" w:eastAsiaTheme="minorEastAsia"/>
          <w:b/>
          <w:bCs/>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.7.6</w:t>
      </w:r>
      <w:r>
        <w:rPr>
          <w:rFonts w:hint="eastAsia" w:asciiTheme="minorEastAsia" w:hAnsiTheme="minorEastAsia" w:eastAsiaTheme="minorEastAsia"/>
          <w:b/>
          <w:bCs/>
          <w:szCs w:val="21"/>
        </w:rPr>
        <w:t xml:space="preserve"> </w:t>
      </w:r>
      <w:r>
        <w:rPr>
          <w:rFonts w:asciiTheme="minorEastAsia" w:hAnsiTheme="minorEastAsia" w:eastAsiaTheme="minorEastAsia"/>
          <w:b/>
          <w:bCs/>
          <w:szCs w:val="21"/>
        </w:rPr>
        <w:t xml:space="preserve"> </w:t>
      </w:r>
      <w:r>
        <w:rPr>
          <w:rFonts w:hint="eastAsia" w:asciiTheme="minorEastAsia" w:hAnsiTheme="minorEastAsia" w:eastAsiaTheme="minorEastAsia"/>
          <w:bCs/>
          <w:szCs w:val="21"/>
        </w:rPr>
        <w:t>确保导线及其接头不外露，同本规范第14.2.1条。</w:t>
      </w:r>
    </w:p>
    <w:p>
      <w:pPr>
        <w:spacing w:line="360" w:lineRule="auto"/>
        <w:rPr>
          <w:rFonts w:asciiTheme="minorEastAsia" w:hAnsiTheme="minorEastAsia" w:eastAsiaTheme="minorEastAsia"/>
          <w:b/>
          <w:bCs/>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.7.7</w:t>
      </w:r>
      <w:r>
        <w:rPr>
          <w:rFonts w:hint="eastAsia" w:asciiTheme="minorEastAsia" w:hAnsiTheme="minorEastAsia" w:eastAsiaTheme="minorEastAsia"/>
          <w:b/>
          <w:bCs/>
          <w:szCs w:val="21"/>
        </w:rPr>
        <w:t xml:space="preserve"> </w:t>
      </w:r>
      <w:r>
        <w:rPr>
          <w:rFonts w:asciiTheme="minorEastAsia" w:hAnsiTheme="minorEastAsia" w:eastAsiaTheme="minorEastAsia"/>
          <w:b/>
          <w:bCs/>
          <w:szCs w:val="21"/>
        </w:rPr>
        <w:t xml:space="preserve"> </w:t>
      </w:r>
      <w:r>
        <w:rPr>
          <w:rFonts w:hint="eastAsia" w:asciiTheme="minorEastAsia" w:hAnsiTheme="minorEastAsia" w:eastAsiaTheme="minorEastAsia"/>
          <w:bCs/>
          <w:szCs w:val="21"/>
        </w:rPr>
        <w:t>绝缘导线外护层的颜色要有区别，是为识别其不同功能或相位而规定的，既有利于施工又方便日后检修。PE和N的颜色是国际统一认同的，其他绝缘导线的颜色国际上并未强制要求统一，且我国电力供电线路和大量国内电气产品的绝缘导线外护层颜色尚未采用国际上建议采用的颜色</w:t>
      </w:r>
      <w:r>
        <w:rPr>
          <w:rFonts w:hint="eastAsia" w:asciiTheme="minorEastAsia" w:hAnsiTheme="minorEastAsia" w:eastAsiaTheme="minorEastAsia"/>
          <w:bCs/>
          <w:color w:val="000000"/>
          <w:szCs w:val="21"/>
        </w:rPr>
        <w:t>（</w:t>
      </w:r>
      <w:r>
        <w:rPr>
          <w:rFonts w:hint="eastAsia" w:asciiTheme="minorEastAsia" w:hAnsiTheme="minorEastAsia" w:eastAsiaTheme="minorEastAsia"/>
          <w:bCs/>
          <w:szCs w:val="21"/>
        </w:rPr>
        <w:t>即相线L1、L2、L3用黑色、棕色、灰色</w:t>
      </w:r>
      <w:r>
        <w:rPr>
          <w:rFonts w:hint="eastAsia" w:asciiTheme="minorEastAsia" w:hAnsiTheme="minorEastAsia" w:eastAsiaTheme="minorEastAsia"/>
          <w:bCs/>
          <w:color w:val="000000"/>
          <w:szCs w:val="21"/>
        </w:rPr>
        <w:t>）</w:t>
      </w:r>
      <w:r>
        <w:rPr>
          <w:rFonts w:hint="eastAsia" w:asciiTheme="minorEastAsia" w:hAnsiTheme="minorEastAsia" w:eastAsiaTheme="minorEastAsia"/>
          <w:bCs/>
          <w:szCs w:val="21"/>
        </w:rPr>
        <w:t>，一直沿用相线L1、L2、L3采用黄色、绿色、红色的标准。要求同一建筑物、构筑物内其不同功能的导线绝缘层颜色能区分又保持一致是提高施工服务质量的体现。</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检查数量：按每个检验批的绝缘导线配线总回路数抽查10%，且不得少于1个回路。</w:t>
      </w:r>
    </w:p>
    <w:p>
      <w:pPr>
        <w:pStyle w:val="41"/>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检查方法：观察检查。</w:t>
      </w:r>
    </w:p>
    <w:p>
      <w:pPr>
        <w:spacing w:line="360" w:lineRule="auto"/>
        <w:rPr>
          <w:rFonts w:asciiTheme="minorEastAsia" w:hAnsiTheme="minorEastAsia" w:eastAsiaTheme="minorEastAsia"/>
          <w:bCs/>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.7.8</w:t>
      </w:r>
      <w:r>
        <w:rPr>
          <w:rFonts w:hint="eastAsia" w:asciiTheme="minorEastAsia" w:hAnsiTheme="minorEastAsia" w:eastAsiaTheme="minorEastAsia"/>
          <w:b/>
          <w:bCs/>
          <w:szCs w:val="21"/>
        </w:rPr>
        <w:t xml:space="preserve"> </w:t>
      </w:r>
      <w:r>
        <w:rPr>
          <w:rFonts w:asciiTheme="minorEastAsia" w:hAnsiTheme="minorEastAsia" w:eastAsiaTheme="minorEastAsia"/>
          <w:b/>
          <w:bCs/>
          <w:szCs w:val="21"/>
        </w:rPr>
        <w:t xml:space="preserve"> </w:t>
      </w:r>
      <w:r>
        <w:rPr>
          <w:rFonts w:hint="eastAsia" w:asciiTheme="minorEastAsia" w:hAnsiTheme="minorEastAsia" w:eastAsiaTheme="minorEastAsia"/>
          <w:bCs/>
          <w:szCs w:val="21"/>
        </w:rPr>
        <w:t>本条规定主要是为了保证用电安全、方便检修，也是为了避免线路之间的相互干扰及导线敷设过程或运行中的意外损伤、避免导线受到额外的应力。槽盒内导线敷设数量的规定是与现行国家标准《低压配电设计规范》GB 50054的规定相一致的。</w:t>
      </w:r>
    </w:p>
    <w:p>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339" w:name="_Toc136869137"/>
      <w:bookmarkStart w:id="340" w:name="_Toc137203439"/>
      <w:bookmarkStart w:id="341" w:name="_Toc137216289"/>
      <w:bookmarkStart w:id="342" w:name="_Toc135299521"/>
      <w:bookmarkStart w:id="343" w:name="_Toc136869553"/>
      <w:r>
        <w:rPr>
          <w:rFonts w:hint="eastAsia" w:asciiTheme="minorEastAsia" w:hAnsiTheme="minorEastAsia" w:eastAsiaTheme="minorEastAsia"/>
          <w:sz w:val="24"/>
          <w:szCs w:val="24"/>
        </w:rPr>
        <w:t>5</w:t>
      </w:r>
      <w:r>
        <w:rPr>
          <w:rFonts w:asciiTheme="minorEastAsia" w:hAnsiTheme="minorEastAsia" w:eastAsiaTheme="minorEastAsia"/>
          <w:sz w:val="24"/>
          <w:szCs w:val="24"/>
        </w:rPr>
        <w:t xml:space="preserve">.8  </w:t>
      </w:r>
      <w:r>
        <w:rPr>
          <w:rFonts w:hint="eastAsia" w:asciiTheme="minorEastAsia" w:hAnsiTheme="minorEastAsia" w:eastAsiaTheme="minorEastAsia"/>
          <w:sz w:val="24"/>
          <w:szCs w:val="24"/>
        </w:rPr>
        <w:t>塑料护套线直敷布线</w:t>
      </w:r>
      <w:bookmarkEnd w:id="339"/>
      <w:bookmarkEnd w:id="340"/>
      <w:bookmarkEnd w:id="341"/>
      <w:bookmarkEnd w:id="342"/>
      <w:bookmarkEnd w:id="343"/>
    </w:p>
    <w:p>
      <w:pPr>
        <w:pStyle w:val="4"/>
        <w:spacing w:before="120" w:beforeLines="50" w:after="120" w:afterLines="50"/>
        <w:rPr>
          <w:rFonts w:asciiTheme="minorEastAsia" w:hAnsiTheme="minorEastAsia" w:eastAsiaTheme="minorEastAsia"/>
          <w:sz w:val="21"/>
          <w:szCs w:val="21"/>
        </w:rPr>
      </w:pPr>
      <w:r>
        <w:t>I</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主控项目</w:t>
      </w:r>
    </w:p>
    <w:p>
      <w:pPr>
        <w:spacing w:line="360" w:lineRule="auto"/>
        <w:rPr>
          <w:rFonts w:asciiTheme="minorEastAsia" w:hAnsiTheme="minorEastAsia" w:eastAsiaTheme="minorEastAsia"/>
          <w:bCs/>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.8.1</w:t>
      </w:r>
      <w:r>
        <w:rPr>
          <w:rFonts w:hint="eastAsia" w:asciiTheme="minorEastAsia" w:hAnsiTheme="minorEastAsia" w:eastAsiaTheme="minorEastAsia"/>
          <w:b/>
          <w:bCs/>
          <w:szCs w:val="21"/>
        </w:rPr>
        <w:t xml:space="preserve"> </w:t>
      </w:r>
      <w:r>
        <w:rPr>
          <w:rFonts w:asciiTheme="minorEastAsia" w:hAnsiTheme="minorEastAsia" w:eastAsiaTheme="minorEastAsia"/>
          <w:b/>
          <w:bCs/>
          <w:szCs w:val="21"/>
        </w:rPr>
        <w:t xml:space="preserve"> </w:t>
      </w:r>
      <w:r>
        <w:rPr>
          <w:rFonts w:hint="eastAsia" w:asciiTheme="minorEastAsia" w:hAnsiTheme="minorEastAsia" w:eastAsiaTheme="minorEastAsia"/>
          <w:bCs/>
          <w:szCs w:val="21"/>
        </w:rPr>
        <w:t>本条与现行国家标准《1 kV及以下配线工程施工与验收规范》GB 50575-2010中第5.5.1条强制性条文的规定一致。塑料护套线直接敷设在建筑物顶棚内，不便于观察和监视，易被老鼠等小动物啃咬，且检修时易造成线路的机械损伤；敷设在墙体内、抹灰层内、保温层内、装饰面内等隐蔽场所，将导致：导线无法检修和更换；会因墙面钉入铁件而损坏线路，造成事故；导线受水泥、石灰等碱性介质的腐蚀而加速老化，或施工操作不当损坏导线，造成严重漏电，从而危及人身安全。</w:t>
      </w:r>
    </w:p>
    <w:p>
      <w:pPr>
        <w:spacing w:line="360" w:lineRule="auto"/>
        <w:rPr>
          <w:rFonts w:asciiTheme="minorEastAsia" w:hAnsiTheme="minorEastAsia" w:eastAsiaTheme="minorEastAsia"/>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.8.2</w:t>
      </w:r>
      <w:r>
        <w:rPr>
          <w:rFonts w:hint="eastAsia" w:asciiTheme="minorEastAsia" w:hAnsiTheme="minorEastAsia" w:eastAsiaTheme="minorEastAsia"/>
          <w:b/>
          <w:bCs/>
          <w:szCs w:val="21"/>
        </w:rPr>
        <w:t xml:space="preserve"> </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为保护塑料护套线不受意外损伤，保护部位可使用中型及以上塑料导管或钢套管保护。</w:t>
      </w:r>
    </w:p>
    <w:p>
      <w:pPr>
        <w:pStyle w:val="41"/>
        <w:numPr>
          <w:ilvl w:val="2"/>
          <w:numId w:val="197"/>
        </w:numPr>
        <w:spacing w:line="360" w:lineRule="auto"/>
        <w:ind w:firstLineChars="0"/>
        <w:rPr>
          <w:rFonts w:asciiTheme="minorEastAsia" w:hAnsiTheme="minorEastAsia" w:eastAsiaTheme="minorEastAsia"/>
          <w:bCs/>
          <w:szCs w:val="21"/>
        </w:rPr>
      </w:pPr>
      <w:r>
        <w:rPr>
          <w:rFonts w:asciiTheme="minorEastAsia" w:hAnsiTheme="minorEastAsia" w:eastAsiaTheme="minorEastAsia"/>
          <w:b/>
          <w:bCs/>
          <w:szCs w:val="21"/>
        </w:rPr>
        <w:t xml:space="preserve"> </w:t>
      </w:r>
      <w:r>
        <w:rPr>
          <w:rFonts w:hint="eastAsia" w:asciiTheme="minorEastAsia" w:hAnsiTheme="minorEastAsia" w:eastAsiaTheme="minorEastAsia"/>
          <w:bCs/>
          <w:szCs w:val="21"/>
        </w:rPr>
        <w:t>本条同样是为了保护导线不受意外损伤所作的技术规定。</w:t>
      </w:r>
    </w:p>
    <w:p>
      <w:pPr>
        <w:pStyle w:val="4"/>
        <w:spacing w:before="120" w:beforeLines="50" w:after="120" w:afterLines="50"/>
        <w:rPr>
          <w:rFonts w:asciiTheme="minorEastAsia" w:hAnsiTheme="minorEastAsia" w:eastAsiaTheme="minorEastAsia"/>
          <w:sz w:val="21"/>
          <w:szCs w:val="21"/>
        </w:rPr>
      </w:pPr>
      <w:r>
        <w:t>Ⅱ</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一般项目</w:t>
      </w:r>
    </w:p>
    <w:p>
      <w:pPr>
        <w:spacing w:line="360" w:lineRule="auto"/>
        <w:rPr>
          <w:rFonts w:asciiTheme="minorEastAsia" w:hAnsiTheme="minorEastAsia" w:eastAsiaTheme="minorEastAsia"/>
          <w:b/>
          <w:bCs/>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.8.4</w:t>
      </w:r>
      <w:r>
        <w:rPr>
          <w:rFonts w:hint="eastAsia" w:asciiTheme="minorEastAsia" w:hAnsiTheme="minorEastAsia" w:eastAsiaTheme="minorEastAsia"/>
          <w:b/>
          <w:bCs/>
          <w:szCs w:val="21"/>
        </w:rPr>
        <w:t xml:space="preserve"> </w:t>
      </w:r>
      <w:r>
        <w:rPr>
          <w:rFonts w:asciiTheme="minorEastAsia" w:hAnsiTheme="minorEastAsia" w:eastAsiaTheme="minorEastAsia"/>
          <w:b/>
          <w:bCs/>
          <w:szCs w:val="21"/>
        </w:rPr>
        <w:t xml:space="preserve"> </w:t>
      </w:r>
      <w:r>
        <w:rPr>
          <w:rFonts w:hint="eastAsia" w:asciiTheme="minorEastAsia" w:hAnsiTheme="minorEastAsia" w:eastAsiaTheme="minorEastAsia"/>
          <w:bCs/>
          <w:szCs w:val="21"/>
        </w:rPr>
        <w:t>规定弯曲半径最小值，可防止护套层开裂，同时为使导线敷设平直。</w:t>
      </w:r>
    </w:p>
    <w:p>
      <w:pPr>
        <w:spacing w:line="360" w:lineRule="auto"/>
        <w:rPr>
          <w:rFonts w:asciiTheme="minorEastAsia" w:hAnsiTheme="minorEastAsia" w:eastAsiaTheme="minorEastAsia"/>
          <w:b/>
          <w:bCs/>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.8.5</w:t>
      </w:r>
      <w:r>
        <w:rPr>
          <w:rFonts w:hint="eastAsia" w:asciiTheme="minorEastAsia" w:hAnsiTheme="minorEastAsia" w:eastAsiaTheme="minorEastAsia"/>
          <w:b/>
          <w:bCs/>
          <w:szCs w:val="21"/>
        </w:rPr>
        <w:t xml:space="preserve"> </w:t>
      </w:r>
      <w:r>
        <w:rPr>
          <w:rFonts w:asciiTheme="minorEastAsia" w:hAnsiTheme="minorEastAsia" w:eastAsiaTheme="minorEastAsia"/>
          <w:b/>
          <w:bCs/>
          <w:szCs w:val="21"/>
        </w:rPr>
        <w:t xml:space="preserve"> </w:t>
      </w:r>
      <w:r>
        <w:rPr>
          <w:rFonts w:hint="eastAsia" w:asciiTheme="minorEastAsia" w:hAnsiTheme="minorEastAsia" w:eastAsiaTheme="minorEastAsia"/>
          <w:bCs/>
          <w:szCs w:val="21"/>
        </w:rPr>
        <w:t>本条是从安全角度考虑提出的技术规定。</w:t>
      </w:r>
    </w:p>
    <w:p>
      <w:pPr>
        <w:spacing w:line="360" w:lineRule="auto"/>
        <w:rPr>
          <w:rFonts w:asciiTheme="minorEastAsia" w:hAnsiTheme="minorEastAsia" w:eastAsiaTheme="minorEastAsia"/>
          <w:b/>
          <w:bCs/>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.8.6</w:t>
      </w:r>
      <w:r>
        <w:rPr>
          <w:rFonts w:hint="eastAsia" w:asciiTheme="minorEastAsia" w:hAnsiTheme="minorEastAsia" w:eastAsiaTheme="minorEastAsia"/>
          <w:b/>
          <w:bCs/>
          <w:szCs w:val="21"/>
        </w:rPr>
        <w:t xml:space="preserve"> </w:t>
      </w:r>
      <w:r>
        <w:rPr>
          <w:rFonts w:asciiTheme="minorEastAsia" w:hAnsiTheme="minorEastAsia" w:eastAsiaTheme="minorEastAsia"/>
          <w:b/>
          <w:bCs/>
          <w:szCs w:val="21"/>
        </w:rPr>
        <w:t xml:space="preserve"> </w:t>
      </w:r>
      <w:r>
        <w:rPr>
          <w:rFonts w:hint="eastAsia" w:asciiTheme="minorEastAsia" w:hAnsiTheme="minorEastAsia" w:eastAsiaTheme="minorEastAsia"/>
          <w:bCs/>
          <w:szCs w:val="21"/>
        </w:rPr>
        <w:t>本条是为了固定牢固、连接可靠、安全美观而作出的技术规定。</w:t>
      </w:r>
    </w:p>
    <w:p>
      <w:pPr>
        <w:spacing w:line="360" w:lineRule="auto"/>
        <w:rPr>
          <w:rFonts w:asciiTheme="minorEastAsia" w:hAnsiTheme="minorEastAsia" w:eastAsiaTheme="minorEastAsia"/>
          <w:b/>
          <w:bCs/>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.8.7</w:t>
      </w:r>
      <w:r>
        <w:rPr>
          <w:rFonts w:hint="eastAsia" w:asciiTheme="minorEastAsia" w:hAnsiTheme="minorEastAsia" w:eastAsiaTheme="minorEastAsia"/>
          <w:b/>
          <w:bCs/>
          <w:szCs w:val="21"/>
        </w:rPr>
        <w:t xml:space="preserve"> </w:t>
      </w:r>
      <w:r>
        <w:rPr>
          <w:rFonts w:asciiTheme="minorEastAsia" w:hAnsiTheme="minorEastAsia" w:eastAsiaTheme="minorEastAsia"/>
          <w:b/>
          <w:bCs/>
          <w:szCs w:val="21"/>
        </w:rPr>
        <w:t xml:space="preserve"> </w:t>
      </w:r>
      <w:r>
        <w:rPr>
          <w:rFonts w:hint="eastAsia" w:asciiTheme="minorEastAsia" w:hAnsiTheme="minorEastAsia" w:eastAsiaTheme="minorEastAsia"/>
          <w:bCs/>
          <w:szCs w:val="21"/>
        </w:rPr>
        <w:t>本条是为敷设美观而提出的要求。</w:t>
      </w:r>
    </w:p>
    <w:p>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344" w:name="_Toc135299522"/>
      <w:bookmarkStart w:id="345" w:name="_Toc137203440"/>
      <w:bookmarkStart w:id="346" w:name="_Toc137216290"/>
      <w:bookmarkStart w:id="347" w:name="_Toc136869138"/>
      <w:bookmarkStart w:id="348" w:name="_Toc136869554"/>
      <w:r>
        <w:rPr>
          <w:rFonts w:hint="eastAsia" w:asciiTheme="minorEastAsia" w:hAnsiTheme="minorEastAsia" w:eastAsiaTheme="minorEastAsia"/>
          <w:sz w:val="24"/>
          <w:szCs w:val="24"/>
        </w:rPr>
        <w:t>5</w:t>
      </w:r>
      <w:r>
        <w:rPr>
          <w:rFonts w:asciiTheme="minorEastAsia" w:hAnsiTheme="minorEastAsia" w:eastAsiaTheme="minorEastAsia"/>
          <w:sz w:val="24"/>
          <w:szCs w:val="24"/>
        </w:rPr>
        <w:t xml:space="preserve">.9  </w:t>
      </w:r>
      <w:r>
        <w:rPr>
          <w:rFonts w:hint="eastAsia" w:asciiTheme="minorEastAsia" w:hAnsiTheme="minorEastAsia" w:eastAsiaTheme="minorEastAsia"/>
          <w:sz w:val="24"/>
          <w:szCs w:val="24"/>
        </w:rPr>
        <w:t>钢索配线</w:t>
      </w:r>
      <w:bookmarkEnd w:id="344"/>
      <w:bookmarkEnd w:id="345"/>
      <w:bookmarkEnd w:id="346"/>
      <w:bookmarkEnd w:id="347"/>
      <w:bookmarkEnd w:id="348"/>
    </w:p>
    <w:p>
      <w:pPr>
        <w:pStyle w:val="4"/>
        <w:spacing w:before="120" w:beforeLines="50" w:after="120" w:afterLines="50"/>
        <w:rPr>
          <w:rFonts w:asciiTheme="minorEastAsia" w:hAnsiTheme="minorEastAsia" w:eastAsiaTheme="minorEastAsia"/>
          <w:sz w:val="21"/>
          <w:szCs w:val="21"/>
        </w:rPr>
      </w:pPr>
      <w:r>
        <w:t>I</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主控项目</w:t>
      </w:r>
    </w:p>
    <w:p>
      <w:pPr>
        <w:spacing w:line="360" w:lineRule="auto"/>
        <w:rPr>
          <w:rFonts w:asciiTheme="minorEastAsia" w:hAnsiTheme="minorEastAsia" w:eastAsiaTheme="minorEastAsia"/>
          <w:b/>
          <w:bCs/>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.9.1</w:t>
      </w:r>
      <w:r>
        <w:rPr>
          <w:rFonts w:hint="eastAsia" w:asciiTheme="minorEastAsia" w:hAnsiTheme="minorEastAsia" w:eastAsiaTheme="minorEastAsia"/>
          <w:b/>
          <w:bCs/>
          <w:szCs w:val="21"/>
        </w:rPr>
        <w:t xml:space="preserve"> </w:t>
      </w:r>
      <w:r>
        <w:rPr>
          <w:rFonts w:asciiTheme="minorEastAsia" w:hAnsiTheme="minorEastAsia" w:eastAsiaTheme="minorEastAsia"/>
          <w:b/>
          <w:bCs/>
          <w:szCs w:val="21"/>
        </w:rPr>
        <w:t xml:space="preserve"> </w:t>
      </w:r>
      <w:r>
        <w:rPr>
          <w:rFonts w:hint="eastAsia" w:asciiTheme="minorEastAsia" w:hAnsiTheme="minorEastAsia" w:eastAsiaTheme="minorEastAsia"/>
          <w:bCs/>
          <w:szCs w:val="21"/>
        </w:rPr>
        <w:t>含油芯的钢索易积储灰尘而锈蚀，采用镀锌钢索的</w:t>
      </w:r>
      <w:r>
        <w:rPr>
          <w:rFonts w:hint="eastAsia" w:asciiTheme="minorEastAsia" w:hAnsiTheme="minorEastAsia" w:eastAsiaTheme="minorEastAsia"/>
          <w:bCs/>
          <w:color w:val="000000"/>
          <w:szCs w:val="21"/>
        </w:rPr>
        <w:t>目的是</w:t>
      </w:r>
      <w:r>
        <w:rPr>
          <w:rFonts w:hint="eastAsia" w:asciiTheme="minorEastAsia" w:hAnsiTheme="minorEastAsia" w:eastAsiaTheme="minorEastAsia"/>
          <w:bCs/>
          <w:szCs w:val="21"/>
        </w:rPr>
        <w:t>防止钢索锈蚀。钢索不应有扭曲和断股等缺陷，</w:t>
      </w:r>
      <w:r>
        <w:rPr>
          <w:rFonts w:hint="eastAsia" w:asciiTheme="minorEastAsia" w:hAnsiTheme="minorEastAsia" w:eastAsiaTheme="minorEastAsia"/>
          <w:bCs/>
          <w:color w:val="000000"/>
          <w:szCs w:val="21"/>
        </w:rPr>
        <w:t>目的是</w:t>
      </w:r>
      <w:r>
        <w:rPr>
          <w:rFonts w:hint="eastAsia" w:asciiTheme="minorEastAsia" w:hAnsiTheme="minorEastAsia" w:eastAsiaTheme="minorEastAsia"/>
          <w:bCs/>
          <w:szCs w:val="21"/>
        </w:rPr>
        <w:t>保证钢索的强度，确保安全。</w:t>
      </w:r>
    </w:p>
    <w:p>
      <w:pPr>
        <w:spacing w:line="360" w:lineRule="auto"/>
        <w:rPr>
          <w:rFonts w:asciiTheme="minorEastAsia" w:hAnsiTheme="minorEastAsia" w:eastAsiaTheme="minorEastAsia"/>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.9.3</w:t>
      </w:r>
      <w:r>
        <w:rPr>
          <w:rFonts w:hint="eastAsia" w:asciiTheme="minorEastAsia" w:hAnsiTheme="minorEastAsia" w:eastAsiaTheme="minorEastAsia"/>
          <w:b/>
          <w:bCs/>
          <w:szCs w:val="21"/>
        </w:rPr>
        <w:t xml:space="preserve"> </w:t>
      </w:r>
      <w:r>
        <w:rPr>
          <w:rFonts w:asciiTheme="minorEastAsia" w:hAnsiTheme="minorEastAsia" w:eastAsiaTheme="minorEastAsia"/>
          <w:b/>
          <w:bCs/>
          <w:szCs w:val="21"/>
        </w:rPr>
        <w:t xml:space="preserve"> </w:t>
      </w:r>
      <w:r>
        <w:rPr>
          <w:rFonts w:hint="eastAsia" w:asciiTheme="minorEastAsia" w:hAnsiTheme="minorEastAsia" w:eastAsiaTheme="minorEastAsia"/>
          <w:bCs/>
          <w:szCs w:val="21"/>
        </w:rPr>
        <w:t>本条是为防止钢索终端张拉装置破坏而作的技术规定，</w:t>
      </w:r>
      <w:r>
        <w:rPr>
          <w:rFonts w:hint="eastAsia" w:asciiTheme="minorEastAsia" w:hAnsiTheme="minorEastAsia" w:eastAsiaTheme="minorEastAsia"/>
          <w:bCs/>
          <w:color w:val="000000"/>
          <w:szCs w:val="21"/>
        </w:rPr>
        <w:t>目的是</w:t>
      </w:r>
      <w:r>
        <w:rPr>
          <w:rFonts w:hint="eastAsia" w:asciiTheme="minorEastAsia" w:hAnsiTheme="minorEastAsia" w:eastAsiaTheme="minorEastAsia"/>
          <w:bCs/>
          <w:szCs w:val="21"/>
        </w:rPr>
        <w:t>运行安全。虽然设计时已考虑了较大的安全系数，为6～8，但施工中仍可能有不确定因素存在，还是要以过载试验复核为好。</w:t>
      </w:r>
    </w:p>
    <w:p>
      <w:pPr>
        <w:spacing w:line="360" w:lineRule="auto"/>
        <w:rPr>
          <w:rFonts w:asciiTheme="minorEastAsia" w:hAnsiTheme="minorEastAsia" w:eastAsiaTheme="minorEastAsia"/>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.9.4</w:t>
      </w:r>
      <w:r>
        <w:rPr>
          <w:rFonts w:hint="eastAsia" w:asciiTheme="minorEastAsia" w:hAnsiTheme="minorEastAsia" w:eastAsiaTheme="minorEastAsia"/>
          <w:b/>
          <w:bCs/>
          <w:szCs w:val="21"/>
        </w:rPr>
        <w:t xml:space="preserve"> </w:t>
      </w:r>
      <w:r>
        <w:rPr>
          <w:rFonts w:asciiTheme="minorEastAsia" w:hAnsiTheme="minorEastAsia" w:eastAsiaTheme="minorEastAsia"/>
          <w:b/>
          <w:bCs/>
          <w:szCs w:val="21"/>
        </w:rPr>
        <w:t xml:space="preserve"> </w:t>
      </w:r>
      <w:r>
        <w:rPr>
          <w:rFonts w:hint="eastAsia" w:asciiTheme="minorEastAsia" w:hAnsiTheme="minorEastAsia" w:eastAsiaTheme="minorEastAsia"/>
          <w:bCs/>
          <w:szCs w:val="21"/>
        </w:rPr>
        <w:t>钢索的弛度大小影响钢索所受的张力，钢索的弛度是靠花篮螺栓来调整的，为确保钢索在允许安全的强度下正常工作，并使钢索终端固定牢固，作出本条规定。</w:t>
      </w:r>
    </w:p>
    <w:p>
      <w:pPr>
        <w:pStyle w:val="4"/>
        <w:spacing w:before="120" w:beforeLines="50" w:after="120" w:afterLines="50"/>
        <w:rPr>
          <w:rFonts w:asciiTheme="minorEastAsia" w:hAnsiTheme="minorEastAsia" w:eastAsiaTheme="minorEastAsia"/>
          <w:sz w:val="21"/>
          <w:szCs w:val="21"/>
        </w:rPr>
      </w:pPr>
      <w:r>
        <w:t>Ⅱ</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一般项目</w:t>
      </w:r>
    </w:p>
    <w:p>
      <w:pPr>
        <w:spacing w:line="360" w:lineRule="auto"/>
        <w:rPr>
          <w:rFonts w:asciiTheme="minorEastAsia" w:hAnsiTheme="minorEastAsia" w:eastAsiaTheme="minorEastAsia"/>
          <w:b/>
          <w:bCs/>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.9.5</w:t>
      </w:r>
      <w:r>
        <w:rPr>
          <w:rFonts w:hint="eastAsia" w:asciiTheme="minorEastAsia" w:hAnsiTheme="minorEastAsia" w:eastAsiaTheme="minorEastAsia"/>
          <w:b/>
          <w:bCs/>
          <w:szCs w:val="21"/>
        </w:rPr>
        <w:t xml:space="preserve"> </w:t>
      </w:r>
      <w:r>
        <w:rPr>
          <w:rFonts w:asciiTheme="minorEastAsia" w:hAnsiTheme="minorEastAsia" w:eastAsiaTheme="minorEastAsia"/>
          <w:b/>
          <w:bCs/>
          <w:szCs w:val="21"/>
        </w:rPr>
        <w:t xml:space="preserve"> </w:t>
      </w:r>
      <w:r>
        <w:rPr>
          <w:rFonts w:hint="eastAsia" w:asciiTheme="minorEastAsia" w:hAnsiTheme="minorEastAsia" w:eastAsiaTheme="minorEastAsia"/>
          <w:bCs/>
          <w:szCs w:val="21"/>
        </w:rPr>
        <w:t>为保证钢索张力不大于钢索允许应力，提出了固定点的间距要求。固定吊钩上的深度及防跳装置的规定，是为了防止钢索受外界干扰的影响发生跳脱现象，造成钢索张力加大，导致钢索拉断。</w:t>
      </w:r>
    </w:p>
    <w:p>
      <w:pPr>
        <w:spacing w:line="360" w:lineRule="auto"/>
        <w:rPr>
          <w:rFonts w:asciiTheme="minorEastAsia" w:hAnsiTheme="minorEastAsia" w:eastAsiaTheme="minorEastAsia"/>
          <w:b/>
          <w:bCs/>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.9.7</w:t>
      </w:r>
      <w:r>
        <w:rPr>
          <w:rFonts w:hint="eastAsia" w:asciiTheme="minorEastAsia" w:hAnsiTheme="minorEastAsia" w:eastAsiaTheme="minorEastAsia"/>
          <w:b/>
          <w:bCs/>
          <w:szCs w:val="21"/>
        </w:rPr>
        <w:t xml:space="preserve"> </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本条是确保钢索上配线固定可靠而作的规定。其数值与原规范一致。</w:t>
      </w:r>
    </w:p>
    <w:p>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349" w:name="_Toc137216291"/>
      <w:bookmarkStart w:id="350" w:name="_Toc135299523"/>
      <w:bookmarkStart w:id="351" w:name="_Toc136869555"/>
      <w:bookmarkStart w:id="352" w:name="_Toc136869139"/>
      <w:bookmarkStart w:id="353" w:name="_Toc137203441"/>
      <w:r>
        <w:rPr>
          <w:rFonts w:hint="eastAsia" w:asciiTheme="minorEastAsia" w:hAnsiTheme="minorEastAsia" w:eastAsiaTheme="minorEastAsia"/>
          <w:sz w:val="24"/>
          <w:szCs w:val="24"/>
        </w:rPr>
        <w:t>5</w:t>
      </w:r>
      <w:r>
        <w:rPr>
          <w:rFonts w:asciiTheme="minorEastAsia" w:hAnsiTheme="minorEastAsia" w:eastAsiaTheme="minorEastAsia"/>
          <w:sz w:val="24"/>
          <w:szCs w:val="24"/>
        </w:rPr>
        <w:t xml:space="preserve">.10  </w:t>
      </w:r>
      <w:r>
        <w:rPr>
          <w:rFonts w:hint="eastAsia" w:asciiTheme="minorEastAsia" w:hAnsiTheme="minorEastAsia" w:eastAsiaTheme="minorEastAsia"/>
          <w:sz w:val="24"/>
          <w:szCs w:val="24"/>
        </w:rPr>
        <w:t>电缆头制作、导线连接和线路绝缘测试</w:t>
      </w:r>
      <w:bookmarkEnd w:id="349"/>
      <w:bookmarkEnd w:id="350"/>
      <w:bookmarkEnd w:id="351"/>
      <w:bookmarkEnd w:id="352"/>
      <w:bookmarkEnd w:id="353"/>
    </w:p>
    <w:p>
      <w:pPr>
        <w:pStyle w:val="4"/>
        <w:spacing w:before="120" w:beforeLines="50" w:after="120" w:afterLines="50"/>
        <w:rPr>
          <w:rFonts w:asciiTheme="minorEastAsia" w:hAnsiTheme="minorEastAsia" w:eastAsiaTheme="minorEastAsia"/>
          <w:sz w:val="21"/>
          <w:szCs w:val="21"/>
        </w:rPr>
      </w:pPr>
      <w:r>
        <w:t>I</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主控项目</w:t>
      </w:r>
    </w:p>
    <w:p>
      <w:pPr>
        <w:spacing w:line="360" w:lineRule="auto"/>
        <w:rPr>
          <w:rFonts w:asciiTheme="minorEastAsia" w:hAnsiTheme="minorEastAsia" w:eastAsiaTheme="minorEastAsia"/>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.10.1</w:t>
      </w:r>
      <w:r>
        <w:rPr>
          <w:rFonts w:hint="eastAsia" w:asciiTheme="minorEastAsia" w:hAnsiTheme="minorEastAsia" w:eastAsiaTheme="minorEastAsia"/>
          <w:b/>
          <w:bCs/>
          <w:szCs w:val="21"/>
        </w:rPr>
        <w:t xml:space="preserve"> </w:t>
      </w:r>
      <w:r>
        <w:rPr>
          <w:rFonts w:asciiTheme="minorEastAsia" w:hAnsiTheme="minorEastAsia" w:eastAsiaTheme="minorEastAsia"/>
          <w:b/>
          <w:bCs/>
          <w:szCs w:val="21"/>
        </w:rPr>
        <w:t xml:space="preserve"> </w:t>
      </w:r>
      <w:r>
        <w:rPr>
          <w:rFonts w:hint="eastAsia" w:asciiTheme="minorEastAsia" w:hAnsiTheme="minorEastAsia" w:eastAsiaTheme="minorEastAsia"/>
          <w:bCs/>
          <w:szCs w:val="21"/>
        </w:rPr>
        <w:t>电缆耐压试验是常规要求，其试验应在电缆敷设完毕，电缆做好电缆头后进行，合格后，方能通电运行。</w:t>
      </w:r>
    </w:p>
    <w:p>
      <w:pPr>
        <w:spacing w:line="360" w:lineRule="auto"/>
        <w:rPr>
          <w:rFonts w:asciiTheme="minorEastAsia" w:hAnsiTheme="minorEastAsia" w:eastAsiaTheme="minorEastAsia"/>
          <w:bCs/>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.10.2</w:t>
      </w:r>
      <w:r>
        <w:rPr>
          <w:rFonts w:hint="eastAsia" w:asciiTheme="minorEastAsia" w:hAnsiTheme="minorEastAsia" w:eastAsiaTheme="minorEastAsia"/>
          <w:b/>
          <w:bCs/>
          <w:szCs w:val="21"/>
        </w:rPr>
        <w:t xml:space="preserve"> </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配电线路必须做绝缘电阻测试也是常规要求，其测试必须在线路敷设完毕，导线做好连接端子后，再做绝缘电阻测试，合格后，方能通电运行。</w:t>
      </w:r>
    </w:p>
    <w:p>
      <w:pPr>
        <w:pStyle w:val="24"/>
        <w:spacing w:before="0" w:beforeAutospacing="0" w:after="0" w:afterAutospacing="0" w:line="360" w:lineRule="auto"/>
        <w:ind w:firstLine="420" w:firstLineChars="200"/>
        <w:rPr>
          <w:rFonts w:cs="Times New Roman" w:asciiTheme="minorEastAsia" w:hAnsiTheme="minorEastAsia" w:eastAsiaTheme="minorEastAsia"/>
          <w:bCs/>
          <w:sz w:val="21"/>
          <w:szCs w:val="21"/>
        </w:rPr>
      </w:pPr>
      <w:r>
        <w:rPr>
          <w:rFonts w:hint="eastAsia" w:cs="Times New Roman" w:asciiTheme="minorEastAsia" w:hAnsiTheme="minorEastAsia" w:eastAsiaTheme="minorEastAsia"/>
          <w:bCs/>
          <w:sz w:val="21"/>
          <w:szCs w:val="21"/>
        </w:rPr>
        <w:t>对低压或特低电压配电线路的绝缘电阻值的要求是根据现行国家标准《低压电气装置 第6部分：检验》</w:t>
      </w:r>
      <w:r>
        <w:rPr>
          <w:rFonts w:hint="eastAsia" w:cs="Times New Roman" w:asciiTheme="minorEastAsia" w:hAnsiTheme="minorEastAsia" w:eastAsiaTheme="minorEastAsia"/>
          <w:bCs/>
          <w:color w:val="000000"/>
          <w:sz w:val="21"/>
          <w:szCs w:val="21"/>
        </w:rPr>
        <w:t>GB 16895.23-2020</w:t>
      </w:r>
      <w:r>
        <w:rPr>
          <w:rFonts w:hint="eastAsia" w:cs="Times New Roman" w:asciiTheme="minorEastAsia" w:hAnsiTheme="minorEastAsia" w:eastAsiaTheme="minorEastAsia"/>
          <w:bCs/>
          <w:color w:val="0066FF"/>
          <w:sz w:val="21"/>
          <w:szCs w:val="21"/>
        </w:rPr>
        <w:t>/</w:t>
      </w:r>
      <w:r>
        <w:rPr>
          <w:rFonts w:hint="eastAsia" w:cs="Times New Roman" w:asciiTheme="minorEastAsia" w:hAnsiTheme="minorEastAsia" w:eastAsiaTheme="minorEastAsia"/>
          <w:bCs/>
          <w:sz w:val="21"/>
          <w:szCs w:val="21"/>
        </w:rPr>
        <w:t>IEC 60364-6：2020第61.3.3条而提出的，其绝缘电阻的测试应在设备未接入时进行。</w:t>
      </w:r>
    </w:p>
    <w:p>
      <w:pPr>
        <w:pStyle w:val="24"/>
        <w:spacing w:before="0" w:beforeAutospacing="0" w:after="0" w:afterAutospacing="0" w:line="360" w:lineRule="auto"/>
        <w:ind w:firstLine="420" w:firstLineChars="200"/>
        <w:rPr>
          <w:rFonts w:cs="Times New Roman" w:asciiTheme="minorEastAsia" w:hAnsiTheme="minorEastAsia" w:eastAsiaTheme="minorEastAsia"/>
          <w:b/>
          <w:bCs/>
          <w:sz w:val="21"/>
          <w:szCs w:val="21"/>
        </w:rPr>
      </w:pPr>
      <w:r>
        <w:rPr>
          <w:rFonts w:hint="eastAsia" w:cs="Times New Roman" w:asciiTheme="minorEastAsia" w:hAnsiTheme="minorEastAsia" w:eastAsiaTheme="minorEastAsia"/>
          <w:bCs/>
          <w:sz w:val="21"/>
          <w:szCs w:val="21"/>
        </w:rPr>
        <w:t>对矿物绝缘电缆绝缘电阻值作出的特别规定，是由于矿物绝缘电缆的绝缘填充材料有氧化镁材料、矿物云母材料和陶瓷化硅橡胶材料，其吸潮性均不相同，对绝缘电阻的要求也不相同，同时国家标准对成品电缆和已制作完成电缆终端头的电缆绝缘电阻要求是不同的，因此在标准执行和施工中应区别对待，并应分别按产品技术标准要求进行检查。</w:t>
      </w:r>
    </w:p>
    <w:p>
      <w:pPr>
        <w:spacing w:line="360" w:lineRule="auto"/>
        <w:rPr>
          <w:rFonts w:asciiTheme="minorEastAsia" w:hAnsiTheme="minorEastAsia" w:eastAsiaTheme="minorEastAsia"/>
          <w:b/>
          <w:bCs/>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.10.3</w:t>
      </w:r>
      <w:r>
        <w:rPr>
          <w:rFonts w:hint="eastAsia" w:asciiTheme="minorEastAsia" w:hAnsiTheme="minorEastAsia" w:eastAsiaTheme="minorEastAsia"/>
          <w:b/>
          <w:bCs/>
          <w:szCs w:val="21"/>
        </w:rPr>
        <w:t xml:space="preserve"> </w:t>
      </w:r>
      <w:r>
        <w:rPr>
          <w:rFonts w:asciiTheme="minorEastAsia" w:hAnsiTheme="minorEastAsia" w:eastAsiaTheme="minorEastAsia"/>
          <w:b/>
          <w:bCs/>
          <w:szCs w:val="21"/>
        </w:rPr>
        <w:t xml:space="preserve"> </w:t>
      </w:r>
      <w:r>
        <w:rPr>
          <w:rFonts w:hint="eastAsia" w:asciiTheme="minorEastAsia" w:hAnsiTheme="minorEastAsia" w:eastAsiaTheme="minorEastAsia"/>
          <w:bCs/>
          <w:szCs w:val="21"/>
        </w:rPr>
        <w:t>电力电缆外护层的接地导体截面在实际工程中往往缺乏相关技术参数，表中推荐值为通常选用值，也是与国家标准《电气装置安装工程 电缆线路施工及验收规范》</w:t>
      </w:r>
      <w:r>
        <w:rPr>
          <w:rFonts w:hint="eastAsia" w:asciiTheme="minorEastAsia" w:hAnsiTheme="minorEastAsia" w:eastAsiaTheme="minorEastAsia"/>
          <w:bCs/>
          <w:color w:val="000000"/>
          <w:szCs w:val="21"/>
        </w:rPr>
        <w:t>GB 50168-2018</w:t>
      </w:r>
      <w:r>
        <w:rPr>
          <w:rFonts w:hint="eastAsia" w:asciiTheme="minorEastAsia" w:hAnsiTheme="minorEastAsia" w:eastAsiaTheme="minorEastAsia"/>
          <w:bCs/>
          <w:szCs w:val="21"/>
        </w:rPr>
        <w:t>一致。</w:t>
      </w:r>
    </w:p>
    <w:p>
      <w:pPr>
        <w:pStyle w:val="41"/>
        <w:numPr>
          <w:ilvl w:val="2"/>
          <w:numId w:val="198"/>
        </w:numPr>
        <w:spacing w:line="360" w:lineRule="auto"/>
        <w:ind w:firstLineChars="0"/>
        <w:rPr>
          <w:rFonts w:asciiTheme="minorEastAsia" w:hAnsiTheme="minorEastAsia" w:eastAsiaTheme="minorEastAsia"/>
          <w:b/>
          <w:bCs/>
          <w:szCs w:val="21"/>
        </w:rPr>
      </w:pPr>
      <w:r>
        <w:rPr>
          <w:rFonts w:asciiTheme="minorEastAsia" w:hAnsiTheme="minorEastAsia" w:eastAsiaTheme="minorEastAsia"/>
          <w:b/>
          <w:bCs/>
          <w:szCs w:val="21"/>
        </w:rPr>
        <w:t xml:space="preserve"> </w:t>
      </w:r>
      <w:r>
        <w:rPr>
          <w:rFonts w:hint="eastAsia" w:asciiTheme="minorEastAsia" w:hAnsiTheme="minorEastAsia" w:eastAsiaTheme="minorEastAsia"/>
          <w:bCs/>
          <w:kern w:val="0"/>
          <w:szCs w:val="21"/>
        </w:rPr>
        <w:t>电缆端子与设备或器具的连接视同母线与母线、母线与设备端子的连接。</w:t>
      </w:r>
    </w:p>
    <w:p>
      <w:pPr>
        <w:pStyle w:val="4"/>
        <w:spacing w:before="120" w:beforeLines="50" w:after="120" w:afterLines="50"/>
        <w:rPr>
          <w:rFonts w:asciiTheme="minorEastAsia" w:hAnsiTheme="minorEastAsia" w:eastAsiaTheme="minorEastAsia"/>
          <w:sz w:val="21"/>
          <w:szCs w:val="21"/>
        </w:rPr>
      </w:pPr>
      <w:r>
        <w:t>Ⅱ</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一般项目</w:t>
      </w:r>
    </w:p>
    <w:p>
      <w:pPr>
        <w:spacing w:line="360" w:lineRule="auto"/>
        <w:rPr>
          <w:rFonts w:asciiTheme="minorEastAsia" w:hAnsiTheme="minorEastAsia" w:eastAsiaTheme="minorEastAsia"/>
          <w:b/>
          <w:bCs/>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.10.5</w:t>
      </w:r>
      <w:r>
        <w:rPr>
          <w:rFonts w:hint="eastAsia" w:asciiTheme="minorEastAsia" w:hAnsiTheme="minorEastAsia" w:eastAsiaTheme="minorEastAsia"/>
          <w:b/>
          <w:bCs/>
          <w:szCs w:val="21"/>
        </w:rPr>
        <w:t xml:space="preserve"> </w:t>
      </w:r>
      <w:r>
        <w:rPr>
          <w:rFonts w:asciiTheme="minorEastAsia" w:hAnsiTheme="minorEastAsia" w:eastAsiaTheme="minorEastAsia"/>
          <w:b/>
          <w:bCs/>
          <w:szCs w:val="21"/>
        </w:rPr>
        <w:t xml:space="preserve"> </w:t>
      </w:r>
      <w:r>
        <w:rPr>
          <w:rFonts w:hint="eastAsia" w:asciiTheme="minorEastAsia" w:hAnsiTheme="minorEastAsia" w:eastAsiaTheme="minorEastAsia"/>
          <w:bCs/>
          <w:szCs w:val="21"/>
        </w:rPr>
        <w:t>电缆头支架未做固定或固定不可靠或截面积较大的电缆弯曲后自然形成的外力，均可能导致电缆与电器元器件或设备端子连接后，使电器元器件或设备端子受到额外的附加力，这显然是不允许的。</w:t>
      </w:r>
    </w:p>
    <w:p>
      <w:pPr>
        <w:spacing w:line="360" w:lineRule="auto"/>
        <w:rPr>
          <w:rFonts w:asciiTheme="minorEastAsia" w:hAnsiTheme="minorEastAsia" w:eastAsiaTheme="minorEastAsia"/>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.10.6</w:t>
      </w:r>
      <w:r>
        <w:rPr>
          <w:rFonts w:hint="eastAsia" w:asciiTheme="minorEastAsia" w:hAnsiTheme="minorEastAsia" w:eastAsiaTheme="minorEastAsia"/>
          <w:b/>
          <w:bCs/>
          <w:szCs w:val="21"/>
        </w:rPr>
        <w:t xml:space="preserve"> </w:t>
      </w:r>
      <w:r>
        <w:rPr>
          <w:rFonts w:asciiTheme="minorEastAsia" w:hAnsiTheme="minorEastAsia" w:eastAsiaTheme="minorEastAsia"/>
          <w:b/>
          <w:bCs/>
          <w:szCs w:val="21"/>
        </w:rPr>
        <w:t xml:space="preserve"> </w:t>
      </w:r>
      <w:r>
        <w:rPr>
          <w:rFonts w:hint="eastAsia" w:asciiTheme="minorEastAsia" w:hAnsiTheme="minorEastAsia" w:eastAsiaTheme="minorEastAsia"/>
          <w:bCs/>
          <w:szCs w:val="21"/>
        </w:rPr>
        <w:t>本条要求多芯导线与设备端子连接前通过接续端子连接，是为了连接更可靠、安全。</w:t>
      </w:r>
    </w:p>
    <w:p>
      <w:pPr>
        <w:spacing w:line="360" w:lineRule="auto"/>
        <w:rPr>
          <w:rFonts w:asciiTheme="minorEastAsia" w:hAnsiTheme="minorEastAsia" w:eastAsiaTheme="minorEastAsia"/>
          <w:bCs/>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.10.7</w:t>
      </w:r>
      <w:r>
        <w:rPr>
          <w:rFonts w:hint="eastAsia" w:asciiTheme="minorEastAsia" w:hAnsiTheme="minorEastAsia" w:eastAsiaTheme="minorEastAsia"/>
          <w:b/>
          <w:bCs/>
          <w:szCs w:val="21"/>
        </w:rPr>
        <w:t xml:space="preserve"> </w:t>
      </w:r>
      <w:r>
        <w:rPr>
          <w:rFonts w:asciiTheme="minorEastAsia" w:hAnsiTheme="minorEastAsia" w:eastAsiaTheme="minorEastAsia"/>
          <w:b/>
          <w:bCs/>
          <w:szCs w:val="21"/>
        </w:rPr>
        <w:t xml:space="preserve"> </w:t>
      </w:r>
      <w:r>
        <w:rPr>
          <w:rFonts w:hint="eastAsia" w:asciiTheme="minorEastAsia" w:hAnsiTheme="minorEastAsia" w:eastAsiaTheme="minorEastAsia"/>
          <w:bCs/>
          <w:szCs w:val="21"/>
        </w:rPr>
        <w:t>现行国家标准《低压电气装置 第5-52部分：电气设备的选择和安装 布线系统》</w:t>
      </w:r>
      <w:r>
        <w:rPr>
          <w:rFonts w:hint="eastAsia" w:asciiTheme="minorEastAsia" w:hAnsiTheme="minorEastAsia" w:eastAsiaTheme="minorEastAsia"/>
          <w:bCs/>
          <w:color w:val="000000"/>
          <w:szCs w:val="21"/>
        </w:rPr>
        <w:t>GB/T 16895.6-2014</w:t>
      </w:r>
      <w:r>
        <w:rPr>
          <w:rFonts w:hint="eastAsia" w:asciiTheme="minorEastAsia" w:hAnsiTheme="minorEastAsia" w:eastAsiaTheme="minorEastAsia"/>
          <w:bCs/>
          <w:szCs w:val="21"/>
        </w:rPr>
        <w:t>第526.2条电气连接的“注”规定：“在电力电缆中应避免采用焊接连接，若采用时必须考虑接头的蠕变和机械强度”。考虑到导线连接时也存在蠕变和机械强度问题，且在故障情况下存在温升，所以</w:t>
      </w:r>
      <w:r>
        <w:rPr>
          <w:rFonts w:hint="eastAsia"/>
        </w:rPr>
        <w:t>对</w:t>
      </w:r>
      <w:r>
        <w:rPr>
          <w:rFonts w:hint="eastAsia" w:asciiTheme="minorEastAsia" w:hAnsiTheme="minorEastAsia" w:eastAsiaTheme="minorEastAsia"/>
          <w:bCs/>
          <w:szCs w:val="21"/>
        </w:rPr>
        <w:t>绝缘导线的连接也提出了相同的要求，且由于目前国内已有符合标准的连接器可供选择，故本条并未强调多芯导线连接前一定要搪锡。当导线的连接方式不能有效补偿焊锡的蠕变，使导线与端子间有微小间隙时，可能会造成导线接触不良而异常发热，则不应搪锡，如螺纹压紧方式的导线连接器；而当线芯过细在连接过程中有断丝危险时，可搪锡处理，但应采用能补偿焊锡蠕变的连接方式，如弹簧片压紧方式的导线连接器。又考虑到中国施工工艺长期以来允许采用</w:t>
      </w:r>
      <w:r>
        <w:rPr>
          <w:rFonts w:hint="eastAsia" w:asciiTheme="minorEastAsia" w:hAnsiTheme="minorEastAsia" w:eastAsiaTheme="minorEastAsia"/>
          <w:bCs/>
          <w:color w:val="000000"/>
          <w:szCs w:val="21"/>
        </w:rPr>
        <w:t>涮锡</w:t>
      </w:r>
      <w:r>
        <w:rPr>
          <w:rFonts w:hint="eastAsia" w:asciiTheme="minorEastAsia" w:hAnsiTheme="minorEastAsia" w:eastAsiaTheme="minorEastAsia"/>
          <w:bCs/>
          <w:szCs w:val="21"/>
        </w:rPr>
        <w:t>工艺，本条还继续允许导线采用缠绕搪锡连接，但不得采用简单缠绕后不经搪锡，直接用绝缘物包裹的做法，由于简单缠绕连接不能确保导线间有足够的接触力，连接点的机械强度不能满足使用要求，极易造成接触不良而导致发热，甚至引起火灾，因此要求不采用此类不规范做法。但导线采用缠绕搪锡后其连接接触是良好的，应采用塑料绝缘胶带</w:t>
      </w:r>
      <w:r>
        <w:rPr>
          <w:rFonts w:hint="eastAsia" w:asciiTheme="minorEastAsia" w:hAnsiTheme="minorEastAsia" w:eastAsiaTheme="minorEastAsia"/>
          <w:bCs/>
          <w:color w:val="000000"/>
          <w:szCs w:val="21"/>
        </w:rPr>
        <w:t>（</w:t>
      </w:r>
      <w:r>
        <w:rPr>
          <w:rFonts w:hint="eastAsia" w:asciiTheme="minorEastAsia" w:hAnsiTheme="minorEastAsia" w:eastAsiaTheme="minorEastAsia"/>
          <w:bCs/>
          <w:szCs w:val="21"/>
        </w:rPr>
        <w:t>乙烯基胶带</w:t>
      </w:r>
      <w:r>
        <w:rPr>
          <w:rFonts w:hint="eastAsia" w:asciiTheme="minorEastAsia" w:hAnsiTheme="minorEastAsia" w:eastAsiaTheme="minorEastAsia"/>
          <w:bCs/>
          <w:color w:val="000000"/>
          <w:szCs w:val="21"/>
        </w:rPr>
        <w:t>）</w:t>
      </w:r>
      <w:r>
        <w:rPr>
          <w:rFonts w:hint="eastAsia" w:asciiTheme="minorEastAsia" w:hAnsiTheme="minorEastAsia" w:eastAsiaTheme="minorEastAsia"/>
          <w:bCs/>
          <w:szCs w:val="21"/>
        </w:rPr>
        <w:t>缠绕，不应选用“电工黑胶布”，“电工黑胶布”是用于防磨保护，而并不能作为绝缘防护材料使用。</w:t>
      </w:r>
    </w:p>
    <w:p>
      <w:pPr>
        <w:pStyle w:val="24"/>
        <w:spacing w:before="0" w:beforeAutospacing="0" w:after="0" w:afterAutospacing="0" w:line="360" w:lineRule="auto"/>
        <w:ind w:firstLine="420" w:firstLineChars="200"/>
        <w:rPr>
          <w:rFonts w:cs="Times New Roman" w:asciiTheme="minorEastAsia" w:hAnsiTheme="minorEastAsia" w:eastAsiaTheme="minorEastAsia"/>
          <w:bCs/>
          <w:sz w:val="21"/>
          <w:szCs w:val="21"/>
        </w:rPr>
      </w:pPr>
      <w:r>
        <w:rPr>
          <w:rFonts w:hint="eastAsia" w:cs="Times New Roman" w:asciiTheme="minorEastAsia" w:hAnsiTheme="minorEastAsia" w:eastAsiaTheme="minorEastAsia"/>
          <w:bCs/>
          <w:sz w:val="21"/>
          <w:szCs w:val="21"/>
        </w:rPr>
        <w:t>现行国家标准的相关要求，包括：</w:t>
      </w:r>
    </w:p>
    <w:p>
      <w:pPr>
        <w:pStyle w:val="24"/>
        <w:spacing w:before="0" w:beforeAutospacing="0" w:after="0" w:afterAutospacing="0" w:line="360" w:lineRule="auto"/>
        <w:ind w:firstLine="420" w:firstLineChars="200"/>
        <w:rPr>
          <w:rFonts w:cs="Times New Roman" w:asciiTheme="minorEastAsia" w:hAnsiTheme="minorEastAsia" w:eastAsiaTheme="minorEastAsia"/>
          <w:bCs/>
          <w:sz w:val="21"/>
          <w:szCs w:val="21"/>
        </w:rPr>
      </w:pPr>
      <w:r>
        <w:rPr>
          <w:rFonts w:hint="eastAsia" w:cs="Times New Roman" w:asciiTheme="minorEastAsia" w:hAnsiTheme="minorEastAsia" w:eastAsiaTheme="minorEastAsia"/>
          <w:bCs/>
          <w:sz w:val="21"/>
          <w:szCs w:val="21"/>
        </w:rPr>
        <w:t>（1）《家用和类似用途低压电路用的连接器件 第1部分：通用要求》GB/T 13140.1</w:t>
      </w:r>
      <w:r>
        <w:rPr>
          <w:rFonts w:hint="eastAsia" w:cs="Times New Roman" w:asciiTheme="minorEastAsia" w:hAnsiTheme="minorEastAsia" w:eastAsiaTheme="minorEastAsia"/>
          <w:bCs/>
          <w:color w:val="000000"/>
          <w:sz w:val="21"/>
          <w:szCs w:val="21"/>
        </w:rPr>
        <w:t xml:space="preserve">/ </w:t>
      </w:r>
      <w:r>
        <w:rPr>
          <w:rFonts w:hint="eastAsia" w:cs="Times New Roman" w:asciiTheme="minorEastAsia" w:hAnsiTheme="minorEastAsia" w:eastAsiaTheme="minorEastAsia"/>
          <w:bCs/>
          <w:sz w:val="21"/>
          <w:szCs w:val="21"/>
        </w:rPr>
        <w:t>IEC 60998-1:2002；</w:t>
      </w:r>
    </w:p>
    <w:p>
      <w:pPr>
        <w:pStyle w:val="24"/>
        <w:spacing w:before="0" w:beforeAutospacing="0" w:after="0" w:afterAutospacing="0" w:line="360" w:lineRule="auto"/>
        <w:ind w:firstLine="420" w:firstLineChars="200"/>
        <w:rPr>
          <w:rFonts w:cs="Times New Roman" w:asciiTheme="minorEastAsia" w:hAnsiTheme="minorEastAsia" w:eastAsiaTheme="minorEastAsia"/>
          <w:bCs/>
          <w:sz w:val="21"/>
          <w:szCs w:val="21"/>
        </w:rPr>
      </w:pPr>
      <w:r>
        <w:rPr>
          <w:rFonts w:hint="eastAsia" w:cs="Times New Roman" w:asciiTheme="minorEastAsia" w:hAnsiTheme="minorEastAsia" w:eastAsiaTheme="minorEastAsia"/>
          <w:bCs/>
          <w:sz w:val="21"/>
          <w:szCs w:val="21"/>
        </w:rPr>
        <w:t>（2）《家用和类似用途低压电路用的连接器件 第2部分：作为独立单元的带螺纹型夹紧件的连接器件的特殊要求》GB/T 13140.2</w:t>
      </w:r>
      <w:r>
        <w:rPr>
          <w:rFonts w:hint="eastAsia" w:cs="Times New Roman" w:asciiTheme="minorEastAsia" w:hAnsiTheme="minorEastAsia" w:eastAsiaTheme="minorEastAsia"/>
          <w:bCs/>
          <w:color w:val="000000"/>
          <w:sz w:val="21"/>
          <w:szCs w:val="21"/>
        </w:rPr>
        <w:t>/</w:t>
      </w:r>
      <w:r>
        <w:rPr>
          <w:rFonts w:hint="eastAsia" w:cs="Times New Roman" w:asciiTheme="minorEastAsia" w:hAnsiTheme="minorEastAsia" w:eastAsiaTheme="minorEastAsia"/>
          <w:bCs/>
          <w:sz w:val="21"/>
          <w:szCs w:val="21"/>
        </w:rPr>
        <w:t>IEC 60998-2-1:2002；</w:t>
      </w:r>
    </w:p>
    <w:p>
      <w:pPr>
        <w:pStyle w:val="24"/>
        <w:spacing w:before="0" w:beforeAutospacing="0" w:after="0" w:afterAutospacing="0" w:line="360" w:lineRule="auto"/>
        <w:ind w:firstLine="420" w:firstLineChars="200"/>
        <w:rPr>
          <w:rFonts w:cs="Times New Roman" w:asciiTheme="minorEastAsia" w:hAnsiTheme="minorEastAsia" w:eastAsiaTheme="minorEastAsia"/>
          <w:bCs/>
          <w:sz w:val="21"/>
          <w:szCs w:val="21"/>
        </w:rPr>
      </w:pPr>
      <w:r>
        <w:rPr>
          <w:rFonts w:hint="eastAsia" w:cs="Times New Roman" w:asciiTheme="minorEastAsia" w:hAnsiTheme="minorEastAsia" w:eastAsiaTheme="minorEastAsia"/>
          <w:bCs/>
          <w:sz w:val="21"/>
          <w:szCs w:val="21"/>
        </w:rPr>
        <w:t>（3）《家用和类似用途低压电路用的连接器件 第2部分：作为独立单元的带无螺纹型夹紧件的连接器件的特殊要求》GB/T 13140.3</w:t>
      </w:r>
      <w:r>
        <w:rPr>
          <w:rFonts w:hint="eastAsia" w:cs="Times New Roman" w:asciiTheme="minorEastAsia" w:hAnsiTheme="minorEastAsia" w:eastAsiaTheme="minorEastAsia"/>
          <w:bCs/>
          <w:color w:val="000000"/>
          <w:sz w:val="21"/>
          <w:szCs w:val="21"/>
        </w:rPr>
        <w:t>/</w:t>
      </w:r>
      <w:r>
        <w:rPr>
          <w:rFonts w:hint="eastAsia" w:cs="Times New Roman" w:asciiTheme="minorEastAsia" w:hAnsiTheme="minorEastAsia" w:eastAsiaTheme="minorEastAsia"/>
          <w:bCs/>
          <w:sz w:val="21"/>
          <w:szCs w:val="21"/>
        </w:rPr>
        <w:t>IEC 60998-2-2:2002；</w:t>
      </w:r>
    </w:p>
    <w:p>
      <w:pPr>
        <w:pStyle w:val="24"/>
        <w:spacing w:before="0" w:beforeAutospacing="0" w:after="0" w:afterAutospacing="0" w:line="360" w:lineRule="auto"/>
        <w:ind w:firstLine="420" w:firstLineChars="200"/>
        <w:rPr>
          <w:rFonts w:cs="Times New Roman" w:asciiTheme="minorEastAsia" w:hAnsiTheme="minorEastAsia" w:eastAsiaTheme="minorEastAsia"/>
          <w:bCs/>
          <w:sz w:val="21"/>
          <w:szCs w:val="21"/>
        </w:rPr>
      </w:pPr>
      <w:r>
        <w:rPr>
          <w:rFonts w:hint="eastAsia" w:cs="Times New Roman" w:asciiTheme="minorEastAsia" w:hAnsiTheme="minorEastAsia" w:eastAsiaTheme="minorEastAsia"/>
          <w:bCs/>
          <w:sz w:val="21"/>
          <w:szCs w:val="21"/>
        </w:rPr>
        <w:t>（4）《家用和类似用途低压电路用的连接器件 第2部分：扭接式连接器件的特殊要求》GB/T 13140.5</w:t>
      </w:r>
      <w:r>
        <w:rPr>
          <w:rFonts w:hint="eastAsia" w:cs="Times New Roman" w:asciiTheme="minorEastAsia" w:hAnsiTheme="minorEastAsia" w:eastAsiaTheme="minorEastAsia"/>
          <w:bCs/>
          <w:color w:val="000000"/>
          <w:sz w:val="21"/>
          <w:szCs w:val="21"/>
        </w:rPr>
        <w:t>/</w:t>
      </w:r>
      <w:r>
        <w:rPr>
          <w:rFonts w:hint="eastAsia" w:cs="Times New Roman" w:asciiTheme="minorEastAsia" w:hAnsiTheme="minorEastAsia" w:eastAsiaTheme="minorEastAsia"/>
          <w:bCs/>
          <w:sz w:val="21"/>
          <w:szCs w:val="21"/>
        </w:rPr>
        <w:t>IEC 60998-2-4:2002。</w:t>
      </w:r>
    </w:p>
    <w:p>
      <w:pPr>
        <w:spacing w:line="360" w:lineRule="auto"/>
        <w:rPr>
          <w:rFonts w:asciiTheme="minorEastAsia" w:hAnsiTheme="minorEastAsia" w:eastAsiaTheme="minorEastAsia"/>
          <w:bCs/>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.10.8</w:t>
      </w:r>
      <w:r>
        <w:rPr>
          <w:rFonts w:hint="eastAsia" w:asciiTheme="minorEastAsia" w:hAnsiTheme="minorEastAsia" w:eastAsiaTheme="minorEastAsia"/>
          <w:b/>
          <w:bCs/>
          <w:szCs w:val="21"/>
        </w:rPr>
        <w:t xml:space="preserve"> </w:t>
      </w:r>
      <w:r>
        <w:rPr>
          <w:rFonts w:asciiTheme="minorEastAsia" w:hAnsiTheme="minorEastAsia" w:eastAsiaTheme="minorEastAsia"/>
          <w:b/>
          <w:bCs/>
          <w:szCs w:val="21"/>
        </w:rPr>
        <w:t xml:space="preserve"> </w:t>
      </w:r>
      <w:r>
        <w:rPr>
          <w:rFonts w:hint="eastAsia" w:asciiTheme="minorEastAsia" w:hAnsiTheme="minorEastAsia" w:eastAsiaTheme="minorEastAsia"/>
          <w:bCs/>
          <w:szCs w:val="21"/>
        </w:rPr>
        <w:t>铝合金带联锁铠装作为电缆外护套时，应与保护接地导体</w:t>
      </w:r>
      <w:r>
        <w:rPr>
          <w:rFonts w:hint="eastAsia" w:asciiTheme="minorEastAsia" w:hAnsiTheme="minorEastAsia" w:eastAsiaTheme="minorEastAsia"/>
          <w:bCs/>
          <w:color w:val="000000"/>
          <w:szCs w:val="21"/>
        </w:rPr>
        <w:t>（</w:t>
      </w:r>
      <w:r>
        <w:rPr>
          <w:rFonts w:hint="eastAsia" w:asciiTheme="minorEastAsia" w:hAnsiTheme="minorEastAsia" w:eastAsiaTheme="minorEastAsia"/>
          <w:bCs/>
          <w:szCs w:val="21"/>
        </w:rPr>
        <w:t>PE</w:t>
      </w:r>
      <w:r>
        <w:rPr>
          <w:rFonts w:hint="eastAsia" w:asciiTheme="minorEastAsia" w:hAnsiTheme="minorEastAsia" w:eastAsiaTheme="minorEastAsia"/>
          <w:bCs/>
          <w:color w:val="000000"/>
          <w:szCs w:val="21"/>
        </w:rPr>
        <w:t>）</w:t>
      </w:r>
      <w:r>
        <w:rPr>
          <w:rFonts w:hint="eastAsia" w:asciiTheme="minorEastAsia" w:hAnsiTheme="minorEastAsia" w:eastAsiaTheme="minorEastAsia"/>
          <w:bCs/>
          <w:szCs w:val="21"/>
        </w:rPr>
        <w:t>可靠连接，由于其结构和截面积所限，不应作为保护接地导体</w:t>
      </w:r>
      <w:r>
        <w:rPr>
          <w:rFonts w:hint="eastAsia" w:asciiTheme="minorEastAsia" w:hAnsiTheme="minorEastAsia" w:eastAsiaTheme="minorEastAsia"/>
          <w:bCs/>
          <w:color w:val="000000"/>
          <w:szCs w:val="21"/>
        </w:rPr>
        <w:t>（</w:t>
      </w:r>
      <w:r>
        <w:rPr>
          <w:rFonts w:hint="eastAsia" w:asciiTheme="minorEastAsia" w:hAnsiTheme="minorEastAsia" w:eastAsiaTheme="minorEastAsia"/>
          <w:bCs/>
          <w:szCs w:val="21"/>
        </w:rPr>
        <w:t>PE</w:t>
      </w:r>
      <w:r>
        <w:rPr>
          <w:rFonts w:hint="eastAsia" w:asciiTheme="minorEastAsia" w:hAnsiTheme="minorEastAsia" w:eastAsiaTheme="minorEastAsia"/>
          <w:bCs/>
          <w:color w:val="000000"/>
          <w:szCs w:val="21"/>
        </w:rPr>
        <w:t>）</w:t>
      </w:r>
      <w:r>
        <w:rPr>
          <w:rFonts w:hint="eastAsia" w:asciiTheme="minorEastAsia" w:hAnsiTheme="minorEastAsia" w:eastAsiaTheme="minorEastAsia"/>
          <w:bCs/>
          <w:szCs w:val="21"/>
        </w:rPr>
        <w:t>使用。</w:t>
      </w:r>
    </w:p>
    <w:p>
      <w:pPr>
        <w:pStyle w:val="24"/>
        <w:spacing w:before="0" w:beforeAutospacing="0" w:after="0" w:afterAutospacing="0" w:line="360" w:lineRule="auto"/>
        <w:ind w:firstLine="420" w:firstLineChars="200"/>
        <w:rPr>
          <w:rFonts w:cs="Times New Roman" w:asciiTheme="minorEastAsia" w:hAnsiTheme="minorEastAsia" w:eastAsiaTheme="minorEastAsia"/>
          <w:bCs/>
          <w:sz w:val="21"/>
          <w:szCs w:val="21"/>
        </w:rPr>
      </w:pPr>
      <w:r>
        <w:rPr>
          <w:rFonts w:hint="eastAsia" w:cs="Times New Roman" w:asciiTheme="minorEastAsia" w:hAnsiTheme="minorEastAsia" w:eastAsiaTheme="minorEastAsia"/>
          <w:bCs/>
          <w:sz w:val="21"/>
          <w:szCs w:val="21"/>
        </w:rPr>
        <w:t>铝</w:t>
      </w:r>
      <w:r>
        <w:rPr>
          <w:rFonts w:hint="eastAsia" w:cs="Times New Roman" w:asciiTheme="minorEastAsia" w:hAnsiTheme="minorEastAsia" w:eastAsiaTheme="minorEastAsia"/>
          <w:bCs/>
          <w:color w:val="000000"/>
          <w:sz w:val="21"/>
          <w:szCs w:val="21"/>
        </w:rPr>
        <w:t>/</w:t>
      </w:r>
      <w:r>
        <w:rPr>
          <w:rFonts w:hint="eastAsia" w:cs="Times New Roman" w:asciiTheme="minorEastAsia" w:hAnsiTheme="minorEastAsia" w:eastAsiaTheme="minorEastAsia"/>
          <w:bCs/>
          <w:sz w:val="21"/>
          <w:szCs w:val="21"/>
        </w:rPr>
        <w:t>铝合金电缆导体在空气中会被迅速氧化，因此在压接端子的时候，需要除去氧化层并立即涂抹抗氧化剂，才能保证铝合金电缆的压接质量，压接完成后擦掉端子上剩余的氧化剂再做绝缘保护。</w:t>
      </w:r>
    </w:p>
    <w:p>
      <w:pPr>
        <w:pStyle w:val="24"/>
        <w:spacing w:before="0" w:beforeAutospacing="0" w:after="0" w:afterAutospacing="0" w:line="360" w:lineRule="auto"/>
        <w:ind w:firstLine="420" w:firstLineChars="200"/>
        <w:rPr>
          <w:rFonts w:cs="Times New Roman" w:asciiTheme="minorEastAsia" w:hAnsiTheme="minorEastAsia" w:eastAsiaTheme="minorEastAsia"/>
          <w:bCs/>
          <w:sz w:val="21"/>
          <w:szCs w:val="21"/>
        </w:rPr>
      </w:pPr>
      <w:r>
        <w:rPr>
          <w:rFonts w:hint="eastAsia" w:cs="Times New Roman" w:asciiTheme="minorEastAsia" w:hAnsiTheme="minorEastAsia" w:eastAsiaTheme="minorEastAsia"/>
          <w:bCs/>
          <w:sz w:val="21"/>
          <w:szCs w:val="21"/>
        </w:rPr>
        <w:t>由于铝合金电缆所匹配的端子硬度较大，导线端子压接需要使用相应的模具和压接工具进行压接，如果不匹配会造成压接面积不足，导致端子发热。</w:t>
      </w:r>
    </w:p>
    <w:p>
      <w:pPr>
        <w:spacing w:line="360" w:lineRule="auto"/>
        <w:rPr>
          <w:rFonts w:asciiTheme="minorEastAsia" w:hAnsiTheme="minorEastAsia" w:eastAsiaTheme="minorEastAsia"/>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.10.9</w:t>
      </w:r>
      <w:r>
        <w:rPr>
          <w:rFonts w:hint="eastAsia" w:asciiTheme="minorEastAsia" w:hAnsiTheme="minorEastAsia" w:eastAsiaTheme="minorEastAsia"/>
          <w:b/>
          <w:bCs/>
          <w:szCs w:val="21"/>
        </w:rPr>
        <w:t xml:space="preserve"> </w:t>
      </w:r>
      <w:r>
        <w:rPr>
          <w:rFonts w:hint="eastAsia" w:asciiTheme="minorEastAsia" w:hAnsiTheme="minorEastAsia" w:eastAsiaTheme="minorEastAsia"/>
          <w:bCs/>
          <w:kern w:val="0"/>
          <w:szCs w:val="21"/>
        </w:rPr>
        <w:t>本规范附录</w:t>
      </w:r>
      <w:r>
        <w:rPr>
          <w:rFonts w:asciiTheme="minorEastAsia" w:hAnsiTheme="minorEastAsia" w:eastAsiaTheme="minorEastAsia"/>
          <w:bCs/>
          <w:kern w:val="0"/>
          <w:szCs w:val="21"/>
        </w:rPr>
        <w:t>F</w:t>
      </w:r>
      <w:r>
        <w:rPr>
          <w:rFonts w:hint="eastAsia" w:asciiTheme="minorEastAsia" w:hAnsiTheme="minorEastAsia" w:eastAsiaTheme="minorEastAsia"/>
          <w:bCs/>
          <w:kern w:val="0"/>
          <w:szCs w:val="21"/>
        </w:rPr>
        <w:t>引自现行国家标准《低压开关设备和控制设备 第1部分：总则》GB 14048.1的规定。</w:t>
      </w:r>
    </w:p>
    <w:p>
      <w:pPr>
        <w:spacing w:line="360" w:lineRule="auto"/>
        <w:rPr>
          <w:rFonts w:asciiTheme="minorEastAsia" w:hAnsiTheme="minorEastAsia" w:eastAsiaTheme="minorEastAsia"/>
          <w:b/>
          <w:bCs/>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.10.10</w:t>
      </w:r>
      <w:r>
        <w:rPr>
          <w:rFonts w:hint="eastAsia" w:asciiTheme="minorEastAsia" w:hAnsiTheme="minorEastAsia" w:eastAsiaTheme="minorEastAsia"/>
          <w:b/>
          <w:bCs/>
          <w:szCs w:val="21"/>
        </w:rPr>
        <w:t xml:space="preserve"> </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大规格金具、端子与小规格芯线连接，如焊接将多用焊料，不经济，如压接则更不可取，压接不到位也压不紧，电阻大，运行时要过热而出故障；反之小规格金具、端子与大规格芯线连接，必然要截去部分芯线，同样的不能保证连接质量，而在使用中易引发电气故障，所以必须两者适配。开口端子一般用于实验室或调试用的临时线路上，便于拆装，不应用在永久性连接的线路上，否则可靠性就无法保证，对导体的连接金具的性能在现行国家标准</w:t>
      </w:r>
      <w:r>
        <w:rPr>
          <w:rFonts w:hint="eastAsia" w:asciiTheme="minorEastAsia" w:hAnsiTheme="minorEastAsia" w:eastAsiaTheme="minorEastAsia"/>
          <w:bCs/>
          <w:color w:val="000000"/>
          <w:szCs w:val="21"/>
        </w:rPr>
        <w:t>《额定电压35 kV（Um＝40.5 kV）及以下电力电缆导体用压接式和机械式连接金具 试验方法和要求》GB/T 9327-2008</w:t>
      </w:r>
      <w:r>
        <w:rPr>
          <w:rFonts w:hint="eastAsia" w:asciiTheme="minorEastAsia" w:hAnsiTheme="minorEastAsia" w:eastAsiaTheme="minorEastAsia"/>
          <w:bCs/>
          <w:szCs w:val="21"/>
        </w:rPr>
        <w:t>中有相应的规定。</w:t>
      </w:r>
    </w:p>
    <w:p>
      <w:pPr>
        <w:spacing w:line="360" w:lineRule="auto"/>
        <w:rPr>
          <w:rFonts w:ascii="宋体" w:hAnsi="宋体" w:cs="宋体"/>
          <w:b/>
          <w:iCs/>
          <w:szCs w:val="21"/>
        </w:rPr>
      </w:pPr>
      <w:r>
        <w:rPr>
          <w:rFonts w:hint="eastAsia" w:asciiTheme="minorEastAsia" w:hAnsiTheme="minorEastAsia" w:eastAsiaTheme="minorEastAsia"/>
          <w:b/>
          <w:iCs/>
          <w:szCs w:val="21"/>
        </w:rPr>
        <w:t>5</w:t>
      </w:r>
      <w:r>
        <w:rPr>
          <w:rFonts w:asciiTheme="minorEastAsia" w:hAnsiTheme="minorEastAsia" w:eastAsiaTheme="minorEastAsia"/>
          <w:b/>
          <w:iCs/>
          <w:szCs w:val="21"/>
        </w:rPr>
        <w:t>.10.11</w:t>
      </w:r>
      <w:r>
        <w:rPr>
          <w:rFonts w:hint="eastAsia" w:asciiTheme="minorEastAsia" w:hAnsiTheme="minorEastAsia" w:eastAsiaTheme="minorEastAsia"/>
          <w:b/>
          <w:bCs/>
          <w:szCs w:val="21"/>
        </w:rPr>
        <w:t xml:space="preserve"> </w:t>
      </w:r>
      <w:r>
        <w:rPr>
          <w:rFonts w:asciiTheme="minorEastAsia" w:hAnsiTheme="minorEastAsia" w:eastAsiaTheme="minorEastAsia"/>
          <w:b/>
          <w:bCs/>
          <w:szCs w:val="21"/>
        </w:rPr>
        <w:t xml:space="preserve"> </w:t>
      </w:r>
      <w:r>
        <w:rPr>
          <w:rFonts w:hint="eastAsia" w:asciiTheme="minorEastAsia" w:hAnsiTheme="minorEastAsia" w:eastAsiaTheme="minorEastAsia"/>
          <w:bCs/>
          <w:szCs w:val="21"/>
        </w:rPr>
        <w:t>本条是为避免施工过程中接线端子规格与电气器具规格不配套时，发生任意减小导线截面积或电器连接件截面积而导致设备运行中发生安全事故作出的规定。施工中可通过转接铜排的方式，先将端子与具有同等载流量的铜排连接，再将铜排与电气器具连接，端子与铜排连接时，螺栓的拧紧力矩应符合本规范附录</w:t>
      </w:r>
      <w:r>
        <w:rPr>
          <w:rFonts w:asciiTheme="minorEastAsia" w:hAnsiTheme="minorEastAsia" w:eastAsiaTheme="minorEastAsia"/>
          <w:bCs/>
          <w:szCs w:val="21"/>
        </w:rPr>
        <w:t>D</w:t>
      </w:r>
      <w:r>
        <w:rPr>
          <w:rFonts w:hint="eastAsia" w:asciiTheme="minorEastAsia" w:hAnsiTheme="minorEastAsia" w:eastAsiaTheme="minorEastAsia"/>
          <w:bCs/>
          <w:szCs w:val="21"/>
        </w:rPr>
        <w:t>的规定。</w:t>
      </w:r>
    </w:p>
    <w:p>
      <w:pPr>
        <w:widowControl/>
        <w:jc w:val="left"/>
        <w:rPr>
          <w:b/>
          <w:kern w:val="0"/>
          <w:sz w:val="28"/>
          <w:szCs w:val="28"/>
        </w:rPr>
      </w:pPr>
      <w:bookmarkStart w:id="354" w:name="_Toc136869556"/>
      <w:bookmarkStart w:id="355" w:name="_Toc136869140"/>
      <w:bookmarkStart w:id="356" w:name="_Toc135299524"/>
      <w:r>
        <w:rPr>
          <w:bCs/>
        </w:rPr>
        <w:br w:type="page"/>
      </w:r>
    </w:p>
    <w:p>
      <w:pPr>
        <w:pStyle w:val="78"/>
        <w:spacing w:before="240" w:after="240"/>
        <w:ind w:firstLine="0" w:firstLineChars="0"/>
        <w:rPr>
          <w:bCs w:val="0"/>
        </w:rPr>
      </w:pPr>
      <w:bookmarkStart w:id="357" w:name="_Toc137216292"/>
      <w:bookmarkStart w:id="358" w:name="_Toc137203442"/>
      <w:r>
        <w:rPr>
          <w:rFonts w:hint="eastAsia"/>
          <w:bCs w:val="0"/>
        </w:rPr>
        <w:t>6  动力设备</w:t>
      </w:r>
      <w:bookmarkEnd w:id="354"/>
      <w:bookmarkEnd w:id="355"/>
      <w:bookmarkEnd w:id="356"/>
      <w:bookmarkEnd w:id="357"/>
      <w:bookmarkEnd w:id="358"/>
    </w:p>
    <w:p>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359" w:name="_Toc136869141"/>
      <w:bookmarkStart w:id="360" w:name="_Toc137203443"/>
      <w:bookmarkStart w:id="361" w:name="_Toc136869557"/>
      <w:bookmarkStart w:id="362" w:name="_Toc137216293"/>
      <w:bookmarkStart w:id="363" w:name="_Toc135299525"/>
      <w:bookmarkStart w:id="364" w:name="_Toc135299526"/>
      <w:r>
        <w:rPr>
          <w:rFonts w:hint="eastAsia" w:asciiTheme="minorEastAsia" w:hAnsiTheme="minorEastAsia" w:eastAsiaTheme="minorEastAsia"/>
          <w:sz w:val="24"/>
          <w:szCs w:val="24"/>
        </w:rPr>
        <w:t>6.1  电动机、电加热器及电动执行机构检查接线</w:t>
      </w:r>
      <w:bookmarkEnd w:id="359"/>
      <w:bookmarkEnd w:id="360"/>
      <w:bookmarkEnd w:id="361"/>
      <w:bookmarkEnd w:id="362"/>
      <w:bookmarkEnd w:id="363"/>
    </w:p>
    <w:p>
      <w:pPr>
        <w:pStyle w:val="4"/>
        <w:numPr>
          <w:ilvl w:val="0"/>
          <w:numId w:val="199"/>
        </w:numPr>
        <w:spacing w:before="120" w:beforeLines="50" w:after="120" w:afterLines="50"/>
        <w:rPr>
          <w:rFonts w:asciiTheme="minorEastAsia" w:hAnsiTheme="minorEastAsia" w:eastAsiaTheme="minorEastAsia"/>
          <w:sz w:val="21"/>
          <w:szCs w:val="21"/>
        </w:rPr>
      </w:pPr>
      <w:r>
        <w:t>I</w:t>
      </w:r>
      <w:r>
        <w:rPr>
          <w:rFonts w:hint="eastAsia" w:asciiTheme="minorEastAsia" w:hAnsiTheme="minorEastAsia" w:eastAsiaTheme="minorEastAsia"/>
          <w:sz w:val="21"/>
          <w:szCs w:val="21"/>
        </w:rPr>
        <w:t xml:space="preserve">  主控项目</w:t>
      </w:r>
    </w:p>
    <w:p>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 xml:space="preserve">6.1.1  </w:t>
      </w:r>
      <w:r>
        <w:rPr>
          <w:rFonts w:hint="eastAsia" w:asciiTheme="minorEastAsia" w:hAnsiTheme="minorEastAsia" w:eastAsiaTheme="minorEastAsia"/>
          <w:szCs w:val="21"/>
        </w:rPr>
        <w:t>建筑电气设备采用何种供电系统，是由设计决定的，但外露可导电部分是必须与保护导体可靠连接，可靠连接是指与保护导体干</w:t>
      </w:r>
      <w:r>
        <w:rPr>
          <w:rFonts w:hint="eastAsia" w:asciiTheme="minorEastAsia" w:hAnsiTheme="minorEastAsia" w:eastAsiaTheme="minorEastAsia"/>
          <w:color w:val="000000"/>
          <w:szCs w:val="21"/>
        </w:rPr>
        <w:t>线</w:t>
      </w:r>
      <w:r>
        <w:rPr>
          <w:rFonts w:hint="eastAsia" w:asciiTheme="minorEastAsia" w:hAnsiTheme="minorEastAsia" w:eastAsiaTheme="minorEastAsia"/>
          <w:szCs w:val="21"/>
        </w:rPr>
        <w:t>直接连接且应采用锁紧装置紧固，以确保使用安全。使用安全电压</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36 V及以下</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或建筑智能化工程的相关类似用电设备时，其可接近裸露导体是否需与保护导体连接，应由相关设计文件加以说明。连接导体的截面积按本规范第3.1.7条执行，由设计根据电气设备发生接地故障时能满足自动切断设备电源的条件来确定。</w:t>
      </w:r>
    </w:p>
    <w:p>
      <w:pPr>
        <w:spacing w:line="360" w:lineRule="auto"/>
        <w:rPr>
          <w:rFonts w:asciiTheme="minorEastAsia" w:hAnsiTheme="minorEastAsia" w:eastAsiaTheme="minorEastAsia"/>
          <w:b/>
          <w:szCs w:val="21"/>
        </w:rPr>
      </w:pPr>
      <w:r>
        <w:rPr>
          <w:rFonts w:hint="eastAsia" w:asciiTheme="minorEastAsia" w:hAnsiTheme="minorEastAsia" w:eastAsiaTheme="minorEastAsia"/>
          <w:b/>
          <w:bCs/>
          <w:szCs w:val="21"/>
        </w:rPr>
        <w:t xml:space="preserve">6.1.3  </w:t>
      </w:r>
      <w:r>
        <w:rPr>
          <w:rFonts w:hint="eastAsia" w:asciiTheme="minorEastAsia" w:hAnsiTheme="minorEastAsia" w:eastAsiaTheme="minorEastAsia"/>
          <w:szCs w:val="21"/>
        </w:rPr>
        <w:t>建筑电气工程中电动机的容量一般不大，但目前随着建筑面积和体量的增大，冷水机组已逐步采用10 kV高压电机。高压机组为成套设备，且启动控制也不甚复杂，所以交接试验内容也不多，主要是绝缘电阻检测、大电机的直流电阻检测、绕组直流耐压试验和泄漏电流测量。需要注意的是，高压电机的绝缘电阻测试应选用2500 V兆欧表。</w:t>
      </w:r>
    </w:p>
    <w:p>
      <w:pPr>
        <w:spacing w:line="360" w:lineRule="auto"/>
        <w:rPr>
          <w:rFonts w:asciiTheme="minorEastAsia" w:hAnsiTheme="minorEastAsia" w:eastAsiaTheme="minorEastAsia"/>
          <w:b/>
          <w:szCs w:val="21"/>
        </w:rPr>
      </w:pPr>
      <w:r>
        <w:rPr>
          <w:rFonts w:hint="eastAsia" w:asciiTheme="minorEastAsia" w:hAnsiTheme="minorEastAsia" w:eastAsiaTheme="minorEastAsia"/>
          <w:b/>
          <w:bCs/>
          <w:szCs w:val="21"/>
        </w:rPr>
        <w:t xml:space="preserve">6.1.4  </w:t>
      </w:r>
      <w:r>
        <w:rPr>
          <w:rFonts w:hint="eastAsia" w:asciiTheme="minorEastAsia" w:hAnsiTheme="minorEastAsia" w:eastAsiaTheme="minorEastAsia"/>
          <w:szCs w:val="21"/>
        </w:rPr>
        <w:t>本条根据现行国家标准《爆炸性环境用防爆电气设备通用要求》GB 3836</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1进行修订，是为了防止电气设备及接线盒内部产生爆炸时，由引入口的空隙而引起外部爆炸。</w:t>
      </w:r>
    </w:p>
    <w:p>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 xml:space="preserve">6.1.5  </w:t>
      </w:r>
      <w:r>
        <w:rPr>
          <w:rFonts w:hint="eastAsia" w:asciiTheme="minorEastAsia" w:hAnsiTheme="minorEastAsia" w:eastAsiaTheme="minorEastAsia"/>
          <w:szCs w:val="21"/>
        </w:rPr>
        <w:t>本条是为防止电气设备或接线盒内在事故情况下产生的电气火花或高温，在其内部发生爆炸时，由多余的线孔引起钢管内部爆炸。</w:t>
      </w:r>
    </w:p>
    <w:p>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 xml:space="preserve">6.1.6  </w:t>
      </w:r>
      <w:r>
        <w:rPr>
          <w:rFonts w:hint="eastAsia" w:asciiTheme="minorEastAsia" w:hAnsiTheme="minorEastAsia" w:eastAsiaTheme="minorEastAsia"/>
          <w:szCs w:val="21"/>
        </w:rPr>
        <w:t>根据引入装置的现状及工矿企业运行经验，使用具有一定机械强度的挠性连接管及其附件即可满足要求。只要进线电缆、挠性软管和防爆电动机接线盒之间的配合符合防爆要求即可。为了避免在钢管直接连接时可能承受过大的额外应力和连接困难，规定在这些地方应采用挠性管连接。爆炸危险环境内的钢管配线需采用挠性连接管的地方，为满足防爆要求，应采用防爆型挠性连接管。挠性连接管的类型应与危险环境区域相适应，材质应与使用的环境条件</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防蚀、防湿、防高温</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相适应，以达到其防爆要求。</w:t>
      </w:r>
    </w:p>
    <w:p>
      <w:pPr>
        <w:pStyle w:val="4"/>
        <w:numPr>
          <w:ilvl w:val="0"/>
          <w:numId w:val="199"/>
        </w:numPr>
        <w:spacing w:before="120" w:beforeLines="50" w:after="120" w:afterLines="50"/>
        <w:rPr>
          <w:rFonts w:asciiTheme="minorEastAsia" w:hAnsiTheme="minorEastAsia" w:eastAsiaTheme="minorEastAsia"/>
          <w:sz w:val="21"/>
          <w:szCs w:val="21"/>
        </w:rPr>
      </w:pPr>
      <w:r>
        <w:t>Ⅱ</w:t>
      </w:r>
      <w:r>
        <w:rPr>
          <w:rFonts w:hint="eastAsia" w:asciiTheme="minorEastAsia" w:hAnsiTheme="minorEastAsia" w:eastAsiaTheme="minorEastAsia"/>
          <w:sz w:val="21"/>
          <w:szCs w:val="21"/>
        </w:rPr>
        <w:t xml:space="preserve">  一般项目</w:t>
      </w:r>
    </w:p>
    <w:p>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 xml:space="preserve">6.1.8  </w:t>
      </w:r>
      <w:r>
        <w:rPr>
          <w:rFonts w:hint="eastAsia" w:asciiTheme="minorEastAsia" w:hAnsiTheme="minorEastAsia" w:eastAsiaTheme="minorEastAsia"/>
          <w:szCs w:val="21"/>
        </w:rPr>
        <w:t>关于电动机是否要抽芯是有争论的，有的认为施工现场条件没有制造厂车间内条件好，在现场拆卸检查没有好处，况且有的制造厂说明书明确规定不允许拆卸检查</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如某些特殊电动机或进口的电动机</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另一种意见认为，电动机安装前应做抽芯检查，只要在施工现场找一个干净通风，湿度在允许范围内的场所即可，尤其是开启式电动机一定要抽芯检查。为此，现行国家标准《电气装置安装工程旋转电机施工及验收规范》GB 50170-2006第3.3.2条对是否要抽芯的条件作出了规定。同时也明确了制造厂不允许抽芯的电动机要另行处理。可以理解为电动机有抽芯检查的必要，而制造厂又明确说明不允许抽芯，则应召集制造厂代表会同协商处理，以明确责任。</w:t>
      </w:r>
    </w:p>
    <w:p>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 xml:space="preserve">6.1.9  </w:t>
      </w:r>
      <w:r>
        <w:rPr>
          <w:rFonts w:hint="eastAsia" w:asciiTheme="minorEastAsia" w:hAnsiTheme="minorEastAsia" w:eastAsiaTheme="minorEastAsia"/>
          <w:szCs w:val="21"/>
        </w:rPr>
        <w:t>本条是对抽芯检查的部位和要求作出了相应的规定。</w:t>
      </w:r>
    </w:p>
    <w:p>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 xml:space="preserve">6.1.10  </w:t>
      </w:r>
      <w:r>
        <w:rPr>
          <w:rFonts w:hint="eastAsia" w:asciiTheme="minorEastAsia" w:hAnsiTheme="minorEastAsia" w:eastAsiaTheme="minorEastAsia"/>
          <w:szCs w:val="21"/>
        </w:rPr>
        <w:t>高压电动机引出线有绝缘套管做绝缘隔离，绝缘套管通常有环氧树脂和陶瓷两类材质，导线连接紧固用力过大可能会有损伤而影响绝缘性能，为安全考虑提出本条规定。</w:t>
      </w:r>
    </w:p>
    <w:p>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 xml:space="preserve">6.1.11  </w:t>
      </w:r>
      <w:r>
        <w:rPr>
          <w:rFonts w:hint="eastAsia" w:asciiTheme="minorEastAsia" w:hAnsiTheme="minorEastAsia" w:eastAsiaTheme="minorEastAsia"/>
          <w:szCs w:val="21"/>
        </w:rPr>
        <w:t>本条是为防止操作过电压引起放电，避免发生事故而作出的规定。不同电压等级的电动机接线盒内的导线间或导线对地间的电气间隙是不同的，因此应根据不同的电压等级，按产品制造标准或产品技术说明书要求进行检查或施工。</w:t>
      </w:r>
    </w:p>
    <w:p>
      <w:pPr>
        <w:spacing w:line="360" w:lineRule="auto"/>
        <w:rPr>
          <w:rFonts w:asciiTheme="minorEastAsia" w:hAnsiTheme="minorEastAsia" w:eastAsiaTheme="minorEastAsia"/>
          <w:b/>
          <w:szCs w:val="21"/>
        </w:rPr>
      </w:pPr>
      <w:r>
        <w:rPr>
          <w:rFonts w:hint="eastAsia" w:asciiTheme="minorEastAsia" w:hAnsiTheme="minorEastAsia" w:eastAsiaTheme="minorEastAsia"/>
          <w:b/>
          <w:bCs/>
          <w:szCs w:val="21"/>
        </w:rPr>
        <w:t xml:space="preserve">6.1.13  </w:t>
      </w:r>
      <w:r>
        <w:rPr>
          <w:rFonts w:asciiTheme="minorEastAsia" w:hAnsiTheme="minorEastAsia" w:eastAsiaTheme="minorEastAsia"/>
          <w:szCs w:val="21"/>
        </w:rPr>
        <w:t>所有采用永久引入电缆的设备均应在防爆合格证号后加“X”符号</w:t>
      </w:r>
      <w:r>
        <w:rPr>
          <w:rFonts w:hint="eastAsia" w:asciiTheme="minorEastAsia" w:hAnsiTheme="minorEastAsia" w:eastAsiaTheme="minorEastAsia"/>
          <w:szCs w:val="21"/>
        </w:rPr>
        <w:t>，</w:t>
      </w:r>
      <w:r>
        <w:rPr>
          <w:rFonts w:asciiTheme="minorEastAsia" w:hAnsiTheme="minorEastAsia" w:eastAsiaTheme="minorEastAsia"/>
          <w:szCs w:val="21"/>
        </w:rPr>
        <w:t>以表明永久电缆的自由端应有适当的措施加以保护。电气设备应设连接件与外部电路相连</w:t>
      </w:r>
      <w:r>
        <w:rPr>
          <w:rFonts w:hint="eastAsia" w:asciiTheme="minorEastAsia" w:hAnsiTheme="minorEastAsia" w:eastAsiaTheme="minorEastAsia"/>
          <w:szCs w:val="21"/>
        </w:rPr>
        <w:t>，</w:t>
      </w:r>
      <w:r>
        <w:rPr>
          <w:rFonts w:asciiTheme="minorEastAsia" w:hAnsiTheme="minorEastAsia" w:eastAsiaTheme="minorEastAsia"/>
          <w:szCs w:val="21"/>
        </w:rPr>
        <w:t>接线空腔和出线口应有足够尺寸以方便导线连接</w:t>
      </w:r>
      <w:r>
        <w:rPr>
          <w:rFonts w:hint="eastAsia" w:asciiTheme="minorEastAsia" w:hAnsiTheme="minorEastAsia" w:eastAsiaTheme="minorEastAsia"/>
          <w:szCs w:val="21"/>
        </w:rPr>
        <w:t>，</w:t>
      </w:r>
      <w:r>
        <w:rPr>
          <w:rFonts w:asciiTheme="minorEastAsia" w:hAnsiTheme="minorEastAsia" w:eastAsiaTheme="minorEastAsia"/>
          <w:szCs w:val="21"/>
        </w:rPr>
        <w:t>并使电气间隙爬电距离符合相应防爆型式标准的规定。</w:t>
      </w:r>
    </w:p>
    <w:p>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365" w:name="_Toc137203444"/>
      <w:bookmarkStart w:id="366" w:name="_Toc136869142"/>
      <w:bookmarkStart w:id="367" w:name="_Toc136869558"/>
      <w:bookmarkStart w:id="368" w:name="_Toc137216294"/>
      <w:r>
        <w:rPr>
          <w:rFonts w:hint="eastAsia" w:asciiTheme="minorEastAsia" w:hAnsiTheme="minorEastAsia" w:eastAsiaTheme="minorEastAsia"/>
          <w:sz w:val="24"/>
          <w:szCs w:val="24"/>
        </w:rPr>
        <w:t>6.2  市政、轨道交通工程特殊动力设备</w:t>
      </w:r>
      <w:bookmarkEnd w:id="364"/>
      <w:bookmarkEnd w:id="365"/>
      <w:bookmarkEnd w:id="366"/>
      <w:bookmarkEnd w:id="367"/>
      <w:bookmarkEnd w:id="368"/>
    </w:p>
    <w:p>
      <w:pPr>
        <w:pStyle w:val="4"/>
        <w:numPr>
          <w:ilvl w:val="0"/>
          <w:numId w:val="199"/>
        </w:numPr>
        <w:spacing w:before="120" w:beforeLines="50" w:after="120" w:afterLines="50"/>
        <w:rPr>
          <w:rFonts w:asciiTheme="minorEastAsia" w:hAnsiTheme="minorEastAsia" w:eastAsiaTheme="minorEastAsia"/>
          <w:sz w:val="21"/>
          <w:szCs w:val="21"/>
        </w:rPr>
      </w:pPr>
      <w:r>
        <w:t>I</w:t>
      </w:r>
      <w:r>
        <w:rPr>
          <w:rFonts w:hint="eastAsia" w:asciiTheme="minorEastAsia" w:hAnsiTheme="minorEastAsia" w:eastAsiaTheme="minorEastAsia"/>
          <w:sz w:val="21"/>
          <w:szCs w:val="21"/>
        </w:rPr>
        <w:t xml:space="preserve">  主控项目</w:t>
      </w:r>
    </w:p>
    <w:p>
      <w:pPr>
        <w:spacing w:line="360" w:lineRule="auto"/>
        <w:rPr>
          <w:rFonts w:asciiTheme="minorEastAsia" w:hAnsiTheme="minorEastAsia" w:eastAsiaTheme="minorEastAsia"/>
          <w:b/>
          <w:szCs w:val="21"/>
        </w:rPr>
      </w:pPr>
      <w:r>
        <w:rPr>
          <w:rFonts w:hint="eastAsia" w:ascii="宋体" w:hAnsi="宋体"/>
          <w:b/>
          <w:bCs/>
          <w:szCs w:val="21"/>
        </w:rPr>
        <w:t xml:space="preserve">6.2.1 </w:t>
      </w:r>
      <w:r>
        <w:rPr>
          <w:rFonts w:hint="eastAsia" w:ascii="宋体" w:hAnsi="宋体"/>
          <w:szCs w:val="21"/>
        </w:rPr>
        <w:t xml:space="preserve"> </w:t>
      </w:r>
      <w:r>
        <w:rPr>
          <w:rFonts w:hint="eastAsia" w:asciiTheme="minorEastAsia" w:hAnsiTheme="minorEastAsia" w:eastAsiaTheme="minorEastAsia"/>
          <w:szCs w:val="21"/>
        </w:rPr>
        <w:t>本条规定了变频器的安装要求。1变频器垂直安装有利于散热，变频器出风口上方加装保护网罩是为了防止异物落入。2横向排列安装有利于散热，在两台变频器之间加装隔板是避免下方变频器排出来的热风直接进入上方变频器内。3一般输入应接R、S、T端，输出应接U、V、W端，否则会在逆变管导通时引起相间短路，烧毁逆变管。4采用屏蔽线是为了抗干扰。</w:t>
      </w:r>
    </w:p>
    <w:p>
      <w:pPr>
        <w:spacing w:line="360" w:lineRule="auto"/>
        <w:rPr>
          <w:rFonts w:asciiTheme="minorEastAsia" w:hAnsiTheme="minorEastAsia" w:eastAsiaTheme="minorEastAsia"/>
          <w:szCs w:val="21"/>
        </w:rPr>
      </w:pPr>
      <w:r>
        <w:rPr>
          <w:rFonts w:hint="eastAsia" w:ascii="宋体" w:hAnsi="宋体"/>
          <w:b/>
          <w:bCs/>
          <w:szCs w:val="21"/>
        </w:rPr>
        <w:t xml:space="preserve">6.2.2 </w:t>
      </w:r>
      <w:r>
        <w:rPr>
          <w:rFonts w:hint="eastAsia" w:ascii="宋体" w:hAnsi="宋体"/>
          <w:szCs w:val="21"/>
        </w:rPr>
        <w:t xml:space="preserve"> </w:t>
      </w:r>
      <w:r>
        <w:rPr>
          <w:rFonts w:asciiTheme="minorEastAsia" w:hAnsiTheme="minorEastAsia" w:eastAsiaTheme="minorEastAsia"/>
          <w:szCs w:val="21"/>
        </w:rPr>
        <w:t>沼气发电机的安装应符合设备技术文件的要求和现行国家标准《建筑电气工程施工质量验收规范》GB</w:t>
      </w:r>
      <w:r>
        <w:rPr>
          <w:rFonts w:hint="eastAsia" w:asciiTheme="minorEastAsia" w:hAnsiTheme="minorEastAsia" w:eastAsiaTheme="minorEastAsia"/>
          <w:szCs w:val="21"/>
        </w:rPr>
        <w:t xml:space="preserve"> 50303的有关规定。沼气拖动鼓风机的连接管路及闸阀应严密，不得有漏气现象。设备的防爆安装应符合设备技术文件的要求和现行国家标准《爆炸性气体环境用电气设备  </w:t>
      </w:r>
      <w:r>
        <w:rPr>
          <w:rFonts w:hint="eastAsia" w:ascii="宋体" w:hAnsi="宋体" w:cs="宋体"/>
          <w:szCs w:val="21"/>
        </w:rPr>
        <w:t>第</w:t>
      </w:r>
      <w:r>
        <w:rPr>
          <w:rFonts w:hint="eastAsia" w:asciiTheme="minorEastAsia" w:hAnsiTheme="minorEastAsia" w:eastAsiaTheme="minorEastAsia"/>
          <w:szCs w:val="21"/>
        </w:rPr>
        <w:t>15部分：危险场所电气安装</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煤矿除外）》GB 3836.15的有关规定。</w:t>
      </w:r>
    </w:p>
    <w:p>
      <w:pPr>
        <w:spacing w:line="360" w:lineRule="auto"/>
        <w:rPr>
          <w:rFonts w:asciiTheme="minorEastAsia" w:hAnsiTheme="minorEastAsia" w:eastAsiaTheme="minorEastAsia"/>
          <w:b/>
          <w:szCs w:val="21"/>
        </w:rPr>
      </w:pPr>
      <w:r>
        <w:rPr>
          <w:rFonts w:hint="eastAsia" w:ascii="宋体" w:hAnsi="宋体"/>
          <w:b/>
          <w:bCs/>
          <w:szCs w:val="21"/>
        </w:rPr>
        <w:t xml:space="preserve">6.2.3  </w:t>
      </w:r>
      <w:r>
        <w:rPr>
          <w:rFonts w:asciiTheme="minorEastAsia" w:hAnsiTheme="minorEastAsia" w:eastAsiaTheme="minorEastAsia"/>
          <w:szCs w:val="21"/>
        </w:rPr>
        <w:t>本条是起重机上配电屏、柜安装的一般规定。户外式防雨装置应安装牢固。</w:t>
      </w:r>
    </w:p>
    <w:p>
      <w:pPr>
        <w:pStyle w:val="41"/>
        <w:spacing w:line="360" w:lineRule="auto"/>
        <w:ind w:firstLine="0" w:firstLineChars="0"/>
        <w:rPr>
          <w:rFonts w:cs="宋体" w:asciiTheme="minorEastAsia" w:hAnsiTheme="minorEastAsia" w:eastAsiaTheme="minorEastAsia"/>
          <w:b/>
          <w:kern w:val="0"/>
          <w:szCs w:val="21"/>
        </w:rPr>
      </w:pPr>
      <w:r>
        <w:rPr>
          <w:rFonts w:hint="eastAsia" w:ascii="宋体" w:hAnsi="宋体"/>
          <w:b/>
          <w:bCs/>
          <w:szCs w:val="21"/>
        </w:rPr>
        <w:t xml:space="preserve">6.2.4 </w:t>
      </w:r>
      <w:r>
        <w:rPr>
          <w:rFonts w:hint="eastAsia" w:ascii="宋体" w:hAnsi="宋体"/>
          <w:szCs w:val="21"/>
        </w:rPr>
        <w:t xml:space="preserve"> </w:t>
      </w:r>
      <w:r>
        <w:rPr>
          <w:rFonts w:hint="eastAsia" w:asciiTheme="minorEastAsia" w:hAnsiTheme="minorEastAsia" w:eastAsiaTheme="minorEastAsia"/>
          <w:szCs w:val="21"/>
        </w:rPr>
        <w:t>本条说明变电所基础安装方法及检验方法</w:t>
      </w:r>
      <w:r>
        <w:rPr>
          <w:rFonts w:hint="eastAsia" w:cs="宋体" w:asciiTheme="minorEastAsia" w:hAnsiTheme="minorEastAsia" w:eastAsiaTheme="minorEastAsia"/>
          <w:b/>
          <w:kern w:val="0"/>
          <w:szCs w:val="21"/>
        </w:rPr>
        <w:t>。</w:t>
      </w:r>
    </w:p>
    <w:p>
      <w:pPr>
        <w:pStyle w:val="41"/>
        <w:spacing w:line="360" w:lineRule="auto"/>
        <w:ind w:firstLine="0" w:firstLineChars="0"/>
        <w:rPr>
          <w:rFonts w:cs="宋体" w:asciiTheme="minorEastAsia" w:hAnsiTheme="minorEastAsia" w:eastAsiaTheme="minorEastAsia"/>
          <w:b/>
          <w:kern w:val="0"/>
          <w:szCs w:val="21"/>
        </w:rPr>
      </w:pPr>
      <w:r>
        <w:rPr>
          <w:rFonts w:hint="eastAsia" w:ascii="宋体" w:hAnsi="宋体"/>
          <w:b/>
          <w:bCs/>
          <w:szCs w:val="21"/>
        </w:rPr>
        <w:t xml:space="preserve">6.2.7 </w:t>
      </w:r>
      <w:r>
        <w:rPr>
          <w:rFonts w:hint="eastAsia" w:ascii="宋体" w:hAnsi="宋体"/>
          <w:szCs w:val="21"/>
        </w:rPr>
        <w:t xml:space="preserve"> </w:t>
      </w:r>
      <w:r>
        <w:rPr>
          <w:rFonts w:hint="eastAsia" w:asciiTheme="minorEastAsia" w:hAnsiTheme="minorEastAsia" w:eastAsiaTheme="minorEastAsia"/>
          <w:szCs w:val="21"/>
        </w:rPr>
        <w:t>本条说明整流器安装的规定及检验方法</w:t>
      </w:r>
      <w:r>
        <w:rPr>
          <w:rFonts w:hint="eastAsia" w:cs="宋体" w:asciiTheme="minorEastAsia" w:hAnsiTheme="minorEastAsia" w:eastAsiaTheme="minorEastAsia"/>
          <w:b/>
          <w:kern w:val="0"/>
          <w:szCs w:val="21"/>
        </w:rPr>
        <w:t>。</w:t>
      </w:r>
    </w:p>
    <w:p>
      <w:pPr>
        <w:pStyle w:val="41"/>
        <w:spacing w:line="360" w:lineRule="auto"/>
        <w:ind w:firstLine="0" w:firstLineChars="0"/>
        <w:rPr>
          <w:rFonts w:cs="宋体" w:asciiTheme="minorEastAsia" w:hAnsiTheme="minorEastAsia" w:eastAsiaTheme="minorEastAsia"/>
          <w:b/>
          <w:kern w:val="0"/>
          <w:szCs w:val="21"/>
        </w:rPr>
      </w:pPr>
      <w:r>
        <w:rPr>
          <w:rFonts w:hint="eastAsia" w:ascii="宋体" w:hAnsi="宋体"/>
          <w:b/>
          <w:bCs/>
          <w:szCs w:val="21"/>
        </w:rPr>
        <w:t xml:space="preserve">6.2.8 </w:t>
      </w:r>
      <w:r>
        <w:rPr>
          <w:rFonts w:hint="eastAsia" w:ascii="宋体" w:hAnsi="宋体"/>
          <w:szCs w:val="21"/>
        </w:rPr>
        <w:t xml:space="preserve"> </w:t>
      </w:r>
      <w:r>
        <w:rPr>
          <w:rFonts w:hint="eastAsia" w:asciiTheme="minorEastAsia" w:hAnsiTheme="minorEastAsia" w:eastAsiaTheme="minorEastAsia"/>
          <w:szCs w:val="21"/>
        </w:rPr>
        <w:t>本条为10 kv开关柜安装及检验方法</w:t>
      </w:r>
      <w:r>
        <w:rPr>
          <w:rFonts w:hint="eastAsia" w:cs="宋体" w:asciiTheme="minorEastAsia" w:hAnsiTheme="minorEastAsia" w:eastAsiaTheme="minorEastAsia"/>
          <w:b/>
          <w:kern w:val="0"/>
          <w:szCs w:val="21"/>
        </w:rPr>
        <w:t>。</w:t>
      </w:r>
    </w:p>
    <w:p>
      <w:pPr>
        <w:pStyle w:val="4"/>
        <w:numPr>
          <w:ilvl w:val="0"/>
          <w:numId w:val="199"/>
        </w:numPr>
        <w:spacing w:before="120" w:beforeLines="50" w:after="120" w:afterLines="50"/>
        <w:rPr>
          <w:rFonts w:asciiTheme="minorEastAsia" w:hAnsiTheme="minorEastAsia" w:eastAsiaTheme="minorEastAsia"/>
          <w:sz w:val="21"/>
          <w:szCs w:val="21"/>
        </w:rPr>
      </w:pPr>
      <w:r>
        <w:t>Ⅱ</w:t>
      </w:r>
      <w:r>
        <w:rPr>
          <w:rFonts w:hint="eastAsia" w:asciiTheme="minorEastAsia" w:hAnsiTheme="minorEastAsia" w:eastAsiaTheme="minorEastAsia"/>
          <w:sz w:val="21"/>
          <w:szCs w:val="21"/>
        </w:rPr>
        <w:t xml:space="preserve">  一般项目</w:t>
      </w:r>
    </w:p>
    <w:p>
      <w:pPr>
        <w:spacing w:line="360" w:lineRule="auto"/>
        <w:rPr>
          <w:rFonts w:ascii="宋体" w:hAnsi="宋体"/>
          <w:b/>
          <w:szCs w:val="21"/>
        </w:rPr>
      </w:pPr>
      <w:r>
        <w:rPr>
          <w:rFonts w:hint="eastAsia" w:ascii="宋体" w:hAnsi="宋体"/>
          <w:b/>
          <w:bCs/>
          <w:szCs w:val="21"/>
        </w:rPr>
        <w:t>6.2.9</w:t>
      </w:r>
      <w:r>
        <w:rPr>
          <w:rFonts w:hint="eastAsia" w:ascii="宋体" w:hAnsi="宋体"/>
          <w:szCs w:val="21"/>
        </w:rPr>
        <w:t xml:space="preserve"> </w:t>
      </w:r>
      <w:r>
        <w:rPr>
          <w:rFonts w:hint="eastAsia" w:ascii="宋体" w:hAnsi="宋体"/>
          <w:b/>
          <w:bCs/>
          <w:szCs w:val="21"/>
        </w:rPr>
        <w:t xml:space="preserve"> </w:t>
      </w:r>
      <w:r>
        <w:rPr>
          <w:rFonts w:hint="eastAsia" w:ascii="宋体" w:hAnsi="宋体"/>
          <w:szCs w:val="21"/>
        </w:rPr>
        <w:t>本条规定设备的允许偏差和检验方法。</w:t>
      </w:r>
    </w:p>
    <w:p>
      <w:pPr>
        <w:spacing w:line="360" w:lineRule="auto"/>
        <w:rPr>
          <w:szCs w:val="21"/>
        </w:rPr>
      </w:pPr>
      <w:r>
        <w:rPr>
          <w:rFonts w:hint="eastAsia" w:ascii="宋体" w:hAnsi="宋体"/>
          <w:b/>
          <w:bCs/>
          <w:szCs w:val="21"/>
        </w:rPr>
        <w:t xml:space="preserve">6.2.10  </w:t>
      </w:r>
      <w:r>
        <w:rPr>
          <w:rFonts w:hint="eastAsia"/>
          <w:szCs w:val="21"/>
        </w:rPr>
        <w:t>确保司机室与起重机本体有可靠的电气通路，以保证起重机操作人员的生命安全。确保起重机接地的可靠性，以保证施工人员的生命安全。</w:t>
      </w:r>
    </w:p>
    <w:p>
      <w:pPr>
        <w:spacing w:line="360" w:lineRule="auto"/>
        <w:rPr>
          <w:rFonts w:ascii="宋体" w:hAnsi="宋体"/>
          <w:szCs w:val="21"/>
        </w:rPr>
      </w:pPr>
      <w:r>
        <w:rPr>
          <w:rFonts w:hint="eastAsia" w:ascii="宋体" w:hAnsi="宋体"/>
          <w:b/>
          <w:bCs/>
          <w:szCs w:val="21"/>
        </w:rPr>
        <w:t xml:space="preserve">6.2.11 </w:t>
      </w:r>
      <w:r>
        <w:rPr>
          <w:rFonts w:hint="eastAsia" w:ascii="宋体" w:hAnsi="宋体"/>
          <w:szCs w:val="21"/>
        </w:rPr>
        <w:t xml:space="preserve"> 400 V柜的安装一般用基础型钢作底座。基础型钢首先要核实柜基础的设计尺寸是否与厂家尺寸相符，顶部高出地面部分尺寸需满足设备柜门的开启顺畅，同时需考虑绝缘垫的高度。</w:t>
      </w:r>
    </w:p>
    <w:p>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369" w:name="_Toc137216295"/>
      <w:bookmarkStart w:id="370" w:name="_Toc137203445"/>
      <w:bookmarkStart w:id="371" w:name="_Toc136869559"/>
      <w:bookmarkStart w:id="372" w:name="_Toc135299527"/>
      <w:bookmarkStart w:id="373" w:name="_Toc136869143"/>
      <w:r>
        <w:rPr>
          <w:rFonts w:hint="eastAsia" w:asciiTheme="minorEastAsia" w:hAnsiTheme="minorEastAsia" w:eastAsiaTheme="minorEastAsia"/>
          <w:sz w:val="24"/>
          <w:szCs w:val="24"/>
        </w:rPr>
        <w:t>6.3  消防设备安装</w:t>
      </w:r>
      <w:bookmarkEnd w:id="369"/>
      <w:bookmarkEnd w:id="370"/>
      <w:bookmarkEnd w:id="371"/>
      <w:bookmarkEnd w:id="372"/>
      <w:bookmarkEnd w:id="373"/>
    </w:p>
    <w:p>
      <w:pPr>
        <w:pStyle w:val="4"/>
        <w:numPr>
          <w:ilvl w:val="0"/>
          <w:numId w:val="199"/>
        </w:numPr>
        <w:spacing w:before="120" w:beforeLines="50" w:after="120" w:afterLines="50"/>
        <w:rPr>
          <w:rFonts w:asciiTheme="minorEastAsia" w:hAnsiTheme="minorEastAsia" w:eastAsiaTheme="minorEastAsia"/>
          <w:sz w:val="21"/>
          <w:szCs w:val="21"/>
        </w:rPr>
      </w:pPr>
      <w:r>
        <w:t>I</w:t>
      </w:r>
      <w:r>
        <w:rPr>
          <w:rFonts w:hint="eastAsia" w:asciiTheme="minorEastAsia" w:hAnsiTheme="minorEastAsia" w:eastAsiaTheme="minorEastAsia"/>
          <w:sz w:val="21"/>
          <w:szCs w:val="21"/>
        </w:rPr>
        <w:t xml:space="preserve">  主控项目</w:t>
      </w:r>
    </w:p>
    <w:p>
      <w:pPr>
        <w:spacing w:line="360" w:lineRule="auto"/>
        <w:rPr>
          <w:rFonts w:asciiTheme="minorEastAsia" w:hAnsiTheme="minorEastAsia" w:eastAsiaTheme="minorEastAsia"/>
          <w:szCs w:val="21"/>
        </w:rPr>
      </w:pPr>
      <w:r>
        <w:rPr>
          <w:rFonts w:hint="eastAsia" w:ascii="宋体" w:hAnsi="宋体" w:cs="宋体"/>
          <w:b/>
          <w:bCs/>
          <w:szCs w:val="21"/>
        </w:rPr>
        <w:t xml:space="preserve">6.3.1  </w:t>
      </w:r>
      <w:r>
        <w:rPr>
          <w:rFonts w:hint="eastAsia" w:asciiTheme="minorEastAsia" w:hAnsiTheme="minorEastAsia" w:eastAsiaTheme="minorEastAsia"/>
          <w:szCs w:val="21"/>
        </w:rPr>
        <w:t>按消防设备通常要求，控制器的主电源应与消防电源连接，不应用插头连接，有利于消防设备的安全运行，也为了防止用户经常拔掉插头做他用。</w:t>
      </w:r>
    </w:p>
    <w:p>
      <w:pPr>
        <w:spacing w:line="360" w:lineRule="auto"/>
        <w:rPr>
          <w:rFonts w:asciiTheme="minorEastAsia" w:hAnsiTheme="minorEastAsia" w:eastAsiaTheme="minorEastAsia"/>
          <w:szCs w:val="21"/>
        </w:rPr>
      </w:pPr>
      <w:r>
        <w:rPr>
          <w:rFonts w:hint="eastAsia" w:ascii="宋体" w:hAnsi="宋体" w:cs="宋体"/>
          <w:b/>
          <w:bCs/>
          <w:szCs w:val="21"/>
        </w:rPr>
        <w:t xml:space="preserve">6.3.2  </w:t>
      </w:r>
      <w:r>
        <w:rPr>
          <w:rFonts w:hint="eastAsia" w:asciiTheme="minorEastAsia" w:hAnsiTheme="minorEastAsia" w:eastAsiaTheme="minorEastAsia"/>
          <w:szCs w:val="21"/>
        </w:rPr>
        <w:t>剩余电流式电气火灾探测器用于检测供电线路的对地泄漏电流值，安装不当容易误报警。</w:t>
      </w:r>
    </w:p>
    <w:p>
      <w:pPr>
        <w:spacing w:line="360" w:lineRule="auto"/>
        <w:rPr>
          <w:rFonts w:asciiTheme="minorEastAsia" w:hAnsiTheme="minorEastAsia" w:eastAsiaTheme="minorEastAsia"/>
          <w:bCs/>
          <w:szCs w:val="21"/>
        </w:rPr>
      </w:pPr>
      <w:r>
        <w:rPr>
          <w:rFonts w:hint="eastAsia" w:ascii="宋体" w:hAnsi="宋体" w:cs="宋体"/>
          <w:b/>
          <w:bCs/>
          <w:szCs w:val="21"/>
        </w:rPr>
        <w:t xml:space="preserve">6.3.3  </w:t>
      </w:r>
      <w:r>
        <w:rPr>
          <w:rFonts w:hint="eastAsia" w:asciiTheme="minorEastAsia" w:hAnsiTheme="minorEastAsia" w:eastAsiaTheme="minorEastAsia"/>
          <w:bCs/>
          <w:szCs w:val="21"/>
        </w:rPr>
        <w:t>探测器底座安装应牢固，以免工程完工后出现脱落现象影响使用。焊接应用无腐蚀性的助焊剂，否则接头处腐蚀脱开会增加线路电阻，影响正常报警。封堵的</w:t>
      </w:r>
      <w:r>
        <w:rPr>
          <w:rFonts w:hint="eastAsia" w:asciiTheme="minorEastAsia" w:hAnsiTheme="minorEastAsia" w:eastAsiaTheme="minorEastAsia"/>
          <w:bCs/>
          <w:color w:val="000000"/>
          <w:szCs w:val="21"/>
        </w:rPr>
        <w:t>目的是</w:t>
      </w:r>
      <w:r>
        <w:rPr>
          <w:rFonts w:hint="eastAsia" w:asciiTheme="minorEastAsia" w:hAnsiTheme="minorEastAsia" w:eastAsiaTheme="minorEastAsia"/>
          <w:bCs/>
          <w:szCs w:val="21"/>
        </w:rPr>
        <w:t>防止潮气、灰尘进管，影响绝缘。底座安装完毕后采取保护措施的目的是避免因施工时各工种交叉进行而损坏底座。为满足本条要求，有些制造厂的产品自备保护部件，在无自备保护部件时，尤其强调满足本条要求。</w:t>
      </w:r>
    </w:p>
    <w:p>
      <w:pPr>
        <w:spacing w:line="360" w:lineRule="auto"/>
        <w:rPr>
          <w:rFonts w:asciiTheme="minorEastAsia" w:hAnsiTheme="minorEastAsia" w:eastAsiaTheme="minorEastAsia"/>
          <w:b/>
          <w:bCs/>
          <w:szCs w:val="21"/>
        </w:rPr>
      </w:pPr>
      <w:r>
        <w:rPr>
          <w:rFonts w:hint="eastAsia" w:ascii="宋体" w:hAnsi="宋体" w:cs="宋体"/>
          <w:b/>
          <w:bCs/>
          <w:szCs w:val="21"/>
        </w:rPr>
        <w:t xml:space="preserve">6.3.4  </w:t>
      </w:r>
      <w:r>
        <w:rPr>
          <w:rFonts w:hint="eastAsia" w:asciiTheme="minorEastAsia" w:hAnsiTheme="minorEastAsia" w:eastAsiaTheme="minorEastAsia"/>
          <w:szCs w:val="21"/>
        </w:rPr>
        <w:t>手动火灾报警按钮的安装要求已在现行国家标准《火灾自动报警系统设计规范》GB 50116-2013的第6.3节中进行了规定，因此手动火灾报警按钮、消火栓按钮、手动控制装置、手动与自动转换装置、现场启动和停止按钮的安装应符合该规范和设计文件的规定。</w:t>
      </w:r>
    </w:p>
    <w:p>
      <w:pPr>
        <w:pStyle w:val="4"/>
        <w:numPr>
          <w:ilvl w:val="0"/>
          <w:numId w:val="199"/>
        </w:numPr>
        <w:spacing w:before="120" w:beforeLines="50" w:after="120" w:afterLines="5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r>
        <w:t>Ⅱ</w:t>
      </w:r>
      <w:r>
        <w:rPr>
          <w:rFonts w:hint="eastAsia" w:asciiTheme="minorEastAsia" w:hAnsiTheme="minorEastAsia" w:eastAsiaTheme="minorEastAsia"/>
          <w:sz w:val="21"/>
          <w:szCs w:val="21"/>
        </w:rPr>
        <w:t xml:space="preserve">  一般项目</w:t>
      </w:r>
    </w:p>
    <w:p>
      <w:pPr>
        <w:spacing w:line="360" w:lineRule="auto"/>
        <w:rPr>
          <w:rFonts w:asciiTheme="minorEastAsia" w:hAnsiTheme="minorEastAsia" w:eastAsiaTheme="minorEastAsia"/>
          <w:szCs w:val="21"/>
        </w:rPr>
      </w:pPr>
      <w:r>
        <w:rPr>
          <w:rFonts w:hint="eastAsia" w:ascii="宋体" w:hAnsi="宋体" w:cs="宋体"/>
          <w:b/>
          <w:bCs/>
          <w:szCs w:val="21"/>
        </w:rPr>
        <w:t xml:space="preserve">6.3.5  </w:t>
      </w:r>
      <w:r>
        <w:rPr>
          <w:rFonts w:hint="eastAsia" w:asciiTheme="minorEastAsia" w:hAnsiTheme="minorEastAsia" w:eastAsiaTheme="minorEastAsia"/>
          <w:szCs w:val="21"/>
        </w:rPr>
        <w:t>安装要求已经在现行国家标准《火灾自动报警系统设计规范》GB50116-2013中的第6.1.3条进行了规定，因此控制和显示类设备的安装要求应符合设计文件。其中控制和显示类设备包括火灾报警控制器、火灾报警控制器</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联动型）、消防联动控制器、气体灭火控制器、消防电气控制装置、消防设备应急电源、消防应急广播设备、消防电话主机、消防控制室图形显示装置、传输设备、电气火灾监控设备等。控制器要求安装牢固，不得倾斜，其</w:t>
      </w:r>
      <w:r>
        <w:rPr>
          <w:rFonts w:hint="eastAsia" w:asciiTheme="minorEastAsia" w:hAnsiTheme="minorEastAsia" w:eastAsiaTheme="minorEastAsia"/>
          <w:color w:val="000000"/>
          <w:szCs w:val="21"/>
        </w:rPr>
        <w:t>目的是</w:t>
      </w:r>
      <w:r>
        <w:rPr>
          <w:rFonts w:hint="eastAsia" w:asciiTheme="minorEastAsia" w:hAnsiTheme="minorEastAsia" w:eastAsiaTheme="minorEastAsia"/>
          <w:szCs w:val="21"/>
        </w:rPr>
        <w:t>美观和避免运行时因墙不坚固而脱落影响使用。</w:t>
      </w:r>
    </w:p>
    <w:p>
      <w:pPr>
        <w:spacing w:line="360" w:lineRule="auto"/>
        <w:rPr>
          <w:rFonts w:asciiTheme="minorEastAsia" w:hAnsiTheme="minorEastAsia" w:eastAsiaTheme="minorEastAsia"/>
          <w:szCs w:val="21"/>
        </w:rPr>
      </w:pPr>
      <w:r>
        <w:rPr>
          <w:rFonts w:hint="eastAsia" w:ascii="宋体" w:hAnsi="宋体" w:cs="宋体"/>
          <w:b/>
          <w:bCs/>
          <w:szCs w:val="21"/>
        </w:rPr>
        <w:t xml:space="preserve">6.3.6  </w:t>
      </w:r>
      <w:r>
        <w:rPr>
          <w:rFonts w:hint="eastAsia" w:asciiTheme="minorEastAsia" w:hAnsiTheme="minorEastAsia" w:eastAsiaTheme="minorEastAsia"/>
          <w:szCs w:val="21"/>
        </w:rPr>
        <w:t>从一些竣工工程的情况看，有不少工程控制器的外接线很乱，端子上的线并接太多，又无端子号，很不规范，故制定此条，以便于维修。</w:t>
      </w:r>
    </w:p>
    <w:p>
      <w:pPr>
        <w:spacing w:line="360" w:lineRule="auto"/>
        <w:rPr>
          <w:rFonts w:asciiTheme="minorEastAsia" w:hAnsiTheme="minorEastAsia" w:eastAsiaTheme="minorEastAsia"/>
          <w:szCs w:val="21"/>
        </w:rPr>
      </w:pPr>
      <w:r>
        <w:rPr>
          <w:rFonts w:hint="eastAsia" w:ascii="宋体" w:hAnsi="宋体" w:cs="宋体"/>
          <w:b/>
          <w:bCs/>
          <w:szCs w:val="21"/>
        </w:rPr>
        <w:t xml:space="preserve">6.3.7  </w:t>
      </w:r>
      <w:r>
        <w:rPr>
          <w:rFonts w:hint="eastAsia" w:asciiTheme="minorEastAsia" w:hAnsiTheme="minorEastAsia" w:eastAsiaTheme="minorEastAsia"/>
          <w:szCs w:val="21"/>
        </w:rPr>
        <w:t>控制器的接地是系统正常与安全可靠运行的保证，由于接地不牢固往往造成系统误报或发生其他不正常现象，所以控制器的接地必须牢固。</w:t>
      </w:r>
    </w:p>
    <w:p>
      <w:pPr>
        <w:spacing w:line="360" w:lineRule="auto"/>
        <w:rPr>
          <w:rFonts w:asciiTheme="minorEastAsia" w:hAnsiTheme="minorEastAsia" w:eastAsiaTheme="minorEastAsia"/>
          <w:szCs w:val="21"/>
        </w:rPr>
      </w:pPr>
      <w:r>
        <w:rPr>
          <w:rFonts w:hint="eastAsia" w:ascii="宋体" w:hAnsi="宋体" w:cs="宋体"/>
          <w:b/>
          <w:bCs/>
          <w:szCs w:val="21"/>
        </w:rPr>
        <w:t xml:space="preserve">6.3.8  </w:t>
      </w:r>
      <w:r>
        <w:rPr>
          <w:rFonts w:hint="eastAsia" w:asciiTheme="minorEastAsia" w:hAnsiTheme="minorEastAsia" w:eastAsiaTheme="minorEastAsia"/>
          <w:szCs w:val="21"/>
        </w:rPr>
        <w:t>线型感温火灾探测器根据敏感部件的类型不同可分为缆式、分布式光纤、光纤光栅、线式多点型，探测器由敏感部件和与其相连的信号处理单元等部分组成。敏感部件应采用感温电缆、感温光纤、光纤光栅形式或点式感温元件及其接续部件，接续部件应为接线盒、终端盒。本条规定规范了线型差温火灾探测器敏感部件的安装要求，以确保其温度探测的可靠性。</w:t>
      </w:r>
    </w:p>
    <w:p>
      <w:pPr>
        <w:spacing w:line="360" w:lineRule="auto"/>
        <w:rPr>
          <w:rFonts w:asciiTheme="minorEastAsia" w:hAnsiTheme="minorEastAsia" w:eastAsiaTheme="minorEastAsia"/>
          <w:szCs w:val="21"/>
        </w:rPr>
      </w:pPr>
      <w:r>
        <w:rPr>
          <w:rFonts w:hint="eastAsia" w:ascii="宋体" w:hAnsi="宋体" w:cs="宋体"/>
          <w:b/>
          <w:bCs/>
          <w:szCs w:val="21"/>
        </w:rPr>
        <w:t xml:space="preserve">6.3.9  </w:t>
      </w:r>
      <w:r>
        <w:rPr>
          <w:rFonts w:hint="eastAsia" w:asciiTheme="minorEastAsia" w:hAnsiTheme="minorEastAsia" w:eastAsiaTheme="minorEastAsia"/>
          <w:szCs w:val="21"/>
        </w:rPr>
        <w:t>可燃气体探测器的安装位置很重要，应与探测气体的比重对应。可燃气体探测器的气敏元件有一定的寿命周期，需要定期进行标定，如果标定不合格则需要更换探测器，因此可燃气体探测器的安装应安排适当的作业空间。线型可燃气体探测器采用光学原理进行探测，如果日光直射发射器和接收器容易误报警。</w:t>
      </w:r>
    </w:p>
    <w:p>
      <w:pPr>
        <w:spacing w:line="360" w:lineRule="auto"/>
        <w:rPr>
          <w:rFonts w:asciiTheme="minorEastAsia" w:hAnsiTheme="minorEastAsia" w:eastAsiaTheme="minorEastAsia"/>
          <w:szCs w:val="21"/>
        </w:rPr>
      </w:pPr>
      <w:r>
        <w:rPr>
          <w:rFonts w:hint="eastAsia" w:ascii="宋体" w:hAnsi="宋体" w:cs="宋体"/>
          <w:b/>
          <w:bCs/>
          <w:szCs w:val="21"/>
        </w:rPr>
        <w:t xml:space="preserve">6.3.10  </w:t>
      </w:r>
      <w:r>
        <w:rPr>
          <w:rFonts w:hint="eastAsia" w:asciiTheme="minorEastAsia" w:hAnsiTheme="minorEastAsia" w:eastAsiaTheme="minorEastAsia"/>
          <w:szCs w:val="21"/>
        </w:rPr>
        <w:t>探测器报警确认灯面向便于人员观察的主要入口，是为了让值班人员能迅速找到哪只探测器报警，便于及时处理事故。</w:t>
      </w:r>
    </w:p>
    <w:p>
      <w:pPr>
        <w:spacing w:line="360" w:lineRule="auto"/>
        <w:rPr>
          <w:rFonts w:asciiTheme="minorEastAsia" w:hAnsiTheme="minorEastAsia" w:eastAsiaTheme="minorEastAsia"/>
          <w:szCs w:val="21"/>
        </w:rPr>
      </w:pPr>
      <w:r>
        <w:rPr>
          <w:rFonts w:hint="eastAsia" w:ascii="宋体" w:hAnsi="宋体" w:cs="宋体"/>
          <w:b/>
          <w:bCs/>
          <w:szCs w:val="21"/>
        </w:rPr>
        <w:t xml:space="preserve">6.3.11  </w:t>
      </w:r>
      <w:r>
        <w:rPr>
          <w:rFonts w:hint="eastAsia" w:asciiTheme="minorEastAsia" w:hAnsiTheme="minorEastAsia" w:eastAsiaTheme="minorEastAsia"/>
          <w:szCs w:val="21"/>
        </w:rPr>
        <w:t>探测器在调试时方可安装，是因为提前安装易在别的工种施工时被破坏，另外，施工现场未完工，灰尘及水汽易使探测器误报或损坏。探测器在安装前应妥善保管，从一些工程中发现，由于保管不善，造成探测器的不合格现象经常发生。</w:t>
      </w:r>
    </w:p>
    <w:p>
      <w:pPr>
        <w:spacing w:line="360" w:lineRule="auto"/>
        <w:rPr>
          <w:rFonts w:asciiTheme="minorEastAsia" w:hAnsiTheme="minorEastAsia" w:eastAsiaTheme="minorEastAsia"/>
          <w:szCs w:val="21"/>
        </w:rPr>
      </w:pPr>
      <w:r>
        <w:rPr>
          <w:rFonts w:hint="eastAsia" w:ascii="宋体" w:hAnsi="宋体" w:cs="宋体"/>
          <w:b/>
          <w:bCs/>
          <w:szCs w:val="21"/>
        </w:rPr>
        <w:t xml:space="preserve">6.3.12  </w:t>
      </w:r>
      <w:r>
        <w:rPr>
          <w:rFonts w:hint="eastAsia" w:asciiTheme="minorEastAsia" w:hAnsiTheme="minorEastAsia" w:eastAsiaTheme="minorEastAsia"/>
          <w:szCs w:val="21"/>
        </w:rPr>
        <w:t>模块安装要求已在现行国家标准《火灾自动报警系统设计规范》GB 50116-2013的第6.8节中进行了规定，因此安装应符合该规范和设计文件的规定。部分模块的生产企业在模块安装时需要连接终端部件。模块的终端部件一般指与模块匹配的终端电阻等部件，该部件一般用于检测模块与连接部件连线的短路、</w:t>
      </w:r>
      <w:r>
        <w:rPr>
          <w:rFonts w:hint="eastAsia" w:asciiTheme="minorEastAsia" w:hAnsiTheme="minorEastAsia" w:eastAsiaTheme="minorEastAsia"/>
          <w:color w:val="000000"/>
          <w:szCs w:val="21"/>
        </w:rPr>
        <w:t>断路</w:t>
      </w:r>
      <w:r>
        <w:rPr>
          <w:rFonts w:hint="eastAsia" w:asciiTheme="minorEastAsia" w:hAnsiTheme="minorEastAsia" w:eastAsiaTheme="minorEastAsia"/>
          <w:szCs w:val="21"/>
        </w:rPr>
        <w:t>，因此靠近连接部件安装才能有效检测模块与连接部件之间连线的实际情况。</w:t>
      </w:r>
    </w:p>
    <w:p>
      <w:pPr>
        <w:spacing w:line="360" w:lineRule="auto"/>
        <w:rPr>
          <w:rFonts w:asciiTheme="minorEastAsia" w:hAnsiTheme="minorEastAsia" w:eastAsiaTheme="minorEastAsia"/>
          <w:szCs w:val="21"/>
        </w:rPr>
      </w:pPr>
      <w:r>
        <w:rPr>
          <w:rFonts w:hint="eastAsia" w:ascii="宋体" w:hAnsi="宋体" w:cs="宋体"/>
          <w:b/>
          <w:bCs/>
          <w:szCs w:val="21"/>
        </w:rPr>
        <w:t xml:space="preserve">6.3.13  </w:t>
      </w:r>
      <w:r>
        <w:rPr>
          <w:rFonts w:hint="eastAsia" w:asciiTheme="minorEastAsia" w:hAnsiTheme="minorEastAsia" w:eastAsiaTheme="minorEastAsia"/>
          <w:szCs w:val="21"/>
        </w:rPr>
        <w:t>消防电话安装要求已在现行国家标准《火灾自动报警系统设计规范》GB 50116-2013的第6.7节中进行了规定，因此安装应符合该规范和设计文件的规定。消防电话分机和电话插孔安装处应有明显的永久性标志，主要是为了在火灾时能及时找到。部分消防栓按钮的生产企业将消防电话插孔和消火栓按钮</w:t>
      </w:r>
      <w:r>
        <w:rPr>
          <w:rFonts w:hint="eastAsia" w:asciiTheme="minorEastAsia" w:hAnsiTheme="minorEastAsia" w:eastAsiaTheme="minorEastAsia"/>
          <w:color w:val="000000"/>
          <w:szCs w:val="21"/>
        </w:rPr>
        <w:t>作</w:t>
      </w:r>
      <w:r>
        <w:rPr>
          <w:rFonts w:hint="eastAsia" w:asciiTheme="minorEastAsia" w:hAnsiTheme="minorEastAsia" w:eastAsiaTheme="minorEastAsia"/>
          <w:szCs w:val="21"/>
        </w:rPr>
        <w:t>为一体，而消火栓按钮在安装时经常设置在消火栓箱内，因此消防电话在使用时容易受到消火栓工作的影响，因此消防电话插孔不应设置在消火栓箱内。</w:t>
      </w:r>
    </w:p>
    <w:p>
      <w:pPr>
        <w:spacing w:line="360" w:lineRule="auto"/>
        <w:rPr>
          <w:rFonts w:asciiTheme="minorEastAsia" w:hAnsiTheme="minorEastAsia" w:eastAsiaTheme="minorEastAsia"/>
          <w:szCs w:val="21"/>
        </w:rPr>
      </w:pPr>
      <w:r>
        <w:rPr>
          <w:rFonts w:hint="eastAsia" w:ascii="宋体" w:hAnsi="宋体" w:cs="宋体"/>
          <w:b/>
          <w:bCs/>
          <w:szCs w:val="21"/>
        </w:rPr>
        <w:t xml:space="preserve">6.3.14  </w:t>
      </w:r>
      <w:r>
        <w:rPr>
          <w:rFonts w:hint="eastAsia" w:asciiTheme="minorEastAsia" w:hAnsiTheme="minorEastAsia" w:eastAsiaTheme="minorEastAsia"/>
          <w:szCs w:val="21"/>
        </w:rPr>
        <w:t>消防应急广播扬声器、火灾警报器、喷洒光警报器、气体灭火系统手动与自动控制状态显示装置的安装要求已在现行国家标准《火灾自动报警系统设计规范》GB 50116-2013的第6.5节和第6.6节中进行了规定，因此应符合该规范和设计文件的要求。</w:t>
      </w:r>
    </w:p>
    <w:p>
      <w:pPr>
        <w:spacing w:line="360" w:lineRule="auto"/>
        <w:rPr>
          <w:rFonts w:asciiTheme="minorEastAsia" w:hAnsiTheme="minorEastAsia" w:eastAsiaTheme="minorEastAsia"/>
          <w:szCs w:val="21"/>
        </w:rPr>
      </w:pPr>
      <w:r>
        <w:rPr>
          <w:rFonts w:hint="eastAsia" w:ascii="宋体" w:hAnsi="宋体" w:cs="宋体"/>
          <w:b/>
          <w:bCs/>
          <w:szCs w:val="21"/>
        </w:rPr>
        <w:t xml:space="preserve">6.3.15  </w:t>
      </w:r>
      <w:r>
        <w:rPr>
          <w:rFonts w:hint="eastAsia" w:asciiTheme="minorEastAsia" w:hAnsiTheme="minorEastAsia" w:eastAsiaTheme="minorEastAsia"/>
          <w:szCs w:val="21"/>
        </w:rPr>
        <w:t>消防设备应急电源和系统备用电源均采用蓄电池作为后备式电源，为火灾条件下仍需正常工作的消防设备和其他设备供电。因此其电源的规格型号、容量、类别及数量等应符合设计文件的规定。蓄电池在充放电过程中会泄漏一些气体，因此电池安装地点应保证通风良好，否则容易发生气体爆炸。电池的工作温度超过其标称的最高工作温度时，其充放电性能会受到很大的影响，且直接影响电池的工作寿命。</w:t>
      </w:r>
    </w:p>
    <w:p>
      <w:pPr>
        <w:spacing w:line="360" w:lineRule="auto"/>
        <w:rPr>
          <w:rFonts w:asciiTheme="minorEastAsia" w:hAnsiTheme="minorEastAsia" w:eastAsiaTheme="minorEastAsia"/>
          <w:szCs w:val="21"/>
        </w:rPr>
      </w:pPr>
      <w:r>
        <w:rPr>
          <w:rFonts w:hint="eastAsia" w:ascii="宋体" w:hAnsi="宋体" w:cs="宋体"/>
          <w:b/>
          <w:bCs/>
          <w:szCs w:val="21"/>
        </w:rPr>
        <w:t xml:space="preserve">6.3.16  </w:t>
      </w:r>
      <w:r>
        <w:rPr>
          <w:rFonts w:hint="eastAsia" w:asciiTheme="minorEastAsia" w:hAnsiTheme="minorEastAsia" w:eastAsiaTheme="minorEastAsia"/>
          <w:szCs w:val="21"/>
        </w:rPr>
        <w:t>消防设备电源监控系统由消防设备电源监控器、电压传感器、电压/电流传感器、区域分机、系统监控专用软件、系统CAN总线等部分或全部设备组成。电压传感器、电压/电流传感器对消防设备电源进行</w:t>
      </w:r>
      <w:r>
        <w:rPr>
          <w:rFonts w:hint="eastAsia" w:asciiTheme="minorEastAsia" w:hAnsiTheme="minorEastAsia" w:eastAsiaTheme="minorEastAsia"/>
          <w:color w:val="000000"/>
          <w:szCs w:val="21"/>
        </w:rPr>
        <w:t>24</w:t>
      </w:r>
      <w:r>
        <w:rPr>
          <w:rFonts w:hint="eastAsia" w:cs="仿宋" w:asciiTheme="minorEastAsia" w:hAnsiTheme="minorEastAsia" w:eastAsiaTheme="minorEastAsia"/>
          <w:color w:val="000000"/>
          <w:spacing w:val="0"/>
          <w:w w:val="15"/>
          <w:kern w:val="0"/>
          <w:szCs w:val="21"/>
          <w:fitText w:val="42" w:id="56499694"/>
        </w:rPr>
        <w:t xml:space="preserve">　 </w:t>
      </w:r>
      <w:r>
        <w:rPr>
          <w:rFonts w:hint="eastAsia" w:cs="仿宋" w:asciiTheme="minorEastAsia" w:hAnsiTheme="minorEastAsia" w:eastAsiaTheme="minorEastAsia"/>
          <w:color w:val="000000"/>
          <w:spacing w:val="-17"/>
          <w:w w:val="15"/>
          <w:kern w:val="0"/>
          <w:szCs w:val="21"/>
          <w:fitText w:val="42" w:id="56499694"/>
        </w:rPr>
        <w:t>　</w:t>
      </w:r>
      <w:r>
        <w:rPr>
          <w:rFonts w:hint="eastAsia" w:asciiTheme="minorEastAsia" w:hAnsiTheme="minorEastAsia" w:eastAsiaTheme="minorEastAsia"/>
          <w:color w:val="000000"/>
          <w:szCs w:val="21"/>
        </w:rPr>
        <w:t>h</w:t>
      </w:r>
      <w:r>
        <w:rPr>
          <w:rFonts w:hint="eastAsia" w:asciiTheme="minorEastAsia" w:hAnsiTheme="minorEastAsia" w:eastAsiaTheme="minorEastAsia"/>
          <w:szCs w:val="21"/>
        </w:rPr>
        <w:t>监测，当各类为消防设备供电的交流或直流电源</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包括主、备电</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发生过压、欠压、缺相、过流、中断供电等故障时，消防电源监控器实时显示电压、电流值及故障点位置，同时发出声光报警并记录故障信息。系统的规格型号、容量、类别及数量等应符合设计文件的规定。传感器的安装不能影响供电主回路的正常工作。</w:t>
      </w:r>
    </w:p>
    <w:p>
      <w:pPr>
        <w:spacing w:line="360" w:lineRule="auto"/>
        <w:rPr>
          <w:rFonts w:asciiTheme="minorEastAsia" w:hAnsiTheme="minorEastAsia" w:eastAsiaTheme="minorEastAsia"/>
          <w:szCs w:val="21"/>
        </w:rPr>
      </w:pPr>
      <w:r>
        <w:rPr>
          <w:rFonts w:hint="eastAsia" w:ascii="宋体" w:hAnsi="宋体" w:cs="宋体"/>
          <w:b/>
          <w:bCs/>
          <w:szCs w:val="21"/>
        </w:rPr>
        <w:t xml:space="preserve">6.3.17  </w:t>
      </w:r>
      <w:r>
        <w:rPr>
          <w:rFonts w:hint="eastAsia" w:asciiTheme="minorEastAsia" w:hAnsiTheme="minorEastAsia" w:eastAsiaTheme="minorEastAsia"/>
          <w:szCs w:val="21"/>
        </w:rPr>
        <w:t>防火门监控系统由防火门监控器、监控分机、常开式防火门监控模块、常闭式防火门监控模块、防火门定位装置和释放装置等组成，主要功能是接收火灾报警控制器的火警信息，控制常开防火门的关闭，接收常开、常闭防火门关闭状态的反馈信号。门磁开关安装在防火门的门扇或门框上，其安装不能破坏防火门的防火性能和密闭性能。</w:t>
      </w:r>
    </w:p>
    <w:p>
      <w:pPr>
        <w:spacing w:line="360" w:lineRule="auto"/>
        <w:rPr>
          <w:rFonts w:asciiTheme="minorEastAsia" w:hAnsiTheme="minorEastAsia" w:eastAsiaTheme="minorEastAsia"/>
          <w:szCs w:val="21"/>
        </w:rPr>
      </w:pPr>
      <w:r>
        <w:rPr>
          <w:rFonts w:hint="eastAsia" w:ascii="宋体" w:hAnsi="宋体" w:cs="宋体"/>
          <w:b/>
          <w:bCs/>
          <w:szCs w:val="21"/>
        </w:rPr>
        <w:t xml:space="preserve">6.3.18  </w:t>
      </w:r>
      <w:r>
        <w:rPr>
          <w:rFonts w:hint="eastAsia" w:asciiTheme="minorEastAsia" w:hAnsiTheme="minorEastAsia" w:eastAsiaTheme="minorEastAsia"/>
          <w:szCs w:val="21"/>
        </w:rPr>
        <w:t>消防电气控制装置用于对建筑消防给水设备、自动灭火设备、室内消火栓设备、防排烟设备、防火门窗、防火卷帘等各类自动消防设施的控制，具有控制受控设备执行预定动作、接收受控设备的反馈信号、监视受控设备状态、与上级监控设备进行信息通信、向使用人员发出声光提示信息等功能。</w:t>
      </w:r>
    </w:p>
    <w:p>
      <w:pPr>
        <w:spacing w:line="360" w:lineRule="auto"/>
        <w:rPr>
          <w:rFonts w:asciiTheme="minorEastAsia" w:hAnsiTheme="minorEastAsia" w:eastAsiaTheme="minorEastAsia"/>
          <w:bCs/>
          <w:szCs w:val="21"/>
        </w:rPr>
      </w:pPr>
      <w:r>
        <w:rPr>
          <w:rFonts w:hint="eastAsia" w:ascii="宋体" w:hAnsi="宋体" w:cs="宋体"/>
          <w:b/>
          <w:bCs/>
          <w:szCs w:val="21"/>
        </w:rPr>
        <w:t xml:space="preserve">6.3.19  </w:t>
      </w:r>
      <w:r>
        <w:rPr>
          <w:rFonts w:hint="eastAsia" w:asciiTheme="minorEastAsia" w:hAnsiTheme="minorEastAsia" w:eastAsiaTheme="minorEastAsia"/>
          <w:bCs/>
          <w:szCs w:val="21"/>
        </w:rPr>
        <w:t>根据探测器的保护面积，以及烟雾、气流的运动特点，确保探测器处于最佳灵敏度范围。</w:t>
      </w:r>
    </w:p>
    <w:p>
      <w:pPr>
        <w:spacing w:line="360" w:lineRule="auto"/>
        <w:rPr>
          <w:rFonts w:asciiTheme="minorEastAsia" w:hAnsiTheme="minorEastAsia" w:eastAsiaTheme="minorEastAsia"/>
          <w:bCs/>
          <w:szCs w:val="21"/>
        </w:rPr>
      </w:pPr>
      <w:r>
        <w:rPr>
          <w:rFonts w:hint="eastAsia" w:ascii="宋体" w:hAnsi="宋体" w:cs="宋体"/>
          <w:b/>
          <w:bCs/>
          <w:szCs w:val="21"/>
        </w:rPr>
        <w:t xml:space="preserve">6.3.20  </w:t>
      </w:r>
      <w:r>
        <w:rPr>
          <w:rFonts w:hint="eastAsia" w:asciiTheme="minorEastAsia" w:hAnsiTheme="minorEastAsia" w:eastAsiaTheme="minorEastAsia"/>
          <w:bCs/>
          <w:szCs w:val="21"/>
        </w:rPr>
        <w:t>探测器的安装高度、安装间距应符合设计文件、国标规范、产品使用说明书。</w:t>
      </w:r>
    </w:p>
    <w:p>
      <w:pPr>
        <w:spacing w:line="360" w:lineRule="auto"/>
        <w:rPr>
          <w:rFonts w:asciiTheme="minorEastAsia" w:hAnsiTheme="minorEastAsia" w:eastAsiaTheme="minorEastAsia"/>
          <w:szCs w:val="21"/>
        </w:rPr>
      </w:pPr>
      <w:r>
        <w:rPr>
          <w:rFonts w:hint="eastAsia" w:ascii="宋体" w:hAnsi="宋体" w:cs="宋体"/>
          <w:b/>
          <w:bCs/>
          <w:szCs w:val="21"/>
        </w:rPr>
        <w:t xml:space="preserve">6.3.21  </w:t>
      </w:r>
      <w:r>
        <w:rPr>
          <w:rFonts w:hint="eastAsia" w:asciiTheme="minorEastAsia" w:hAnsiTheme="minorEastAsia" w:eastAsiaTheme="minorEastAsia"/>
          <w:szCs w:val="21"/>
        </w:rPr>
        <w:t>安装要求已经在现行国家标准《GB50116-2013》的第6.2</w:t>
      </w:r>
      <w:r>
        <w:rPr>
          <w:rFonts w:hint="eastAsia" w:asciiTheme="minorEastAsia" w:hAnsiTheme="minorEastAsia" w:eastAsiaTheme="minorEastAsia"/>
          <w:color w:val="000000"/>
          <w:szCs w:val="21"/>
        </w:rPr>
        <w:t>节</w:t>
      </w:r>
      <w:r>
        <w:rPr>
          <w:rFonts w:hint="eastAsia" w:asciiTheme="minorEastAsia" w:hAnsiTheme="minorEastAsia" w:eastAsiaTheme="minorEastAsia"/>
          <w:szCs w:val="21"/>
        </w:rPr>
        <w:t>中进行了规定，因此采样管和采样孔的安装应符合此规范和设计文件（以及产品使用说明书）的规定。</w:t>
      </w:r>
    </w:p>
    <w:p>
      <w:pPr>
        <w:spacing w:line="360" w:lineRule="auto"/>
        <w:rPr>
          <w:rFonts w:asciiTheme="minorEastAsia" w:hAnsiTheme="minorEastAsia" w:eastAsiaTheme="minorEastAsia"/>
          <w:szCs w:val="21"/>
        </w:rPr>
      </w:pPr>
      <w:r>
        <w:rPr>
          <w:rFonts w:hint="eastAsia" w:ascii="宋体" w:hAnsi="宋体" w:cs="宋体"/>
          <w:b/>
          <w:bCs/>
          <w:szCs w:val="21"/>
        </w:rPr>
        <w:t xml:space="preserve">6.3.23  </w:t>
      </w:r>
      <w:r>
        <w:rPr>
          <w:rFonts w:hint="eastAsia" w:asciiTheme="minorEastAsia" w:hAnsiTheme="minorEastAsia" w:eastAsiaTheme="minorEastAsia"/>
          <w:szCs w:val="21"/>
        </w:rPr>
        <w:t>消防水炮现场控制箱的位置应便于操作，利于逃生。安装牢固程度应能承受在手动操作的动作冲击。</w:t>
      </w:r>
    </w:p>
    <w:p>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374" w:name="_Toc137203446"/>
      <w:bookmarkStart w:id="375" w:name="_Toc137216296"/>
      <w:bookmarkStart w:id="376" w:name="_Toc135299528"/>
      <w:bookmarkStart w:id="377" w:name="_Toc136869144"/>
      <w:bookmarkStart w:id="378" w:name="_Toc136869560"/>
      <w:r>
        <w:rPr>
          <w:rFonts w:hint="eastAsia" w:asciiTheme="minorEastAsia" w:hAnsiTheme="minorEastAsia" w:eastAsiaTheme="minorEastAsia"/>
          <w:sz w:val="24"/>
          <w:szCs w:val="24"/>
        </w:rPr>
        <w:t>6.4 电动汽车供电设备</w:t>
      </w:r>
      <w:bookmarkEnd w:id="374"/>
      <w:bookmarkEnd w:id="375"/>
      <w:bookmarkEnd w:id="376"/>
      <w:bookmarkEnd w:id="377"/>
      <w:bookmarkEnd w:id="378"/>
    </w:p>
    <w:p>
      <w:pPr>
        <w:pStyle w:val="4"/>
        <w:numPr>
          <w:ilvl w:val="0"/>
          <w:numId w:val="199"/>
        </w:numPr>
        <w:spacing w:before="120" w:beforeLines="50" w:after="120" w:afterLines="50"/>
        <w:rPr>
          <w:rFonts w:asciiTheme="minorEastAsia" w:hAnsiTheme="minorEastAsia" w:eastAsiaTheme="minorEastAsia"/>
          <w:sz w:val="21"/>
          <w:szCs w:val="21"/>
        </w:rPr>
      </w:pPr>
      <w:r>
        <w:t>I</w:t>
      </w:r>
      <w:r>
        <w:rPr>
          <w:rFonts w:hint="eastAsia" w:asciiTheme="minorEastAsia" w:hAnsiTheme="minorEastAsia" w:eastAsiaTheme="minorEastAsia"/>
          <w:sz w:val="21"/>
          <w:szCs w:val="21"/>
        </w:rPr>
        <w:t xml:space="preserve">  主控项目</w:t>
      </w:r>
    </w:p>
    <w:p>
      <w:pPr>
        <w:spacing w:line="360" w:lineRule="auto"/>
        <w:rPr>
          <w:rFonts w:asciiTheme="minorEastAsia" w:hAnsiTheme="minorEastAsia" w:eastAsiaTheme="minorEastAsia"/>
          <w:bCs/>
          <w:szCs w:val="21"/>
        </w:rPr>
      </w:pPr>
      <w:r>
        <w:rPr>
          <w:rFonts w:hint="eastAsia" w:ascii="宋体" w:hAnsi="宋体" w:cs="宋体"/>
          <w:b/>
          <w:bCs/>
          <w:szCs w:val="21"/>
        </w:rPr>
        <w:t xml:space="preserve">6.4.4  </w:t>
      </w:r>
      <w:r>
        <w:rPr>
          <w:rFonts w:hint="eastAsia" w:asciiTheme="minorEastAsia" w:hAnsiTheme="minorEastAsia" w:eastAsiaTheme="minorEastAsia"/>
          <w:bCs/>
          <w:szCs w:val="21"/>
          <w:lang w:eastAsia="zh-Hans"/>
        </w:rPr>
        <w:t>供电设备人机界面设计各厂家不相同</w:t>
      </w:r>
      <w:r>
        <w:rPr>
          <w:rFonts w:asciiTheme="minorEastAsia" w:hAnsiTheme="minorEastAsia" w:eastAsiaTheme="minorEastAsia"/>
          <w:bCs/>
          <w:szCs w:val="21"/>
          <w:lang w:eastAsia="zh-Hans"/>
        </w:rPr>
        <w:t>，</w:t>
      </w:r>
      <w:r>
        <w:rPr>
          <w:rFonts w:hint="eastAsia" w:asciiTheme="minorEastAsia" w:hAnsiTheme="minorEastAsia" w:eastAsiaTheme="minorEastAsia"/>
          <w:bCs/>
          <w:szCs w:val="21"/>
          <w:lang w:eastAsia="zh-Hans"/>
        </w:rPr>
        <w:t>但其基本功能</w:t>
      </w:r>
      <w:r>
        <w:rPr>
          <w:rFonts w:asciiTheme="minorEastAsia" w:hAnsiTheme="minorEastAsia" w:eastAsiaTheme="minorEastAsia"/>
          <w:bCs/>
          <w:szCs w:val="21"/>
          <w:lang w:eastAsia="zh-Hans"/>
        </w:rPr>
        <w:t>、</w:t>
      </w:r>
      <w:r>
        <w:rPr>
          <w:rFonts w:hint="eastAsia" w:asciiTheme="minorEastAsia" w:hAnsiTheme="minorEastAsia" w:eastAsiaTheme="minorEastAsia"/>
          <w:bCs/>
          <w:szCs w:val="21"/>
          <w:lang w:eastAsia="zh-Hans"/>
        </w:rPr>
        <w:t>安全要求</w:t>
      </w:r>
      <w:r>
        <w:rPr>
          <w:rFonts w:hint="eastAsia" w:asciiTheme="minorEastAsia" w:hAnsiTheme="minorEastAsia" w:eastAsiaTheme="minorEastAsia"/>
          <w:bCs/>
          <w:szCs w:val="21"/>
        </w:rPr>
        <w:t>应符合设计文件、国标规范</w:t>
      </w:r>
      <w:r>
        <w:rPr>
          <w:rFonts w:hint="eastAsia" w:asciiTheme="minorEastAsia" w:hAnsiTheme="minorEastAsia" w:eastAsiaTheme="minorEastAsia"/>
          <w:bCs/>
          <w:szCs w:val="21"/>
          <w:lang w:eastAsia="zh-Hans"/>
        </w:rPr>
        <w:t>的要求</w:t>
      </w:r>
      <w:r>
        <w:rPr>
          <w:rFonts w:asciiTheme="minorEastAsia" w:hAnsiTheme="minorEastAsia" w:eastAsiaTheme="minorEastAsia"/>
          <w:bCs/>
          <w:szCs w:val="21"/>
          <w:lang w:eastAsia="zh-Hans"/>
        </w:rPr>
        <w:t>，</w:t>
      </w:r>
      <w:r>
        <w:rPr>
          <w:rFonts w:hint="eastAsia" w:asciiTheme="minorEastAsia" w:hAnsiTheme="minorEastAsia" w:eastAsiaTheme="minorEastAsia"/>
          <w:bCs/>
          <w:szCs w:val="21"/>
          <w:lang w:eastAsia="zh-Hans"/>
        </w:rPr>
        <w:t>能够对供电设备电气运行参数</w:t>
      </w:r>
      <w:r>
        <w:rPr>
          <w:rFonts w:asciiTheme="minorEastAsia" w:hAnsiTheme="minorEastAsia" w:eastAsiaTheme="minorEastAsia"/>
          <w:bCs/>
          <w:szCs w:val="21"/>
          <w:lang w:eastAsia="zh-Hans"/>
        </w:rPr>
        <w:t>，</w:t>
      </w:r>
      <w:r>
        <w:rPr>
          <w:rFonts w:hint="eastAsia" w:asciiTheme="minorEastAsia" w:hAnsiTheme="minorEastAsia" w:eastAsiaTheme="minorEastAsia"/>
          <w:bCs/>
          <w:szCs w:val="21"/>
          <w:lang w:eastAsia="zh-Hans"/>
        </w:rPr>
        <w:t>供电设备启停等进行有效控制</w:t>
      </w:r>
      <w:r>
        <w:rPr>
          <w:rFonts w:asciiTheme="minorEastAsia" w:hAnsiTheme="minorEastAsia" w:eastAsiaTheme="minorEastAsia"/>
          <w:bCs/>
          <w:szCs w:val="21"/>
          <w:lang w:eastAsia="zh-Hans"/>
        </w:rPr>
        <w:t>，</w:t>
      </w:r>
      <w:r>
        <w:rPr>
          <w:rFonts w:hint="eastAsia" w:asciiTheme="minorEastAsia" w:hAnsiTheme="minorEastAsia" w:eastAsiaTheme="minorEastAsia"/>
          <w:bCs/>
          <w:szCs w:val="21"/>
          <w:lang w:eastAsia="zh-Hans"/>
        </w:rPr>
        <w:t>为保障安全操作</w:t>
      </w:r>
      <w:r>
        <w:rPr>
          <w:rFonts w:asciiTheme="minorEastAsia" w:hAnsiTheme="minorEastAsia" w:eastAsiaTheme="minorEastAsia"/>
          <w:bCs/>
          <w:szCs w:val="21"/>
          <w:lang w:eastAsia="zh-Hans"/>
        </w:rPr>
        <w:t>，</w:t>
      </w:r>
      <w:r>
        <w:rPr>
          <w:rFonts w:hint="eastAsia" w:asciiTheme="minorEastAsia" w:hAnsiTheme="minorEastAsia" w:eastAsiaTheme="minorEastAsia"/>
          <w:bCs/>
          <w:szCs w:val="21"/>
          <w:lang w:eastAsia="zh-Hans"/>
        </w:rPr>
        <w:t>启动和停电恢复应由人工确认</w:t>
      </w:r>
      <w:r>
        <w:rPr>
          <w:rFonts w:asciiTheme="minorEastAsia" w:hAnsiTheme="minorEastAsia" w:eastAsiaTheme="minorEastAsia"/>
          <w:bCs/>
          <w:szCs w:val="21"/>
          <w:lang w:eastAsia="zh-Hans"/>
        </w:rPr>
        <w:t>。</w:t>
      </w:r>
    </w:p>
    <w:p>
      <w:pPr>
        <w:spacing w:line="360" w:lineRule="auto"/>
        <w:rPr>
          <w:rFonts w:ascii="宋体" w:hAnsi="宋体" w:cs="宋体"/>
          <w:szCs w:val="21"/>
        </w:rPr>
      </w:pPr>
      <w:r>
        <w:rPr>
          <w:rFonts w:hint="eastAsia" w:ascii="宋体" w:hAnsi="宋体" w:cs="宋体"/>
          <w:b/>
          <w:bCs/>
          <w:szCs w:val="21"/>
        </w:rPr>
        <w:t xml:space="preserve">6.4.5  </w:t>
      </w:r>
      <w:r>
        <w:rPr>
          <w:rFonts w:hint="eastAsia" w:ascii="宋体" w:hAnsi="宋体" w:cs="宋体"/>
          <w:szCs w:val="21"/>
          <w:lang w:eastAsia="zh-Hans"/>
        </w:rPr>
        <w:t>为供电设备使用安全</w:t>
      </w:r>
      <w:r>
        <w:rPr>
          <w:rFonts w:ascii="宋体" w:hAnsi="宋体" w:cs="宋体"/>
          <w:szCs w:val="21"/>
          <w:lang w:eastAsia="zh-Hans"/>
        </w:rPr>
        <w:t>，</w:t>
      </w:r>
      <w:r>
        <w:rPr>
          <w:rFonts w:hint="eastAsia" w:ascii="宋体" w:hAnsi="宋体" w:cs="宋体"/>
          <w:szCs w:val="21"/>
          <w:lang w:eastAsia="zh-Hans"/>
        </w:rPr>
        <w:t>在使用前</w:t>
      </w:r>
      <w:r>
        <w:rPr>
          <w:rFonts w:hint="eastAsia" w:ascii="宋体" w:hAnsi="宋体" w:cs="宋体"/>
          <w:color w:val="000000"/>
          <w:szCs w:val="21"/>
        </w:rPr>
        <w:t>须</w:t>
      </w:r>
      <w:r>
        <w:rPr>
          <w:rFonts w:hint="eastAsia" w:ascii="宋体" w:hAnsi="宋体" w:cs="宋体"/>
          <w:szCs w:val="21"/>
          <w:lang w:eastAsia="zh-Hans"/>
        </w:rPr>
        <w:t>完成各项电气试验方可使用</w:t>
      </w:r>
      <w:r>
        <w:rPr>
          <w:rFonts w:ascii="宋体" w:hAnsi="宋体" w:cs="宋体"/>
          <w:szCs w:val="21"/>
          <w:lang w:eastAsia="zh-Hans"/>
        </w:rPr>
        <w:t>。</w:t>
      </w:r>
    </w:p>
    <w:p>
      <w:pPr>
        <w:pStyle w:val="4"/>
        <w:numPr>
          <w:ilvl w:val="0"/>
          <w:numId w:val="199"/>
        </w:numPr>
        <w:spacing w:before="120" w:beforeLines="50" w:after="120" w:afterLines="50"/>
        <w:rPr>
          <w:rFonts w:asciiTheme="minorEastAsia" w:hAnsiTheme="minorEastAsia" w:eastAsiaTheme="minorEastAsia"/>
          <w:sz w:val="21"/>
          <w:szCs w:val="21"/>
        </w:rPr>
      </w:pPr>
      <w:r>
        <w:t>Ⅱ</w:t>
      </w:r>
      <w:r>
        <w:rPr>
          <w:rFonts w:hint="eastAsia" w:asciiTheme="minorEastAsia" w:hAnsiTheme="minorEastAsia" w:eastAsiaTheme="minorEastAsia"/>
          <w:sz w:val="21"/>
          <w:szCs w:val="21"/>
        </w:rPr>
        <w:t xml:space="preserve">  一般项目</w:t>
      </w:r>
    </w:p>
    <w:p>
      <w:pPr>
        <w:spacing w:line="360" w:lineRule="auto"/>
        <w:rPr>
          <w:rFonts w:ascii="宋体" w:hAnsi="宋体" w:cs="宋体"/>
          <w:szCs w:val="21"/>
        </w:rPr>
      </w:pPr>
      <w:r>
        <w:rPr>
          <w:rFonts w:hint="eastAsia" w:ascii="宋体" w:hAnsi="宋体" w:cs="宋体"/>
          <w:b/>
          <w:bCs/>
          <w:szCs w:val="21"/>
        </w:rPr>
        <w:t xml:space="preserve">6.4.10  </w:t>
      </w:r>
      <w:r>
        <w:rPr>
          <w:rFonts w:hint="eastAsia" w:ascii="宋体" w:hAnsi="宋体" w:cs="宋体"/>
          <w:szCs w:val="21"/>
          <w:lang w:eastAsia="zh-Hans"/>
        </w:rPr>
        <w:t>供电设备人机界面除能有效控制设备动作参数外</w:t>
      </w:r>
      <w:r>
        <w:rPr>
          <w:rFonts w:ascii="宋体" w:hAnsi="宋体" w:cs="宋体"/>
          <w:szCs w:val="21"/>
          <w:lang w:eastAsia="zh-Hans"/>
        </w:rPr>
        <w:t>，</w:t>
      </w:r>
      <w:r>
        <w:rPr>
          <w:rFonts w:hint="eastAsia" w:ascii="宋体" w:hAnsi="宋体" w:cs="宋体"/>
          <w:szCs w:val="21"/>
          <w:lang w:eastAsia="zh-Hans"/>
        </w:rPr>
        <w:t>还需要准确显示各项运行参数的数字</w:t>
      </w:r>
      <w:r>
        <w:rPr>
          <w:rFonts w:ascii="宋体" w:hAnsi="宋体" w:cs="宋体"/>
          <w:szCs w:val="21"/>
          <w:lang w:eastAsia="zh-Hans"/>
        </w:rPr>
        <w:t>，</w:t>
      </w:r>
      <w:r>
        <w:rPr>
          <w:rFonts w:hint="eastAsia" w:ascii="宋体" w:hAnsi="宋体" w:cs="宋体"/>
          <w:szCs w:val="21"/>
          <w:lang w:eastAsia="zh-Hans"/>
        </w:rPr>
        <w:t>便于操作人员了解充电机实时运行状态</w:t>
      </w:r>
      <w:r>
        <w:rPr>
          <w:rFonts w:ascii="宋体" w:hAnsi="宋体" w:cs="宋体"/>
          <w:szCs w:val="21"/>
          <w:lang w:eastAsia="zh-Hans"/>
        </w:rPr>
        <w:t>。</w:t>
      </w:r>
    </w:p>
    <w:p>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379" w:name="_Toc136869561"/>
      <w:bookmarkStart w:id="380" w:name="_Toc135299529"/>
      <w:bookmarkStart w:id="381" w:name="_Toc137203447"/>
      <w:bookmarkStart w:id="382" w:name="_Toc137216297"/>
      <w:bookmarkStart w:id="383" w:name="_Toc136869145"/>
      <w:bookmarkStart w:id="384" w:name="_Toc135299530"/>
      <w:r>
        <w:rPr>
          <w:rFonts w:hint="eastAsia" w:asciiTheme="minorEastAsia" w:hAnsiTheme="minorEastAsia" w:eastAsiaTheme="minorEastAsia"/>
          <w:sz w:val="24"/>
          <w:szCs w:val="24"/>
        </w:rPr>
        <w:t>6.5 其他常用动力设备安装</w:t>
      </w:r>
      <w:bookmarkEnd w:id="379"/>
      <w:bookmarkEnd w:id="380"/>
      <w:bookmarkEnd w:id="381"/>
      <w:bookmarkEnd w:id="382"/>
      <w:bookmarkEnd w:id="383"/>
    </w:p>
    <w:p>
      <w:pPr>
        <w:pStyle w:val="4"/>
        <w:numPr>
          <w:ilvl w:val="0"/>
          <w:numId w:val="199"/>
        </w:numPr>
        <w:spacing w:before="120" w:beforeLines="50" w:after="120" w:afterLines="50"/>
        <w:rPr>
          <w:rFonts w:asciiTheme="minorEastAsia" w:hAnsiTheme="minorEastAsia" w:eastAsiaTheme="minorEastAsia"/>
          <w:sz w:val="21"/>
          <w:szCs w:val="21"/>
        </w:rPr>
      </w:pPr>
      <w:r>
        <w:t>Ⅱ</w:t>
      </w:r>
      <w:r>
        <w:rPr>
          <w:rFonts w:hint="eastAsia" w:asciiTheme="minorEastAsia" w:hAnsiTheme="minorEastAsia" w:eastAsiaTheme="minorEastAsia"/>
          <w:sz w:val="21"/>
          <w:szCs w:val="21"/>
        </w:rPr>
        <w:t xml:space="preserve">  一般项目</w:t>
      </w:r>
    </w:p>
    <w:p>
      <w:pPr>
        <w:spacing w:line="360" w:lineRule="auto"/>
        <w:rPr>
          <w:rFonts w:asciiTheme="minorEastAsia" w:hAnsiTheme="minorEastAsia" w:eastAsiaTheme="minorEastAsia"/>
          <w:szCs w:val="21"/>
        </w:rPr>
      </w:pPr>
      <w:r>
        <w:rPr>
          <w:rFonts w:hint="eastAsia" w:ascii="宋体" w:hAnsi="宋体" w:cs="宋体"/>
          <w:b/>
          <w:bCs/>
          <w:szCs w:val="21"/>
        </w:rPr>
        <w:t xml:space="preserve">6.5.5  </w:t>
      </w:r>
      <w:r>
        <w:rPr>
          <w:rFonts w:hint="eastAsia" w:asciiTheme="minorEastAsia" w:hAnsiTheme="minorEastAsia" w:eastAsiaTheme="minorEastAsia"/>
          <w:szCs w:val="21"/>
        </w:rPr>
        <w:t>电伴热带固定紧密，没有预留空间。用金属丝绑扎安装时电伴热带在地面上拖拽会导致绝缘层破坏，产生芯带断裂现象，故严禁用金属丝绑扎。</w:t>
      </w:r>
    </w:p>
    <w:p>
      <w:pPr>
        <w:spacing w:line="360" w:lineRule="auto"/>
        <w:rPr>
          <w:rFonts w:asciiTheme="minorEastAsia" w:hAnsiTheme="minorEastAsia" w:eastAsiaTheme="minorEastAsia"/>
          <w:szCs w:val="21"/>
        </w:rPr>
      </w:pPr>
      <w:r>
        <w:rPr>
          <w:rFonts w:hint="eastAsia" w:ascii="宋体" w:hAnsi="宋体" w:cs="宋体"/>
          <w:b/>
          <w:bCs/>
          <w:szCs w:val="21"/>
        </w:rPr>
        <w:t xml:space="preserve">6.5.6  </w:t>
      </w:r>
      <w:r>
        <w:rPr>
          <w:rFonts w:hint="eastAsia" w:asciiTheme="minorEastAsia" w:hAnsiTheme="minorEastAsia" w:eastAsiaTheme="minorEastAsia"/>
          <w:szCs w:val="21"/>
        </w:rPr>
        <w:t>屏蔽门系统设备分别安装在站台边缘和屏蔽门设备房内，如屏蔽门门体与轨道进行等电位连接，两者应有不同的接地系统。屏蔽门设备房内的所有设备应可靠接地，站台边缘的设备还应视列车供电及回流方式设计保护乘客的措施，避免发生不安全的情况。</w:t>
      </w:r>
    </w:p>
    <w:p>
      <w:pPr>
        <w:spacing w:line="360" w:lineRule="auto"/>
        <w:rPr>
          <w:rFonts w:asciiTheme="minorEastAsia" w:hAnsiTheme="minorEastAsia" w:eastAsiaTheme="minorEastAsia"/>
          <w:szCs w:val="21"/>
        </w:rPr>
      </w:pPr>
      <w:r>
        <w:rPr>
          <w:rFonts w:hint="eastAsia" w:ascii="宋体" w:hAnsi="宋体" w:cs="宋体"/>
          <w:b/>
          <w:bCs/>
          <w:szCs w:val="21"/>
        </w:rPr>
        <w:t xml:space="preserve">6.5.7  </w:t>
      </w:r>
      <w:r>
        <w:rPr>
          <w:rFonts w:hint="eastAsia" w:asciiTheme="minorEastAsia" w:hAnsiTheme="minorEastAsia" w:eastAsiaTheme="minorEastAsia"/>
          <w:szCs w:val="21"/>
        </w:rPr>
        <w:t>此处指采用四轨供电的情况。</w:t>
      </w:r>
    </w:p>
    <w:p>
      <w:pPr>
        <w:spacing w:line="360" w:lineRule="auto"/>
        <w:rPr>
          <w:rFonts w:asciiTheme="minorEastAsia" w:hAnsiTheme="minorEastAsia" w:eastAsiaTheme="minorEastAsia"/>
          <w:szCs w:val="21"/>
        </w:rPr>
      </w:pPr>
      <w:r>
        <w:rPr>
          <w:rFonts w:hint="eastAsia" w:ascii="宋体" w:hAnsi="宋体" w:cs="宋体"/>
          <w:b/>
          <w:bCs/>
          <w:szCs w:val="21"/>
        </w:rPr>
        <w:t xml:space="preserve">6.5.9  </w:t>
      </w:r>
      <w:r>
        <w:rPr>
          <w:rFonts w:asciiTheme="minorEastAsia" w:hAnsiTheme="minorEastAsia" w:eastAsiaTheme="minorEastAsia"/>
          <w:color w:val="000000"/>
          <w:szCs w:val="21"/>
        </w:rPr>
        <w:t>5000</w:t>
      </w:r>
      <w:r>
        <w:rPr>
          <w:rFonts w:hint="eastAsia" w:asciiTheme="minorEastAsia" w:hAnsiTheme="minorEastAsia" w:eastAsiaTheme="minorEastAsia"/>
          <w:szCs w:val="21"/>
        </w:rPr>
        <w:t>次运行检测是为了加快屏蔽门门机等运动结构的磨合，及检测一侧屏蔽门系统同时运行的可靠性。屏蔽门的</w:t>
      </w:r>
      <w:r>
        <w:rPr>
          <w:rFonts w:asciiTheme="minorEastAsia" w:hAnsiTheme="minorEastAsia" w:eastAsiaTheme="minorEastAsia"/>
          <w:color w:val="000000"/>
          <w:szCs w:val="21"/>
        </w:rPr>
        <w:t>5000</w:t>
      </w:r>
      <w:r>
        <w:rPr>
          <w:rFonts w:hint="eastAsia" w:asciiTheme="minorEastAsia" w:hAnsiTheme="minorEastAsia" w:eastAsiaTheme="minorEastAsia"/>
          <w:szCs w:val="21"/>
        </w:rPr>
        <w:t>次运行检测需要连续运行，频率宜按照每分钟</w:t>
      </w:r>
      <w:r>
        <w:rPr>
          <w:rFonts w:asciiTheme="minorEastAsia" w:hAnsiTheme="minorEastAsia" w:eastAsiaTheme="minorEastAsia"/>
          <w:szCs w:val="21"/>
        </w:rPr>
        <w:t>3</w:t>
      </w:r>
      <w:r>
        <w:rPr>
          <w:rFonts w:hint="eastAsia" w:ascii="微软雅黑" w:hAnsi="微软雅黑" w:eastAsia="微软雅黑" w:cs="微软雅黑"/>
          <w:szCs w:val="21"/>
        </w:rPr>
        <w:t>〜</w:t>
      </w:r>
      <w:r>
        <w:rPr>
          <w:rFonts w:asciiTheme="minorEastAsia" w:hAnsiTheme="minorEastAsia" w:eastAsiaTheme="minorEastAsia"/>
          <w:szCs w:val="21"/>
        </w:rPr>
        <w:t>6</w:t>
      </w:r>
      <w:r>
        <w:rPr>
          <w:rFonts w:hint="eastAsia" w:asciiTheme="minorEastAsia" w:hAnsiTheme="minorEastAsia" w:eastAsiaTheme="minorEastAsia"/>
          <w:szCs w:val="21"/>
        </w:rPr>
        <w:t>次循环（开门、关门各一次为一个循环）。当出现运行故障，</w:t>
      </w:r>
      <w:r>
        <w:rPr>
          <w:rFonts w:asciiTheme="minorEastAsia" w:hAnsiTheme="minorEastAsia" w:eastAsiaTheme="minorEastAsia"/>
          <w:color w:val="000000"/>
          <w:szCs w:val="21"/>
        </w:rPr>
        <w:t>5000</w:t>
      </w:r>
      <w:r>
        <w:rPr>
          <w:rFonts w:hint="eastAsia" w:asciiTheme="minorEastAsia" w:hAnsiTheme="minorEastAsia" w:eastAsiaTheme="minorEastAsia"/>
          <w:szCs w:val="21"/>
        </w:rPr>
        <w:t>次运行检测应重新开始测试。</w:t>
      </w:r>
    </w:p>
    <w:p>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385" w:name="_Toc137203448"/>
      <w:bookmarkStart w:id="386" w:name="_Toc137216298"/>
      <w:bookmarkStart w:id="387" w:name="_Toc136869562"/>
      <w:bookmarkStart w:id="388" w:name="_Toc136869146"/>
      <w:r>
        <w:rPr>
          <w:rFonts w:hint="eastAsia" w:asciiTheme="minorEastAsia" w:hAnsiTheme="minorEastAsia" w:eastAsiaTheme="minorEastAsia"/>
          <w:sz w:val="24"/>
          <w:szCs w:val="24"/>
        </w:rPr>
        <w:t>6.6 电气设备试验和试运行</w:t>
      </w:r>
      <w:bookmarkEnd w:id="384"/>
      <w:bookmarkEnd w:id="385"/>
      <w:bookmarkEnd w:id="386"/>
      <w:bookmarkEnd w:id="387"/>
      <w:bookmarkEnd w:id="388"/>
    </w:p>
    <w:p>
      <w:pPr>
        <w:pStyle w:val="4"/>
        <w:numPr>
          <w:ilvl w:val="0"/>
          <w:numId w:val="199"/>
        </w:numPr>
        <w:spacing w:before="120" w:beforeLines="50" w:after="120" w:afterLines="50"/>
        <w:rPr>
          <w:rFonts w:asciiTheme="minorEastAsia" w:hAnsiTheme="minorEastAsia" w:eastAsiaTheme="minorEastAsia"/>
          <w:sz w:val="21"/>
          <w:szCs w:val="21"/>
        </w:rPr>
      </w:pPr>
      <w:r>
        <w:t>I</w:t>
      </w:r>
      <w:r>
        <w:rPr>
          <w:rFonts w:hint="eastAsia" w:asciiTheme="minorEastAsia" w:hAnsiTheme="minorEastAsia" w:eastAsiaTheme="minorEastAsia"/>
          <w:sz w:val="21"/>
          <w:szCs w:val="21"/>
        </w:rPr>
        <w:t xml:space="preserve">  主控项目</w:t>
      </w:r>
    </w:p>
    <w:p>
      <w:pPr>
        <w:spacing w:line="360" w:lineRule="auto"/>
        <w:rPr>
          <w:rFonts w:ascii="宋体" w:hAnsi="宋体" w:cs="宋体"/>
          <w:bCs/>
          <w:szCs w:val="21"/>
        </w:rPr>
      </w:pPr>
      <w:r>
        <w:rPr>
          <w:rFonts w:hint="eastAsia" w:ascii="宋体" w:hAnsi="宋体" w:cs="宋体"/>
          <w:b/>
          <w:bCs/>
          <w:szCs w:val="21"/>
        </w:rPr>
        <w:t xml:space="preserve">6.6.1  </w:t>
      </w:r>
      <w:r>
        <w:rPr>
          <w:rFonts w:hint="eastAsia" w:ascii="宋体" w:hAnsi="宋体" w:cs="宋体"/>
          <w:bCs/>
          <w:szCs w:val="21"/>
        </w:rPr>
        <w:t>电气动力设备试运行前，各项电气交接试验均应合格，而交接试验的核心是检验电气动力设备承受电压冲击的能力，交接试验合格也就证明电气装置的绝缘状态是良好的。如果各类开关和控制保护装置动作正确，则试运行中电气设备的承受故障电流和电压冲击能力便有了可靠的安全保证。</w:t>
      </w:r>
    </w:p>
    <w:p>
      <w:pPr>
        <w:spacing w:line="360" w:lineRule="auto"/>
        <w:rPr>
          <w:rFonts w:ascii="宋体" w:hAnsi="宋体" w:cs="宋体"/>
          <w:bCs/>
          <w:szCs w:val="21"/>
        </w:rPr>
      </w:pPr>
      <w:r>
        <w:rPr>
          <w:rFonts w:hint="eastAsia" w:ascii="宋体" w:hAnsi="宋体" w:cs="宋体"/>
          <w:b/>
          <w:bCs/>
          <w:szCs w:val="21"/>
        </w:rPr>
        <w:t xml:space="preserve">6.6.2  </w:t>
      </w:r>
      <w:r>
        <w:rPr>
          <w:rFonts w:hint="eastAsia" w:ascii="宋体" w:hAnsi="宋体" w:cs="宋体"/>
          <w:bCs/>
          <w:szCs w:val="21"/>
        </w:rPr>
        <w:t>在试运行前，要对相关的现场单独安装的各类低压电器进行单体的试验和检测，符合本规范规定，才具有试运行的必备条件。与试运行有关的成套柜、屏、台、箱、盘应在试运行前试验合格。</w:t>
      </w:r>
    </w:p>
    <w:p>
      <w:pPr>
        <w:spacing w:line="360" w:lineRule="auto"/>
        <w:rPr>
          <w:rFonts w:ascii="宋体" w:hAnsi="宋体" w:cs="宋体"/>
          <w:bCs/>
          <w:szCs w:val="21"/>
        </w:rPr>
      </w:pPr>
      <w:r>
        <w:rPr>
          <w:rFonts w:hint="eastAsia" w:ascii="宋体" w:hAnsi="宋体" w:cs="宋体"/>
          <w:b/>
          <w:bCs/>
          <w:szCs w:val="21"/>
        </w:rPr>
        <w:t xml:space="preserve">6.6.3  </w:t>
      </w:r>
      <w:r>
        <w:rPr>
          <w:rFonts w:hint="eastAsia" w:ascii="宋体" w:hAnsi="宋体" w:cs="宋体"/>
          <w:bCs/>
          <w:szCs w:val="21"/>
        </w:rPr>
        <w:t>电动机的空载电流一般为额定电流的30%（指异步电动机）以下，机身的温升</w:t>
      </w:r>
      <w:r>
        <w:rPr>
          <w:rFonts w:hint="eastAsia" w:ascii="宋体" w:hAnsi="宋体" w:cs="宋体"/>
          <w:szCs w:val="21"/>
        </w:rPr>
        <w:t>经</w:t>
      </w:r>
      <w:r>
        <w:rPr>
          <w:rFonts w:hint="eastAsia" w:ascii="宋体" w:hAnsi="宋体" w:cs="宋体"/>
          <w:color w:val="000000"/>
          <w:szCs w:val="21"/>
        </w:rPr>
        <w:t>2 h</w:t>
      </w:r>
      <w:r>
        <w:rPr>
          <w:rFonts w:hint="eastAsia" w:ascii="宋体" w:hAnsi="宋体" w:cs="宋体"/>
          <w:szCs w:val="21"/>
        </w:rPr>
        <w:t>空载试运行不会太高，电动机空载运行是设备不投料状态下的运行，重点是考核机械装置质量，尤其要注意噪声是否太大或有异常撞击声响。此外，要检查轴承的温度是否正常，如滚动轴承润滑脂填充量过多，会导致轴承温度过高，且试运行中温度上升急剧。但由于电动机起动瞬时电流要比额定电流大。有的达6倍~8倍，虽然空载（设备不投料）无负荷，但因被拖动的设备转动惯量大（如风机等），起动电流衰减的速度慢、时间长，为防止因起动频繁造成电动机线圈过热，故规定连续起动的时间间隔。</w:t>
      </w:r>
    </w:p>
    <w:p>
      <w:pPr>
        <w:pStyle w:val="4"/>
        <w:numPr>
          <w:ilvl w:val="0"/>
          <w:numId w:val="199"/>
        </w:numPr>
        <w:spacing w:before="120" w:beforeLines="50" w:after="120" w:afterLines="50"/>
        <w:rPr>
          <w:rFonts w:asciiTheme="minorEastAsia" w:hAnsiTheme="minorEastAsia" w:eastAsiaTheme="minorEastAsia"/>
          <w:sz w:val="21"/>
          <w:szCs w:val="21"/>
        </w:rPr>
      </w:pPr>
      <w:r>
        <w:t>Ⅱ</w:t>
      </w:r>
      <w:r>
        <w:rPr>
          <w:rFonts w:hint="eastAsia" w:asciiTheme="minorEastAsia" w:hAnsiTheme="minorEastAsia" w:eastAsiaTheme="minorEastAsia"/>
          <w:sz w:val="21"/>
          <w:szCs w:val="21"/>
        </w:rPr>
        <w:t xml:space="preserve">  一般项目</w:t>
      </w:r>
    </w:p>
    <w:p>
      <w:pPr>
        <w:pStyle w:val="41"/>
        <w:spacing w:line="360" w:lineRule="auto"/>
        <w:ind w:firstLine="0" w:firstLineChars="0"/>
        <w:rPr>
          <w:rFonts w:ascii="宋体" w:hAnsi="宋体" w:cs="宋体"/>
          <w:bCs/>
          <w:szCs w:val="21"/>
        </w:rPr>
      </w:pPr>
      <w:r>
        <w:rPr>
          <w:rFonts w:hint="eastAsia" w:ascii="宋体" w:hAnsi="宋体" w:cs="宋体"/>
          <w:b/>
          <w:bCs/>
          <w:szCs w:val="21"/>
        </w:rPr>
        <w:t xml:space="preserve">6.6.4  </w:t>
      </w:r>
      <w:r>
        <w:rPr>
          <w:rFonts w:hint="eastAsia" w:ascii="宋体" w:hAnsi="宋体" w:cs="宋体"/>
          <w:bCs/>
          <w:szCs w:val="21"/>
        </w:rPr>
        <w:t>试运行时要检测有关仪表的指示，并作记录，对照电气设备的铭牌标示值检查是否超标，以判定试运行是否正常。</w:t>
      </w:r>
    </w:p>
    <w:p>
      <w:pPr>
        <w:spacing w:line="360" w:lineRule="auto"/>
        <w:rPr>
          <w:rFonts w:ascii="宋体" w:hAnsi="宋体" w:cs="宋体"/>
          <w:szCs w:val="21"/>
        </w:rPr>
      </w:pPr>
      <w:r>
        <w:rPr>
          <w:rFonts w:hint="eastAsia" w:ascii="宋体" w:hAnsi="宋体" w:cs="宋体"/>
          <w:b/>
          <w:szCs w:val="21"/>
        </w:rPr>
        <w:t xml:space="preserve">6.6.5  </w:t>
      </w:r>
      <w:r>
        <w:rPr>
          <w:rFonts w:hint="eastAsia" w:ascii="宋体" w:hAnsi="宋体" w:cs="宋体"/>
          <w:bCs/>
          <w:szCs w:val="21"/>
        </w:rPr>
        <w:t>电动执行机构的动作方向，在手动或点动时已经确认与工艺装置要求一致，但在联动试运行时，仍需仔细检查，否则工艺的工况会出现不正常，有的会诱发安全事故。</w:t>
      </w:r>
    </w:p>
    <w:p>
      <w:pPr>
        <w:widowControl/>
        <w:jc w:val="left"/>
        <w:rPr>
          <w:b/>
          <w:kern w:val="0"/>
          <w:sz w:val="28"/>
          <w:szCs w:val="28"/>
        </w:rPr>
      </w:pPr>
      <w:bookmarkStart w:id="389" w:name="_Toc135299531"/>
      <w:bookmarkStart w:id="390" w:name="_Toc136869563"/>
      <w:bookmarkStart w:id="391" w:name="_Toc136869147"/>
      <w:r>
        <w:rPr>
          <w:bCs/>
        </w:rPr>
        <w:br w:type="page"/>
      </w:r>
    </w:p>
    <w:p>
      <w:pPr>
        <w:pStyle w:val="78"/>
        <w:spacing w:before="240" w:after="240"/>
        <w:ind w:firstLine="0" w:firstLineChars="0"/>
        <w:rPr>
          <w:bCs w:val="0"/>
        </w:rPr>
      </w:pPr>
      <w:bookmarkStart w:id="392" w:name="_Toc137216299"/>
      <w:bookmarkStart w:id="393" w:name="_Toc137203449"/>
      <w:r>
        <w:rPr>
          <w:rFonts w:hint="eastAsia"/>
          <w:bCs w:val="0"/>
        </w:rPr>
        <w:t>7  照明</w:t>
      </w:r>
      <w:bookmarkEnd w:id="389"/>
      <w:bookmarkEnd w:id="390"/>
      <w:bookmarkEnd w:id="391"/>
      <w:bookmarkEnd w:id="392"/>
      <w:bookmarkEnd w:id="393"/>
    </w:p>
    <w:p>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394" w:name="_Toc135299532"/>
      <w:bookmarkStart w:id="395" w:name="_Toc137203450"/>
      <w:bookmarkStart w:id="396" w:name="_Toc137216300"/>
      <w:bookmarkStart w:id="397" w:name="_Toc136869148"/>
      <w:bookmarkStart w:id="398" w:name="_Toc136869564"/>
      <w:r>
        <w:rPr>
          <w:rFonts w:hint="eastAsia" w:asciiTheme="minorEastAsia" w:hAnsiTheme="minorEastAsia" w:eastAsiaTheme="minorEastAsia"/>
          <w:sz w:val="24"/>
          <w:szCs w:val="24"/>
        </w:rPr>
        <w:t>7.1</w:t>
      </w:r>
      <w:bookmarkEnd w:id="394"/>
      <w:bookmarkStart w:id="399" w:name="_Toc135299535"/>
      <w:r>
        <w:rPr>
          <w:rFonts w:hint="eastAsia" w:asciiTheme="minorEastAsia" w:hAnsiTheme="minorEastAsia" w:eastAsiaTheme="minorEastAsia"/>
          <w:sz w:val="24"/>
          <w:szCs w:val="24"/>
        </w:rPr>
        <w:t xml:space="preserve">  电气照明装置安装</w:t>
      </w:r>
      <w:bookmarkEnd w:id="395"/>
      <w:bookmarkEnd w:id="396"/>
      <w:bookmarkEnd w:id="397"/>
      <w:bookmarkEnd w:id="398"/>
    </w:p>
    <w:p>
      <w:pPr>
        <w:pStyle w:val="4"/>
        <w:numPr>
          <w:ilvl w:val="0"/>
          <w:numId w:val="199"/>
        </w:numPr>
        <w:spacing w:before="120" w:beforeLines="50" w:after="120" w:afterLines="5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r>
        <w:t>I</w:t>
      </w:r>
      <w:r>
        <w:rPr>
          <w:rFonts w:hint="eastAsia" w:asciiTheme="minorEastAsia" w:hAnsiTheme="minorEastAsia" w:eastAsiaTheme="minorEastAsia"/>
          <w:sz w:val="21"/>
          <w:szCs w:val="21"/>
        </w:rPr>
        <w:t xml:space="preserve">  主控项目</w:t>
      </w:r>
    </w:p>
    <w:p>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 xml:space="preserve">7.1.1  </w:t>
      </w:r>
      <w:r>
        <w:rPr>
          <w:rFonts w:hint="eastAsia" w:asciiTheme="minorEastAsia" w:hAnsiTheme="minorEastAsia" w:eastAsiaTheme="minorEastAsia"/>
          <w:szCs w:val="21"/>
        </w:rPr>
        <w:t>根据现行国家标准</w:t>
      </w:r>
      <w:r>
        <w:rPr>
          <w:rFonts w:hint="eastAsia" w:asciiTheme="minorEastAsia" w:hAnsiTheme="minorEastAsia" w:eastAsiaTheme="minorEastAsia"/>
          <w:color w:val="000000"/>
          <w:szCs w:val="21"/>
        </w:rPr>
        <w:t>《灯具  第1部分：一般要求与试验》GB7000.1-20</w:t>
      </w:r>
      <w:r>
        <w:rPr>
          <w:rFonts w:asciiTheme="minorEastAsia" w:hAnsiTheme="minorEastAsia" w:eastAsiaTheme="minorEastAsia"/>
          <w:color w:val="000000"/>
          <w:szCs w:val="21"/>
        </w:rPr>
        <w:t>15</w:t>
      </w:r>
      <w:r>
        <w:rPr>
          <w:rFonts w:hint="eastAsia" w:asciiTheme="minorEastAsia" w:hAnsiTheme="minorEastAsia" w:eastAsiaTheme="minorEastAsia"/>
          <w:szCs w:val="21"/>
        </w:rPr>
        <w:t>中第4.14.1条的规定，对所有的悬挂灯具应将4倍灯具重量的恒定</w:t>
      </w:r>
      <w:r>
        <w:rPr>
          <w:rFonts w:hint="eastAsia" w:asciiTheme="minorEastAsia" w:hAnsiTheme="minorEastAsia" w:eastAsiaTheme="minorEastAsia"/>
          <w:color w:val="000000"/>
          <w:szCs w:val="21"/>
        </w:rPr>
        <w:t>均布载荷</w:t>
      </w:r>
      <w:r>
        <w:rPr>
          <w:rFonts w:hint="eastAsia" w:asciiTheme="minorEastAsia" w:hAnsiTheme="minorEastAsia" w:eastAsiaTheme="minorEastAsia"/>
          <w:szCs w:val="21"/>
        </w:rPr>
        <w:t>以灯具正常的受载方向加在灯具上，历时</w:t>
      </w:r>
      <w:r>
        <w:rPr>
          <w:rFonts w:hint="eastAsia" w:asciiTheme="minorEastAsia" w:hAnsiTheme="minorEastAsia" w:eastAsiaTheme="minorEastAsia"/>
          <w:color w:val="000000"/>
          <w:szCs w:val="21"/>
        </w:rPr>
        <w:t>1 h</w:t>
      </w:r>
      <w:r>
        <w:rPr>
          <w:rFonts w:hint="eastAsia" w:asciiTheme="minorEastAsia" w:hAnsiTheme="minorEastAsia" w:eastAsiaTheme="minorEastAsia"/>
          <w:szCs w:val="21"/>
        </w:rPr>
        <w:t>，试验终了时，悬挂装置（灯具附件）的部件应无明显变形。因此标准规定在灯具上加载4倍灯具重量的载荷，则灯具的固定及悬吊装置（施工单位现场安装的）就须承受5倍灯具重量的载荷。灯具的固定及悬吊装置是由施工单位在现场安装的，其形式应符合建筑物的结构特点。固定及悬吊装置安装完成、灯具安装前要求在现场做恒定均</w:t>
      </w:r>
      <w:r>
        <w:rPr>
          <w:rFonts w:hint="eastAsia" w:asciiTheme="minorEastAsia" w:hAnsiTheme="minorEastAsia" w:eastAsiaTheme="minorEastAsia"/>
          <w:color w:val="000000"/>
          <w:szCs w:val="21"/>
        </w:rPr>
        <w:t>布</w:t>
      </w:r>
      <w:r>
        <w:rPr>
          <w:rFonts w:hint="eastAsia" w:asciiTheme="minorEastAsia" w:hAnsiTheme="minorEastAsia" w:eastAsiaTheme="minorEastAsia"/>
          <w:szCs w:val="21"/>
        </w:rPr>
        <w:t>载荷强度试验，试验的目的是检验固定及悬吊装置安装的可靠性，考虑到灯具安装完成后固定及悬吊装置承受的是静载荷，故试验时间为</w:t>
      </w:r>
      <w:r>
        <w:rPr>
          <w:rFonts w:hint="eastAsia" w:asciiTheme="minorEastAsia" w:hAnsiTheme="minorEastAsia" w:eastAsiaTheme="minorEastAsia"/>
          <w:color w:val="000000"/>
          <w:szCs w:val="21"/>
        </w:rPr>
        <w:t>15</w:t>
      </w:r>
      <w:r>
        <w:rPr>
          <w:rFonts w:hint="eastAsia" w:cs="仿宋" w:asciiTheme="minorEastAsia" w:hAnsiTheme="minorEastAsia" w:eastAsiaTheme="minorEastAsia"/>
          <w:color w:val="000000"/>
          <w:spacing w:val="0"/>
          <w:w w:val="15"/>
          <w:kern w:val="0"/>
          <w:szCs w:val="21"/>
          <w:fitText w:val="42" w:id="313789301"/>
        </w:rPr>
        <w:t xml:space="preserve">　 </w:t>
      </w:r>
      <w:r>
        <w:rPr>
          <w:rFonts w:hint="eastAsia" w:cs="仿宋" w:asciiTheme="minorEastAsia" w:hAnsiTheme="minorEastAsia" w:eastAsiaTheme="minorEastAsia"/>
          <w:color w:val="000000"/>
          <w:spacing w:val="-17"/>
          <w:w w:val="15"/>
          <w:kern w:val="0"/>
          <w:szCs w:val="21"/>
          <w:fitText w:val="42" w:id="313789301"/>
        </w:rPr>
        <w:t>　</w:t>
      </w:r>
      <w:r>
        <w:rPr>
          <w:rFonts w:hint="eastAsia" w:asciiTheme="minorEastAsia" w:hAnsiTheme="minorEastAsia" w:eastAsiaTheme="minorEastAsia"/>
          <w:color w:val="000000"/>
          <w:szCs w:val="21"/>
        </w:rPr>
        <w:t>min</w:t>
      </w:r>
      <w:r>
        <w:rPr>
          <w:rFonts w:hint="eastAsia" w:asciiTheme="minorEastAsia" w:hAnsiTheme="minorEastAsia" w:eastAsiaTheme="minorEastAsia"/>
          <w:szCs w:val="21"/>
        </w:rPr>
        <w:t>，试验结束后，固定装置及悬吊装置应无明显变形或松动。</w:t>
      </w:r>
    </w:p>
    <w:p>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 xml:space="preserve">7.1.2  </w:t>
      </w:r>
      <w:r>
        <w:rPr>
          <w:rFonts w:hint="eastAsia" w:asciiTheme="minorEastAsia" w:hAnsiTheme="minorEastAsia" w:eastAsiaTheme="minorEastAsia"/>
          <w:szCs w:val="21"/>
        </w:rPr>
        <w:t>本条是为保证安装的灯具牢固可靠及灯具电源线的安全性而做的规定。</w:t>
      </w:r>
    </w:p>
    <w:p>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 xml:space="preserve">7.1.4  </w:t>
      </w:r>
      <w:r>
        <w:rPr>
          <w:rFonts w:hint="eastAsia" w:asciiTheme="minorEastAsia" w:hAnsiTheme="minorEastAsia" w:eastAsiaTheme="minorEastAsia"/>
          <w:szCs w:val="21"/>
        </w:rPr>
        <w:t>参考G</w:t>
      </w:r>
      <w:r>
        <w:rPr>
          <w:rFonts w:asciiTheme="minorEastAsia" w:hAnsiTheme="minorEastAsia" w:eastAsiaTheme="minorEastAsia"/>
          <w:szCs w:val="21"/>
        </w:rPr>
        <w:t>B50303-2015第</w:t>
      </w:r>
      <w:r>
        <w:rPr>
          <w:rFonts w:hint="eastAsia" w:asciiTheme="minorEastAsia" w:hAnsiTheme="minorEastAsia" w:eastAsiaTheme="minorEastAsia"/>
          <w:szCs w:val="21"/>
        </w:rPr>
        <w:t>1</w:t>
      </w:r>
      <w:r>
        <w:rPr>
          <w:rFonts w:asciiTheme="minorEastAsia" w:hAnsiTheme="minorEastAsia" w:eastAsiaTheme="minorEastAsia"/>
          <w:szCs w:val="21"/>
        </w:rPr>
        <w:t>7.2.2条截面积在</w:t>
      </w:r>
      <w:r>
        <w:rPr>
          <w:rFonts w:hint="eastAsia" w:asciiTheme="minorEastAsia" w:hAnsiTheme="minorEastAsia" w:eastAsiaTheme="minorEastAsia"/>
          <w:color w:val="000000"/>
          <w:szCs w:val="21"/>
        </w:rPr>
        <w:t>2</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5</w:t>
      </w:r>
      <w:r>
        <w:rPr>
          <w:rFonts w:hint="eastAsia" w:cs="仿宋" w:asciiTheme="minorEastAsia" w:hAnsiTheme="minorEastAsia" w:eastAsiaTheme="minorEastAsia"/>
          <w:color w:val="000000"/>
          <w:spacing w:val="0"/>
          <w:w w:val="15"/>
          <w:kern w:val="0"/>
          <w:szCs w:val="21"/>
          <w:fitText w:val="42" w:id="1017006290"/>
        </w:rPr>
        <w:t xml:space="preserve">　 </w:t>
      </w:r>
      <w:r>
        <w:rPr>
          <w:rFonts w:hint="eastAsia" w:cs="仿宋" w:asciiTheme="minorEastAsia" w:hAnsiTheme="minorEastAsia" w:eastAsiaTheme="minorEastAsia"/>
          <w:color w:val="000000"/>
          <w:spacing w:val="-17"/>
          <w:w w:val="15"/>
          <w:kern w:val="0"/>
          <w:szCs w:val="21"/>
          <w:fitText w:val="42" w:id="1017006290"/>
        </w:rPr>
        <w:t>　</w:t>
      </w:r>
      <w:r>
        <w:rPr>
          <w:rFonts w:hint="eastAsia" w:asciiTheme="minorEastAsia" w:hAnsiTheme="minorEastAsia" w:eastAsiaTheme="minorEastAsia"/>
          <w:color w:val="000000"/>
          <w:szCs w:val="21"/>
        </w:rPr>
        <w:t>m</w:t>
      </w:r>
      <w:r>
        <w:rPr>
          <w:rFonts w:asciiTheme="minorEastAsia" w:hAnsiTheme="minorEastAsia" w:eastAsiaTheme="minorEastAsia"/>
          <w:color w:val="000000"/>
          <w:szCs w:val="21"/>
        </w:rPr>
        <w:t>m</w:t>
      </w:r>
      <w:r>
        <w:rPr>
          <w:rFonts w:asciiTheme="minorEastAsia" w:hAnsiTheme="minorEastAsia" w:eastAsiaTheme="minorEastAsia"/>
          <w:color w:val="000000"/>
          <w:szCs w:val="21"/>
          <w:vertAlign w:val="superscript"/>
        </w:rPr>
        <w:t>2</w:t>
      </w:r>
      <w:r>
        <w:rPr>
          <w:rFonts w:asciiTheme="minorEastAsia" w:hAnsiTheme="minorEastAsia" w:eastAsiaTheme="minorEastAsia"/>
          <w:szCs w:val="21"/>
        </w:rPr>
        <w:t>及以下的多芯铜芯线应接续端子或拧紧搪锡后再与设备</w:t>
      </w:r>
      <w:r>
        <w:rPr>
          <w:rFonts w:asciiTheme="minorEastAsia" w:hAnsiTheme="minorEastAsia" w:eastAsiaTheme="minorEastAsia"/>
          <w:color w:val="000000"/>
          <w:szCs w:val="21"/>
        </w:rPr>
        <w:t>或</w:t>
      </w:r>
      <w:r>
        <w:rPr>
          <w:rFonts w:asciiTheme="minorEastAsia" w:hAnsiTheme="minorEastAsia" w:eastAsiaTheme="minorEastAsia"/>
          <w:szCs w:val="21"/>
        </w:rPr>
        <w:t>器具的端子连接。</w:t>
      </w:r>
    </w:p>
    <w:p>
      <w:pPr>
        <w:pStyle w:val="4"/>
        <w:numPr>
          <w:ilvl w:val="0"/>
          <w:numId w:val="199"/>
        </w:numPr>
        <w:spacing w:before="120" w:beforeLines="50" w:after="120" w:afterLines="50"/>
        <w:rPr>
          <w:rFonts w:asciiTheme="minorEastAsia" w:hAnsiTheme="minorEastAsia" w:eastAsiaTheme="minorEastAsia"/>
          <w:sz w:val="21"/>
          <w:szCs w:val="21"/>
        </w:rPr>
      </w:pPr>
      <w:r>
        <w:t>Ⅱ</w:t>
      </w:r>
      <w:r>
        <w:rPr>
          <w:rFonts w:hint="eastAsia" w:asciiTheme="minorEastAsia" w:hAnsiTheme="minorEastAsia" w:eastAsiaTheme="minorEastAsia"/>
          <w:sz w:val="21"/>
          <w:szCs w:val="21"/>
        </w:rPr>
        <w:t xml:space="preserve">  一般项目</w:t>
      </w:r>
    </w:p>
    <w:p>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7.1.24</w:t>
      </w:r>
      <w:r>
        <w:rPr>
          <w:rFonts w:hint="eastAsia" w:asciiTheme="minorEastAsia" w:hAnsiTheme="minorEastAsia" w:eastAsiaTheme="minorEastAsia"/>
          <w:szCs w:val="21"/>
        </w:rPr>
        <w:t xml:space="preserve">  引自《建筑电气照明装置施工与验收规范GB50617-2010》第4</w:t>
      </w:r>
      <w:r>
        <w:rPr>
          <w:rFonts w:asciiTheme="minorEastAsia" w:hAnsiTheme="minorEastAsia" w:eastAsiaTheme="minorEastAsia"/>
          <w:szCs w:val="21"/>
        </w:rPr>
        <w:t>.1.3</w:t>
      </w:r>
      <w:r>
        <w:rPr>
          <w:rFonts w:hint="eastAsia" w:asciiTheme="minorEastAsia" w:hAnsiTheme="minorEastAsia" w:eastAsiaTheme="minorEastAsia"/>
          <w:szCs w:val="21"/>
        </w:rPr>
        <w:t>条，GB 7000.1—2015/IEC 60598-1：2014，灯具第1部分</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一般要求与试验，增加了 “且灯具内部配线型号、规格应符合设计要求”的内容。</w:t>
      </w:r>
    </w:p>
    <w:p>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7.1.42</w:t>
      </w:r>
      <w:r>
        <w:rPr>
          <w:rFonts w:hint="eastAsia" w:asciiTheme="minorEastAsia" w:hAnsiTheme="minorEastAsia" w:eastAsiaTheme="minorEastAsia"/>
          <w:szCs w:val="21"/>
        </w:rPr>
        <w:t xml:space="preserve">  引自《建筑电气照明装置施工与验收规范GB50617-2010》第5</w:t>
      </w:r>
      <w:r>
        <w:rPr>
          <w:rFonts w:asciiTheme="minorEastAsia" w:hAnsiTheme="minorEastAsia" w:eastAsiaTheme="minorEastAsia"/>
          <w:szCs w:val="21"/>
        </w:rPr>
        <w:t>.1.3</w:t>
      </w:r>
      <w:r>
        <w:rPr>
          <w:rFonts w:hint="eastAsia" w:asciiTheme="minorEastAsia" w:hAnsiTheme="minorEastAsia" w:eastAsiaTheme="minorEastAsia"/>
          <w:szCs w:val="21"/>
        </w:rPr>
        <w:t>条</w:t>
      </w:r>
      <w:r>
        <w:rPr>
          <w:rFonts w:hint="eastAsia" w:cs="Calibri" w:asciiTheme="minorEastAsia" w:hAnsiTheme="minorEastAsia" w:eastAsiaTheme="minorEastAsia"/>
          <w:szCs w:val="21"/>
        </w:rPr>
        <w:t>，应急电源插座应有标识，</w:t>
      </w:r>
      <w:r>
        <w:rPr>
          <w:rFonts w:hint="eastAsia" w:asciiTheme="minorEastAsia" w:hAnsiTheme="minorEastAsia" w:eastAsiaTheme="minorEastAsia"/>
          <w:szCs w:val="21"/>
        </w:rPr>
        <w:t>第7.</w:t>
      </w:r>
      <w:r>
        <w:rPr>
          <w:rFonts w:asciiTheme="minorEastAsia" w:hAnsiTheme="minorEastAsia" w:eastAsiaTheme="minorEastAsia"/>
          <w:szCs w:val="21"/>
        </w:rPr>
        <w:t>1.1</w:t>
      </w:r>
      <w:r>
        <w:rPr>
          <w:rFonts w:hint="eastAsia" w:asciiTheme="minorEastAsia" w:hAnsiTheme="minorEastAsia" w:eastAsiaTheme="minorEastAsia"/>
          <w:szCs w:val="21"/>
        </w:rPr>
        <w:t>条，灯具控制回路与照明配电箱的回路标识应一致。</w:t>
      </w:r>
    </w:p>
    <w:p>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7.1.45</w:t>
      </w:r>
      <w:r>
        <w:rPr>
          <w:rFonts w:hint="eastAsia" w:asciiTheme="minorEastAsia" w:hAnsiTheme="minorEastAsia" w:eastAsiaTheme="minorEastAsia"/>
          <w:szCs w:val="21"/>
        </w:rPr>
        <w:t xml:space="preserve">  引自GB55024-2022建筑电气与智能化通用规范4.5.9条，原文描述为“安装在人员密集场所的吊装灯具玻璃罩，应采取防止玻璃破碎向下溅落的措施”。考虑到其他的硬质材料，从较高高度掉落后，仍然会对人员造成伤害，故补充其他材质。</w:t>
      </w:r>
    </w:p>
    <w:p>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400" w:name="_Toc137216301"/>
      <w:bookmarkStart w:id="401" w:name="_Toc136869565"/>
      <w:bookmarkStart w:id="402" w:name="_Toc136869149"/>
      <w:bookmarkStart w:id="403" w:name="_Toc135299534"/>
      <w:bookmarkStart w:id="404" w:name="_Toc137203451"/>
      <w:r>
        <w:rPr>
          <w:rFonts w:hint="eastAsia" w:asciiTheme="minorEastAsia" w:hAnsiTheme="minorEastAsia" w:eastAsiaTheme="minorEastAsia"/>
          <w:sz w:val="24"/>
          <w:szCs w:val="24"/>
        </w:rPr>
        <w:t>7.3 建筑物通电试运行</w:t>
      </w:r>
      <w:bookmarkEnd w:id="400"/>
      <w:bookmarkEnd w:id="401"/>
      <w:bookmarkEnd w:id="402"/>
      <w:bookmarkEnd w:id="403"/>
      <w:bookmarkEnd w:id="404"/>
    </w:p>
    <w:p>
      <w:pPr>
        <w:pStyle w:val="4"/>
        <w:numPr>
          <w:ilvl w:val="0"/>
          <w:numId w:val="199"/>
        </w:numPr>
        <w:spacing w:before="120" w:beforeLines="50" w:after="120" w:afterLines="50"/>
        <w:rPr>
          <w:rFonts w:asciiTheme="minorEastAsia" w:hAnsiTheme="minorEastAsia" w:eastAsiaTheme="minorEastAsia"/>
          <w:sz w:val="21"/>
          <w:szCs w:val="21"/>
        </w:rPr>
      </w:pPr>
      <w:r>
        <w:t>Ⅱ</w:t>
      </w:r>
      <w:r>
        <w:rPr>
          <w:rFonts w:hint="eastAsia" w:asciiTheme="minorEastAsia" w:hAnsiTheme="minorEastAsia" w:eastAsiaTheme="minorEastAsia"/>
          <w:sz w:val="21"/>
          <w:szCs w:val="21"/>
        </w:rPr>
        <w:t xml:space="preserve"> 一般项目</w:t>
      </w:r>
    </w:p>
    <w:p>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 xml:space="preserve">7.3.4 </w:t>
      </w:r>
      <w:r>
        <w:rPr>
          <w:rFonts w:hint="eastAsia" w:asciiTheme="minorEastAsia" w:hAnsiTheme="minorEastAsia" w:eastAsiaTheme="minorEastAsia"/>
          <w:szCs w:val="21"/>
        </w:rPr>
        <w:t xml:space="preserve"> 本条强调通电试运行中的绝缘遥测基础工作，有利于建筑工程质量管控</w:t>
      </w:r>
      <w:r>
        <w:rPr>
          <w:rFonts w:hint="eastAsia" w:asciiTheme="minorEastAsia" w:hAnsiTheme="minorEastAsia" w:eastAsiaTheme="minorEastAsia"/>
          <w:b/>
          <w:szCs w:val="21"/>
        </w:rPr>
        <w:t>。</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 xml:space="preserve">7.3.5  </w:t>
      </w:r>
      <w:r>
        <w:rPr>
          <w:rFonts w:hint="eastAsia" w:asciiTheme="minorEastAsia" w:hAnsiTheme="minorEastAsia" w:eastAsiaTheme="minorEastAsia"/>
          <w:szCs w:val="21"/>
        </w:rPr>
        <w:t>本条强调通电试运行要在保证安全的工况下按照安全、可靠、无违规的原则，有利于建筑工程中通电试运行安全可靠进行。</w:t>
      </w:r>
    </w:p>
    <w:p>
      <w:pPr>
        <w:widowControl/>
        <w:jc w:val="left"/>
        <w:rPr>
          <w:b/>
          <w:kern w:val="0"/>
          <w:sz w:val="28"/>
          <w:szCs w:val="28"/>
        </w:rPr>
      </w:pPr>
      <w:bookmarkStart w:id="405" w:name="_Toc136869566"/>
      <w:bookmarkStart w:id="406" w:name="_Toc136869150"/>
      <w:r>
        <w:rPr>
          <w:bCs/>
        </w:rPr>
        <w:br w:type="page"/>
      </w:r>
    </w:p>
    <w:p>
      <w:pPr>
        <w:pStyle w:val="78"/>
        <w:spacing w:before="240" w:after="240"/>
        <w:ind w:firstLine="0" w:firstLineChars="0"/>
        <w:rPr>
          <w:bCs w:val="0"/>
        </w:rPr>
      </w:pPr>
      <w:bookmarkStart w:id="407" w:name="_Toc137203452"/>
      <w:bookmarkStart w:id="408" w:name="_Toc137216302"/>
      <w:r>
        <w:rPr>
          <w:rFonts w:hint="eastAsia"/>
          <w:bCs w:val="0"/>
        </w:rPr>
        <w:t>8  防雷、</w:t>
      </w:r>
      <w:r>
        <w:rPr>
          <w:rFonts w:hint="eastAsia"/>
          <w:bCs w:val="0"/>
          <w:color w:val="000000"/>
        </w:rPr>
        <w:t>接地及</w:t>
      </w:r>
      <w:r>
        <w:rPr>
          <w:rFonts w:hint="eastAsia"/>
          <w:bCs w:val="0"/>
        </w:rPr>
        <w:t>等电位</w:t>
      </w:r>
      <w:bookmarkEnd w:id="399"/>
      <w:bookmarkEnd w:id="405"/>
      <w:bookmarkEnd w:id="406"/>
      <w:bookmarkEnd w:id="407"/>
      <w:bookmarkEnd w:id="408"/>
    </w:p>
    <w:p>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409" w:name="_Toc137216303"/>
      <w:bookmarkStart w:id="410" w:name="_Toc136869567"/>
      <w:bookmarkStart w:id="411" w:name="_Toc136869151"/>
      <w:bookmarkStart w:id="412" w:name="_Toc137203453"/>
      <w:bookmarkStart w:id="413" w:name="_Toc135299536"/>
      <w:r>
        <w:rPr>
          <w:rFonts w:hint="eastAsia" w:asciiTheme="minorEastAsia" w:hAnsiTheme="minorEastAsia" w:eastAsiaTheme="minorEastAsia"/>
          <w:sz w:val="24"/>
          <w:szCs w:val="24"/>
        </w:rPr>
        <w:t>8.1  电气照明装置安装接地装置安装</w:t>
      </w:r>
      <w:bookmarkEnd w:id="409"/>
      <w:bookmarkEnd w:id="410"/>
      <w:bookmarkEnd w:id="411"/>
      <w:bookmarkEnd w:id="412"/>
      <w:bookmarkEnd w:id="413"/>
    </w:p>
    <w:p>
      <w:pPr>
        <w:pStyle w:val="4"/>
        <w:numPr>
          <w:ilvl w:val="0"/>
          <w:numId w:val="199"/>
        </w:numPr>
        <w:spacing w:before="120" w:beforeLines="50" w:after="120" w:afterLines="5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r>
        <w:t>I</w:t>
      </w:r>
      <w:r>
        <w:rPr>
          <w:rFonts w:hint="eastAsia" w:asciiTheme="minorEastAsia" w:hAnsiTheme="minorEastAsia" w:eastAsiaTheme="minorEastAsia"/>
          <w:sz w:val="21"/>
          <w:szCs w:val="21"/>
        </w:rPr>
        <w:t xml:space="preserve">  主控项目</w:t>
      </w:r>
    </w:p>
    <w:p>
      <w:pPr>
        <w:spacing w:line="360" w:lineRule="auto"/>
        <w:rPr>
          <w:rFonts w:asciiTheme="minorEastAsia" w:hAnsiTheme="minorEastAsia" w:eastAsiaTheme="minorEastAsia"/>
          <w:b/>
          <w:i/>
          <w:szCs w:val="21"/>
        </w:rPr>
      </w:pPr>
      <w:r>
        <w:rPr>
          <w:rFonts w:hint="eastAsia" w:asciiTheme="minorEastAsia" w:hAnsiTheme="minorEastAsia" w:eastAsiaTheme="minorEastAsia"/>
          <w:b/>
          <w:iCs/>
          <w:szCs w:val="21"/>
        </w:rPr>
        <w:t xml:space="preserve">8.1.1  </w:t>
      </w:r>
      <w:r>
        <w:rPr>
          <w:rFonts w:hint="eastAsia" w:asciiTheme="minorEastAsia" w:hAnsiTheme="minorEastAsia" w:eastAsiaTheme="minorEastAsia"/>
          <w:szCs w:val="21"/>
        </w:rPr>
        <w:t>由于人工接地装置、利用建筑物基础钢筋的接地装置或两者联合的接地装置</w:t>
      </w:r>
      <w:r>
        <w:rPr>
          <w:rFonts w:hint="eastAsia" w:asciiTheme="minorEastAsia" w:hAnsiTheme="minorEastAsia" w:eastAsiaTheme="minorEastAsia"/>
          <w:color w:val="000000"/>
          <w:szCs w:val="21"/>
        </w:rPr>
        <w:t>，</w:t>
      </w:r>
      <w:r>
        <w:rPr>
          <w:rFonts w:asciiTheme="minorEastAsia" w:hAnsiTheme="minorEastAsia" w:eastAsiaTheme="minorEastAsia"/>
          <w:szCs w:val="21"/>
        </w:rPr>
        <w:t>其接地电阻值均会随着时间的推移、地下水位的变化、土壤导电率的变化而变化，故要对接地电阻值进行检测监视</w:t>
      </w:r>
      <w:r>
        <w:rPr>
          <w:rFonts w:hint="eastAsia" w:asciiTheme="minorEastAsia" w:hAnsiTheme="minorEastAsia" w:eastAsiaTheme="minorEastAsia"/>
          <w:color w:val="000000"/>
          <w:szCs w:val="21"/>
        </w:rPr>
        <w:t>，</w:t>
      </w:r>
      <w:r>
        <w:rPr>
          <w:rFonts w:asciiTheme="minorEastAsia" w:hAnsiTheme="minorEastAsia" w:eastAsiaTheme="minorEastAsia"/>
          <w:szCs w:val="21"/>
        </w:rPr>
        <w:t>在每幢有接地装置的建筑物要设置检测点</w:t>
      </w:r>
      <w:r>
        <w:rPr>
          <w:rFonts w:hint="eastAsia" w:asciiTheme="minorEastAsia" w:hAnsiTheme="minorEastAsia" w:eastAsiaTheme="minorEastAsia"/>
          <w:color w:val="000000"/>
          <w:szCs w:val="21"/>
        </w:rPr>
        <w:t>，</w:t>
      </w:r>
      <w:r>
        <w:rPr>
          <w:rFonts w:asciiTheme="minorEastAsia" w:hAnsiTheme="minorEastAsia" w:eastAsiaTheme="minorEastAsia"/>
          <w:szCs w:val="21"/>
        </w:rPr>
        <w:t>通常不少于2个。施工中不可遗漏。</w:t>
      </w:r>
    </w:p>
    <w:p>
      <w:pPr>
        <w:spacing w:line="360" w:lineRule="auto"/>
        <w:rPr>
          <w:rFonts w:asciiTheme="minorEastAsia" w:hAnsiTheme="minorEastAsia" w:eastAsiaTheme="minorEastAsia"/>
          <w:b/>
          <w:i/>
          <w:szCs w:val="21"/>
        </w:rPr>
      </w:pPr>
      <w:r>
        <w:rPr>
          <w:rFonts w:hint="eastAsia" w:asciiTheme="minorEastAsia" w:hAnsiTheme="minorEastAsia" w:eastAsiaTheme="minorEastAsia"/>
          <w:b/>
          <w:iCs/>
          <w:szCs w:val="21"/>
        </w:rPr>
        <w:t xml:space="preserve">8.1.2  </w:t>
      </w:r>
      <w:r>
        <w:rPr>
          <w:rFonts w:hint="eastAsia" w:asciiTheme="minorEastAsia" w:hAnsiTheme="minorEastAsia" w:eastAsiaTheme="minorEastAsia"/>
          <w:szCs w:val="21"/>
        </w:rPr>
        <w:t>在建筑工程中可</w:t>
      </w:r>
      <w:r>
        <w:rPr>
          <w:rFonts w:asciiTheme="minorEastAsia" w:hAnsiTheme="minorEastAsia" w:eastAsiaTheme="minorEastAsia"/>
          <w:szCs w:val="21"/>
        </w:rPr>
        <w:t>能有多个场所对接地电阻值提出要求，如变电所、电子信息系统机房、消防控制室等。另外</w:t>
      </w:r>
      <w:r>
        <w:rPr>
          <w:rFonts w:hint="eastAsia" w:asciiTheme="minorEastAsia" w:hAnsiTheme="minorEastAsia" w:eastAsiaTheme="minorEastAsia"/>
          <w:color w:val="000000"/>
          <w:szCs w:val="21"/>
        </w:rPr>
        <w:t>，</w:t>
      </w:r>
      <w:r>
        <w:rPr>
          <w:rFonts w:asciiTheme="minorEastAsia" w:hAnsiTheme="minorEastAsia" w:eastAsiaTheme="minorEastAsia"/>
          <w:szCs w:val="21"/>
        </w:rPr>
        <w:t>建筑物防雷工程也会对接地电阻值提出要求</w:t>
      </w:r>
      <w:r>
        <w:rPr>
          <w:rFonts w:hint="eastAsia" w:asciiTheme="minorEastAsia" w:hAnsiTheme="minorEastAsia" w:eastAsiaTheme="minorEastAsia"/>
          <w:color w:val="000000"/>
          <w:szCs w:val="21"/>
        </w:rPr>
        <w:t>，</w:t>
      </w:r>
      <w:r>
        <w:rPr>
          <w:rFonts w:asciiTheme="minorEastAsia" w:hAnsiTheme="minorEastAsia" w:eastAsiaTheme="minorEastAsia"/>
          <w:szCs w:val="21"/>
        </w:rPr>
        <w:t>因此在接地电阻测试时</w:t>
      </w:r>
      <w:r>
        <w:rPr>
          <w:rFonts w:hint="eastAsia" w:asciiTheme="minorEastAsia" w:hAnsiTheme="minorEastAsia" w:eastAsiaTheme="minorEastAsia"/>
          <w:color w:val="000000"/>
          <w:szCs w:val="21"/>
        </w:rPr>
        <w:t>，</w:t>
      </w:r>
      <w:r>
        <w:rPr>
          <w:rFonts w:asciiTheme="minorEastAsia" w:hAnsiTheme="minorEastAsia" w:eastAsiaTheme="minorEastAsia"/>
          <w:szCs w:val="21"/>
        </w:rPr>
        <w:t>应根据具体情况在相应的场所或部位分别进行测试</w:t>
      </w:r>
      <w:r>
        <w:rPr>
          <w:rFonts w:hint="eastAsia" w:asciiTheme="minorEastAsia" w:hAnsiTheme="minorEastAsia" w:eastAsiaTheme="minorEastAsia"/>
          <w:color w:val="000000"/>
          <w:szCs w:val="21"/>
        </w:rPr>
        <w:t>，</w:t>
      </w:r>
      <w:r>
        <w:rPr>
          <w:rFonts w:asciiTheme="minorEastAsia" w:hAnsiTheme="minorEastAsia" w:eastAsiaTheme="minorEastAsia"/>
          <w:szCs w:val="21"/>
        </w:rPr>
        <w:t>且应满足不同的接地电阻值要求。</w:t>
      </w:r>
    </w:p>
    <w:p>
      <w:pPr>
        <w:spacing w:line="360" w:lineRule="auto"/>
        <w:rPr>
          <w:rFonts w:asciiTheme="minorEastAsia" w:hAnsiTheme="minorEastAsia" w:eastAsiaTheme="minorEastAsia"/>
          <w:b/>
          <w:i/>
          <w:szCs w:val="21"/>
        </w:rPr>
      </w:pPr>
      <w:r>
        <w:rPr>
          <w:rFonts w:hint="eastAsia" w:asciiTheme="minorEastAsia" w:hAnsiTheme="minorEastAsia" w:eastAsiaTheme="minorEastAsia"/>
          <w:b/>
          <w:bCs/>
          <w:szCs w:val="21"/>
        </w:rPr>
        <w:t xml:space="preserve">8.1.3  </w:t>
      </w:r>
      <w:r>
        <w:rPr>
          <w:rFonts w:hint="eastAsia" w:asciiTheme="minorEastAsia" w:hAnsiTheme="minorEastAsia" w:eastAsiaTheme="minorEastAsia"/>
          <w:szCs w:val="21"/>
        </w:rPr>
        <w:t>接地装置采用的材料规格、型号由设计确定</w:t>
      </w:r>
      <w:r>
        <w:rPr>
          <w:rFonts w:hint="eastAsia" w:asciiTheme="minorEastAsia" w:hAnsiTheme="minorEastAsia" w:eastAsiaTheme="minorEastAsia"/>
          <w:color w:val="000000"/>
          <w:szCs w:val="21"/>
        </w:rPr>
        <w:t>，</w:t>
      </w:r>
      <w:r>
        <w:rPr>
          <w:rFonts w:asciiTheme="minorEastAsia" w:hAnsiTheme="minorEastAsia" w:eastAsiaTheme="minorEastAsia"/>
          <w:szCs w:val="21"/>
        </w:rPr>
        <w:t>本条强调在施工中应符合相关设计文件的要求。</w:t>
      </w:r>
    </w:p>
    <w:p>
      <w:pPr>
        <w:spacing w:line="360" w:lineRule="auto"/>
        <w:rPr>
          <w:rFonts w:asciiTheme="minorEastAsia" w:hAnsiTheme="minorEastAsia" w:eastAsiaTheme="minorEastAsia"/>
          <w:b/>
          <w:szCs w:val="21"/>
        </w:rPr>
      </w:pPr>
      <w:r>
        <w:rPr>
          <w:rFonts w:hint="eastAsia" w:asciiTheme="minorEastAsia" w:hAnsiTheme="minorEastAsia" w:eastAsiaTheme="minorEastAsia"/>
          <w:b/>
          <w:iCs/>
          <w:szCs w:val="21"/>
        </w:rPr>
        <w:t xml:space="preserve">8.1.4  </w:t>
      </w:r>
      <w:r>
        <w:rPr>
          <w:rFonts w:hint="eastAsia" w:asciiTheme="minorEastAsia" w:hAnsiTheme="minorEastAsia" w:eastAsiaTheme="minorEastAsia"/>
          <w:szCs w:val="21"/>
        </w:rPr>
        <w:t>本条规定了采用降阻剂、采用人工换土或将人工接地体外延、采用接地模块时的施工技术要求。施工时</w:t>
      </w:r>
      <w:r>
        <w:rPr>
          <w:rFonts w:hint="eastAsia" w:asciiTheme="minorEastAsia" w:hAnsiTheme="minorEastAsia" w:eastAsiaTheme="minorEastAsia"/>
          <w:color w:val="000000"/>
          <w:szCs w:val="21"/>
        </w:rPr>
        <w:t>，</w:t>
      </w:r>
      <w:r>
        <w:rPr>
          <w:rFonts w:asciiTheme="minorEastAsia" w:hAnsiTheme="minorEastAsia" w:eastAsiaTheme="minorEastAsia"/>
          <w:szCs w:val="21"/>
        </w:rPr>
        <w:t>除按设计要求和本条规定执行外</w:t>
      </w:r>
      <w:r>
        <w:rPr>
          <w:rFonts w:hint="eastAsia" w:asciiTheme="minorEastAsia" w:hAnsiTheme="minorEastAsia" w:eastAsiaTheme="minorEastAsia"/>
          <w:color w:val="000000"/>
          <w:szCs w:val="21"/>
        </w:rPr>
        <w:t>，</w:t>
      </w:r>
      <w:r>
        <w:rPr>
          <w:rFonts w:asciiTheme="minorEastAsia" w:hAnsiTheme="minorEastAsia" w:eastAsiaTheme="minorEastAsia"/>
          <w:szCs w:val="21"/>
        </w:rPr>
        <w:t>还应按降阻剂、接地模块供货商提供的有关技术文件要求执行。</w:t>
      </w:r>
    </w:p>
    <w:p>
      <w:pPr>
        <w:pStyle w:val="4"/>
        <w:numPr>
          <w:ilvl w:val="0"/>
          <w:numId w:val="199"/>
        </w:numPr>
        <w:spacing w:before="120" w:beforeLines="50" w:after="120" w:afterLines="5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r>
        <w:t>Ⅱ</w:t>
      </w:r>
      <w:r>
        <w:rPr>
          <w:rFonts w:hint="eastAsia" w:asciiTheme="minorEastAsia" w:hAnsiTheme="minorEastAsia" w:eastAsiaTheme="minorEastAsia"/>
          <w:sz w:val="21"/>
          <w:szCs w:val="21"/>
        </w:rPr>
        <w:t xml:space="preserve">  一般项目</w:t>
      </w:r>
    </w:p>
    <w:p>
      <w:pPr>
        <w:spacing w:line="360" w:lineRule="auto"/>
        <w:rPr>
          <w:rFonts w:asciiTheme="minorEastAsia" w:hAnsiTheme="minorEastAsia" w:eastAsiaTheme="minorEastAsia"/>
          <w:szCs w:val="21"/>
        </w:rPr>
      </w:pPr>
      <w:r>
        <w:rPr>
          <w:rFonts w:hint="eastAsia" w:asciiTheme="minorEastAsia" w:hAnsiTheme="minorEastAsia" w:eastAsiaTheme="minorEastAsia"/>
          <w:b/>
          <w:iCs/>
          <w:szCs w:val="21"/>
        </w:rPr>
        <w:t xml:space="preserve">8.1.7  </w:t>
      </w:r>
      <w:r>
        <w:rPr>
          <w:rFonts w:hint="eastAsia" w:asciiTheme="minorEastAsia" w:hAnsiTheme="minorEastAsia" w:eastAsiaTheme="minorEastAsia"/>
          <w:szCs w:val="21"/>
        </w:rPr>
        <w:t>本条是对热剂焊</w:t>
      </w:r>
      <w:r>
        <w:rPr>
          <w:rFonts w:hint="eastAsia" w:asciiTheme="minorEastAsia" w:hAnsiTheme="minorEastAsia" w:eastAsiaTheme="minorEastAsia"/>
          <w:color w:val="000000"/>
          <w:szCs w:val="21"/>
        </w:rPr>
        <w:t>（</w:t>
      </w:r>
      <w:r>
        <w:rPr>
          <w:rFonts w:asciiTheme="minorEastAsia" w:hAnsiTheme="minorEastAsia" w:eastAsiaTheme="minorEastAsia"/>
          <w:szCs w:val="21"/>
        </w:rPr>
        <w:t>放热焊接</w:t>
      </w:r>
      <w:r>
        <w:rPr>
          <w:rFonts w:hint="eastAsia" w:asciiTheme="minorEastAsia" w:hAnsiTheme="minorEastAsia" w:eastAsiaTheme="minorEastAsia"/>
          <w:color w:val="000000"/>
          <w:szCs w:val="21"/>
        </w:rPr>
        <w:t>）</w:t>
      </w:r>
      <w:r>
        <w:rPr>
          <w:rFonts w:asciiTheme="minorEastAsia" w:hAnsiTheme="minorEastAsia" w:eastAsiaTheme="minorEastAsia"/>
          <w:szCs w:val="21"/>
        </w:rPr>
        <w:t>工艺的熔焊接头工艺提出的要求。铜与铜或铜与钢材采用热剂焊</w:t>
      </w:r>
      <w:r>
        <w:rPr>
          <w:rFonts w:hint="eastAsia" w:asciiTheme="minorEastAsia" w:hAnsiTheme="minorEastAsia" w:eastAsiaTheme="minorEastAsia"/>
          <w:color w:val="000000"/>
          <w:szCs w:val="21"/>
        </w:rPr>
        <w:t>（</w:t>
      </w:r>
      <w:r>
        <w:rPr>
          <w:rFonts w:asciiTheme="minorEastAsia" w:hAnsiTheme="minorEastAsia" w:eastAsiaTheme="minorEastAsia"/>
          <w:szCs w:val="21"/>
        </w:rPr>
        <w:t>放热焊接</w:t>
      </w:r>
      <w:r>
        <w:rPr>
          <w:rFonts w:hint="eastAsia" w:asciiTheme="minorEastAsia" w:hAnsiTheme="minorEastAsia" w:eastAsiaTheme="minorEastAsia"/>
          <w:color w:val="000000"/>
          <w:szCs w:val="21"/>
        </w:rPr>
        <w:t>）</w:t>
      </w:r>
      <w:r>
        <w:rPr>
          <w:rFonts w:asciiTheme="minorEastAsia" w:hAnsiTheme="minorEastAsia" w:eastAsiaTheme="minorEastAsia"/>
          <w:szCs w:val="21"/>
        </w:rPr>
        <w:t>时</w:t>
      </w:r>
      <w:r>
        <w:rPr>
          <w:rFonts w:hint="eastAsia" w:asciiTheme="minorEastAsia" w:hAnsiTheme="minorEastAsia" w:eastAsiaTheme="minorEastAsia"/>
          <w:color w:val="000000"/>
          <w:szCs w:val="21"/>
        </w:rPr>
        <w:t>，</w:t>
      </w:r>
      <w:r>
        <w:rPr>
          <w:rFonts w:asciiTheme="minorEastAsia" w:hAnsiTheme="minorEastAsia" w:eastAsiaTheme="minorEastAsia"/>
          <w:szCs w:val="21"/>
        </w:rPr>
        <w:t>被连接的导体应完全包在熔接接头内</w:t>
      </w:r>
      <w:r>
        <w:rPr>
          <w:rFonts w:hint="eastAsia" w:asciiTheme="minorEastAsia" w:hAnsiTheme="minorEastAsia" w:eastAsiaTheme="minorEastAsia"/>
          <w:color w:val="000000"/>
          <w:szCs w:val="21"/>
        </w:rPr>
        <w:t>，</w:t>
      </w:r>
      <w:r>
        <w:rPr>
          <w:rFonts w:asciiTheme="minorEastAsia" w:hAnsiTheme="minorEastAsia" w:eastAsiaTheme="minorEastAsia"/>
          <w:szCs w:val="21"/>
        </w:rPr>
        <w:t>并应保证连接牢固、连接部位的金属完全熔化。</w:t>
      </w:r>
    </w:p>
    <w:p>
      <w:pPr>
        <w:spacing w:line="360" w:lineRule="auto"/>
        <w:rPr>
          <w:rFonts w:asciiTheme="minorEastAsia" w:hAnsiTheme="minorEastAsia" w:eastAsiaTheme="minorEastAsia"/>
          <w:szCs w:val="21"/>
        </w:rPr>
      </w:pPr>
      <w:r>
        <w:rPr>
          <w:rFonts w:hint="eastAsia" w:asciiTheme="minorEastAsia" w:hAnsiTheme="minorEastAsia" w:eastAsiaTheme="minorEastAsia"/>
          <w:b/>
          <w:iCs/>
          <w:szCs w:val="21"/>
        </w:rPr>
        <w:t xml:space="preserve">8.1.9  </w:t>
      </w:r>
      <w:r>
        <w:rPr>
          <w:rFonts w:hint="eastAsia" w:asciiTheme="minorEastAsia" w:hAnsiTheme="minorEastAsia" w:eastAsiaTheme="minorEastAsia"/>
          <w:bCs/>
          <w:iCs/>
          <w:szCs w:val="21"/>
        </w:rPr>
        <w:t>外取回填土时，不重视质量会造成接地不良，故本条明确规定以引起重视。在</w:t>
      </w:r>
      <w:r>
        <w:rPr>
          <w:rFonts w:hint="eastAsia" w:asciiTheme="minorEastAsia" w:hAnsiTheme="minorEastAsia" w:eastAsiaTheme="minorEastAsia"/>
          <w:bCs/>
          <w:iCs/>
          <w:color w:val="000000"/>
          <w:szCs w:val="21"/>
        </w:rPr>
        <w:t>回填土</w:t>
      </w:r>
      <w:r>
        <w:rPr>
          <w:rFonts w:hint="eastAsia" w:asciiTheme="minorEastAsia" w:hAnsiTheme="minorEastAsia" w:eastAsiaTheme="minorEastAsia"/>
          <w:bCs/>
          <w:iCs/>
          <w:szCs w:val="21"/>
        </w:rPr>
        <w:t>时应分层夯实，对室外接地、山区石质地段或电阻率较高的土质区段的回填工艺提出明确要求，强调了接地极敷设前对开挖沟的处理，增强了可操作性和检查依据。</w:t>
      </w:r>
    </w:p>
    <w:p>
      <w:pPr>
        <w:spacing w:line="360" w:lineRule="auto"/>
        <w:rPr>
          <w:rFonts w:asciiTheme="minorEastAsia" w:hAnsiTheme="minorEastAsia" w:eastAsiaTheme="minorEastAsia"/>
          <w:b/>
          <w:iCs/>
          <w:szCs w:val="21"/>
        </w:rPr>
      </w:pPr>
      <w:r>
        <w:rPr>
          <w:rFonts w:hint="eastAsia" w:asciiTheme="minorEastAsia" w:hAnsiTheme="minorEastAsia" w:eastAsiaTheme="minorEastAsia"/>
          <w:b/>
          <w:iCs/>
          <w:szCs w:val="21"/>
        </w:rPr>
        <w:t xml:space="preserve">8.1.11  </w:t>
      </w:r>
      <w:r>
        <w:rPr>
          <w:rFonts w:hint="eastAsia" w:asciiTheme="minorEastAsia" w:hAnsiTheme="minorEastAsia" w:eastAsiaTheme="minorEastAsia"/>
          <w:iCs/>
          <w:szCs w:val="21"/>
        </w:rPr>
        <w:t>本条是参照现行国家标准</w:t>
      </w:r>
      <w:r>
        <w:rPr>
          <w:rFonts w:hint="eastAsia" w:asciiTheme="minorEastAsia" w:hAnsiTheme="minorEastAsia" w:eastAsiaTheme="minorEastAsia"/>
          <w:iCs/>
          <w:color w:val="FF0000"/>
          <w:szCs w:val="21"/>
        </w:rPr>
        <w:t>《绝缘导线和裸导体的颜色标志》</w:t>
      </w:r>
      <w:r>
        <w:rPr>
          <w:rFonts w:asciiTheme="minorEastAsia" w:hAnsiTheme="minorEastAsia" w:eastAsiaTheme="minorEastAsia"/>
          <w:iCs/>
          <w:color w:val="FF0000"/>
          <w:szCs w:val="21"/>
        </w:rPr>
        <w:t xml:space="preserve"> GB7947</w:t>
      </w:r>
      <w:r>
        <w:rPr>
          <w:rFonts w:asciiTheme="minorEastAsia" w:hAnsiTheme="minorEastAsia" w:eastAsiaTheme="minorEastAsia"/>
          <w:iCs/>
          <w:szCs w:val="21"/>
        </w:rPr>
        <w:t>制定的。</w:t>
      </w:r>
    </w:p>
    <w:p>
      <w:pPr>
        <w:spacing w:line="360" w:lineRule="auto"/>
        <w:rPr>
          <w:rFonts w:asciiTheme="minorEastAsia" w:hAnsiTheme="minorEastAsia" w:eastAsiaTheme="minorEastAsia"/>
          <w:szCs w:val="21"/>
        </w:rPr>
      </w:pPr>
      <w:r>
        <w:rPr>
          <w:rFonts w:hint="eastAsia" w:asciiTheme="minorEastAsia" w:hAnsiTheme="minorEastAsia" w:eastAsiaTheme="minorEastAsia"/>
          <w:b/>
          <w:iCs/>
          <w:szCs w:val="21"/>
        </w:rPr>
        <w:t xml:space="preserve">8.1.12  </w:t>
      </w:r>
      <w:r>
        <w:rPr>
          <w:rFonts w:asciiTheme="minorEastAsia" w:hAnsiTheme="minorEastAsia" w:eastAsiaTheme="minorEastAsia"/>
          <w:szCs w:val="21"/>
        </w:rPr>
        <w:t>本条主要考虑对生产维护检修带来方便。</w:t>
      </w:r>
    </w:p>
    <w:p>
      <w:pPr>
        <w:spacing w:line="360" w:lineRule="auto"/>
        <w:rPr>
          <w:rFonts w:asciiTheme="minorEastAsia" w:hAnsiTheme="minorEastAsia" w:eastAsiaTheme="minorEastAsia"/>
          <w:szCs w:val="21"/>
        </w:rPr>
      </w:pPr>
      <w:r>
        <w:rPr>
          <w:rFonts w:hint="eastAsia" w:asciiTheme="minorEastAsia" w:hAnsiTheme="minorEastAsia" w:eastAsiaTheme="minorEastAsia"/>
          <w:b/>
          <w:iCs/>
          <w:szCs w:val="21"/>
        </w:rPr>
        <w:t xml:space="preserve">8.1.13  </w:t>
      </w:r>
      <w:r>
        <w:rPr>
          <w:rFonts w:hint="eastAsia" w:asciiTheme="minorEastAsia" w:hAnsiTheme="minorEastAsia" w:eastAsiaTheme="minorEastAsia"/>
          <w:szCs w:val="21"/>
        </w:rPr>
        <w:t>线夹本身有两条圆形槽道，用于放置相连接的两条接地线，线夹端正是指两条接地线都置于圆形槽道内时的线夹状态。接地跳线、接地电缆在隧道内敷设时，其方向与线路方向相垂直，布线美观是指人站在轨道上，眼看不到电缆存在明显倾斜弯曲。</w:t>
      </w:r>
    </w:p>
    <w:p>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414" w:name="_Toc136869152"/>
      <w:bookmarkStart w:id="415" w:name="_Toc137203454"/>
      <w:bookmarkStart w:id="416" w:name="_Toc136869568"/>
      <w:bookmarkStart w:id="417" w:name="_Toc137216304"/>
      <w:bookmarkStart w:id="418" w:name="_Toc135299539"/>
      <w:r>
        <w:rPr>
          <w:rFonts w:hint="eastAsia" w:asciiTheme="minorEastAsia" w:hAnsiTheme="minorEastAsia" w:eastAsiaTheme="minorEastAsia"/>
          <w:sz w:val="24"/>
          <w:szCs w:val="24"/>
        </w:rPr>
        <w:t>8.3  防雷引下线及接闪器安装</w:t>
      </w:r>
      <w:bookmarkEnd w:id="414"/>
      <w:bookmarkEnd w:id="415"/>
      <w:bookmarkEnd w:id="416"/>
      <w:bookmarkEnd w:id="417"/>
    </w:p>
    <w:p>
      <w:pPr>
        <w:pStyle w:val="4"/>
        <w:numPr>
          <w:ilvl w:val="0"/>
          <w:numId w:val="199"/>
        </w:numPr>
        <w:spacing w:before="120" w:beforeLines="50" w:after="120" w:afterLines="5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r>
        <w:rPr>
          <w:rFonts w:hint="eastAsia"/>
        </w:rPr>
        <w:t>I</w:t>
      </w:r>
      <w:r>
        <w:rPr>
          <w:rFonts w:hint="eastAsia" w:asciiTheme="minorEastAsia" w:hAnsiTheme="minorEastAsia" w:eastAsiaTheme="minorEastAsia"/>
          <w:sz w:val="21"/>
          <w:szCs w:val="21"/>
        </w:rPr>
        <w:t xml:space="preserve">  主控项目</w:t>
      </w:r>
    </w:p>
    <w:p>
      <w:pPr>
        <w:pStyle w:val="41"/>
        <w:spacing w:line="360" w:lineRule="auto"/>
        <w:ind w:firstLine="0" w:firstLineChars="0"/>
        <w:rPr>
          <w:rFonts w:asciiTheme="minorEastAsia" w:hAnsiTheme="minorEastAsia" w:eastAsiaTheme="minorEastAsia"/>
          <w:szCs w:val="21"/>
        </w:rPr>
      </w:pPr>
      <w:r>
        <w:rPr>
          <w:rFonts w:hint="eastAsia" w:asciiTheme="minorEastAsia" w:hAnsiTheme="minorEastAsia" w:eastAsiaTheme="minorEastAsia"/>
          <w:b/>
          <w:iCs/>
          <w:szCs w:val="21"/>
        </w:rPr>
        <w:t xml:space="preserve">8.3.1  </w:t>
      </w:r>
      <w:r>
        <w:rPr>
          <w:rFonts w:hint="eastAsia" w:asciiTheme="minorEastAsia" w:hAnsiTheme="minorEastAsia" w:eastAsiaTheme="minorEastAsia"/>
          <w:szCs w:val="21"/>
        </w:rPr>
        <w:t>本条是在GB50303主控项目引用。在现行国家标准《建筑物防雷设计规范》GB 50057 中对引下线的布置、规格及数量等均有相关规定</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在设计图中也有明确要求，本条主要是强调施工应符合相关设计文件的要求。</w:t>
      </w:r>
    </w:p>
    <w:p>
      <w:pPr>
        <w:pStyle w:val="41"/>
        <w:spacing w:line="360" w:lineRule="auto"/>
        <w:ind w:firstLine="0" w:firstLineChars="0"/>
        <w:rPr>
          <w:rFonts w:asciiTheme="minorEastAsia" w:hAnsiTheme="minorEastAsia" w:eastAsiaTheme="minorEastAsia"/>
          <w:szCs w:val="21"/>
        </w:rPr>
      </w:pPr>
      <w:r>
        <w:rPr>
          <w:rFonts w:hint="eastAsia" w:asciiTheme="minorEastAsia" w:hAnsiTheme="minorEastAsia" w:eastAsiaTheme="minorEastAsia"/>
          <w:b/>
          <w:iCs/>
          <w:szCs w:val="21"/>
        </w:rPr>
        <w:t xml:space="preserve">8.3.3  </w:t>
      </w:r>
      <w:r>
        <w:rPr>
          <w:rFonts w:hint="eastAsia" w:asciiTheme="minorEastAsia" w:hAnsiTheme="minorEastAsia" w:eastAsiaTheme="minorEastAsia"/>
          <w:szCs w:val="21"/>
        </w:rPr>
        <w:t>本条是GB50303主控项目引用，且为强制性条款。接闪器与防雷下线防雷引下线与接地装置的连接点</w:t>
      </w:r>
      <w:r>
        <w:rPr>
          <w:bCs/>
        </w:rPr>
        <w:t>（</w:t>
      </w:r>
      <w:r>
        <w:rPr>
          <w:rFonts w:hint="eastAsia" w:asciiTheme="minorEastAsia" w:hAnsiTheme="minorEastAsia" w:eastAsiaTheme="minorEastAsia"/>
          <w:bCs/>
          <w:szCs w:val="21"/>
        </w:rPr>
        <w:t>处</w:t>
      </w:r>
      <w:r>
        <w:rPr>
          <w:bCs/>
        </w:rPr>
        <w:t>）</w:t>
      </w:r>
      <w:r>
        <w:rPr>
          <w:rFonts w:hint="eastAsia" w:asciiTheme="minorEastAsia" w:hAnsiTheme="minorEastAsia" w:eastAsiaTheme="minorEastAsia"/>
          <w:bCs/>
          <w:szCs w:val="21"/>
        </w:rPr>
        <w:t>数量由设计确定。本条规定主要是强调接闪器与防雷引下线及防雷引下线与接地装置连接点</w:t>
      </w:r>
      <w:r>
        <w:rPr>
          <w:bCs/>
        </w:rPr>
        <w:t>（</w:t>
      </w:r>
      <w:r>
        <w:rPr>
          <w:rFonts w:hint="eastAsia" w:asciiTheme="minorEastAsia" w:hAnsiTheme="minorEastAsia" w:eastAsiaTheme="minorEastAsia"/>
          <w:bCs/>
          <w:szCs w:val="21"/>
        </w:rPr>
        <w:t>处</w:t>
      </w:r>
      <w:r>
        <w:rPr>
          <w:bCs/>
        </w:rPr>
        <w:t>）</w:t>
      </w:r>
      <w:r>
        <w:rPr>
          <w:rFonts w:hint="eastAsia" w:asciiTheme="minorEastAsia" w:hAnsiTheme="minorEastAsia" w:eastAsiaTheme="minorEastAsia"/>
          <w:szCs w:val="21"/>
        </w:rPr>
        <w:t>的连接要求，以确保相互连接的可靠性。</w:t>
      </w:r>
    </w:p>
    <w:p>
      <w:pPr>
        <w:pStyle w:val="41"/>
        <w:spacing w:line="360" w:lineRule="auto"/>
        <w:ind w:firstLine="0" w:firstLineChars="0"/>
        <w:rPr>
          <w:rFonts w:asciiTheme="minorEastAsia" w:hAnsiTheme="minorEastAsia" w:eastAsiaTheme="minorEastAsia"/>
          <w:szCs w:val="21"/>
        </w:rPr>
      </w:pPr>
      <w:r>
        <w:rPr>
          <w:rFonts w:hint="eastAsia" w:asciiTheme="minorEastAsia" w:hAnsiTheme="minorEastAsia" w:eastAsiaTheme="minorEastAsia"/>
          <w:b/>
          <w:iCs/>
          <w:szCs w:val="21"/>
        </w:rPr>
        <w:t xml:space="preserve">8.3.4  </w:t>
      </w:r>
      <w:r>
        <w:rPr>
          <w:rFonts w:hint="eastAsia" w:asciiTheme="minorEastAsia" w:hAnsiTheme="minorEastAsia" w:eastAsiaTheme="minorEastAsia"/>
          <w:szCs w:val="21"/>
        </w:rPr>
        <w:t>本条是GB55024-2022《建筑电气与智能化通用规范》条款引用。根据</w:t>
      </w:r>
      <w:r>
        <w:rPr>
          <w:rFonts w:hint="eastAsia" w:asciiTheme="minorEastAsia" w:hAnsiTheme="minorEastAsia" w:eastAsiaTheme="minorEastAsia"/>
          <w:color w:val="000000"/>
          <w:szCs w:val="21"/>
        </w:rPr>
        <w:t>GB/T21714.3-2015《雷电防护 第3部分 ：建筑物的物理损坏和生命危险》</w:t>
      </w:r>
      <w:r>
        <w:rPr>
          <w:rFonts w:hint="eastAsia" w:asciiTheme="minorEastAsia" w:hAnsiTheme="minorEastAsia" w:eastAsiaTheme="minorEastAsia"/>
          <w:szCs w:val="21"/>
        </w:rPr>
        <w:t>中5.3.4条规定，对易燃材料的墙面，应保证引下线与墙的距离大于</w:t>
      </w:r>
      <w:r>
        <w:rPr>
          <w:rFonts w:hint="eastAsia" w:asciiTheme="minorEastAsia" w:hAnsiTheme="minorEastAsia" w:eastAsiaTheme="minorEastAsia"/>
          <w:color w:val="000000"/>
          <w:szCs w:val="21"/>
        </w:rPr>
        <w:t>0.1</w:t>
      </w:r>
      <w:r>
        <w:rPr>
          <w:rFonts w:hint="eastAsia" w:cs="仿宋" w:asciiTheme="minorEastAsia" w:hAnsiTheme="minorEastAsia" w:eastAsiaTheme="minorEastAsia"/>
          <w:color w:val="000000"/>
          <w:spacing w:val="0"/>
          <w:w w:val="15"/>
          <w:kern w:val="0"/>
          <w:szCs w:val="21"/>
          <w:fitText w:val="42" w:id="1914327673"/>
        </w:rPr>
        <w:t xml:space="preserve">　 </w:t>
      </w:r>
      <w:r>
        <w:rPr>
          <w:rFonts w:hint="eastAsia" w:cs="仿宋" w:asciiTheme="minorEastAsia" w:hAnsiTheme="minorEastAsia" w:eastAsiaTheme="minorEastAsia"/>
          <w:color w:val="000000"/>
          <w:spacing w:val="-17"/>
          <w:w w:val="15"/>
          <w:kern w:val="0"/>
          <w:szCs w:val="21"/>
          <w:fitText w:val="42" w:id="1914327673"/>
        </w:rPr>
        <w:t>　</w:t>
      </w:r>
      <w:r>
        <w:rPr>
          <w:rFonts w:hint="eastAsia" w:asciiTheme="minorEastAsia" w:hAnsiTheme="minorEastAsia" w:eastAsiaTheme="minorEastAsia"/>
          <w:color w:val="000000"/>
          <w:szCs w:val="21"/>
        </w:rPr>
        <w:t>m</w:t>
      </w:r>
      <w:r>
        <w:rPr>
          <w:rFonts w:hint="eastAsia" w:asciiTheme="minorEastAsia" w:hAnsiTheme="minorEastAsia" w:eastAsiaTheme="minorEastAsia"/>
          <w:szCs w:val="21"/>
        </w:rPr>
        <w:t>。如不能实现，引下线截面积不应小于</w:t>
      </w:r>
      <w:r>
        <w:rPr>
          <w:rFonts w:hint="eastAsia" w:asciiTheme="minorEastAsia" w:hAnsiTheme="minorEastAsia" w:eastAsiaTheme="minorEastAsia"/>
          <w:color w:val="000000"/>
          <w:szCs w:val="21"/>
        </w:rPr>
        <w:t>100</w:t>
      </w:r>
      <w:r>
        <w:rPr>
          <w:rFonts w:hint="eastAsia" w:cs="仿宋" w:asciiTheme="minorEastAsia" w:hAnsiTheme="minorEastAsia" w:eastAsiaTheme="minorEastAsia"/>
          <w:color w:val="000000"/>
          <w:spacing w:val="0"/>
          <w:w w:val="15"/>
          <w:kern w:val="0"/>
          <w:szCs w:val="21"/>
          <w:fitText w:val="42" w:id="1767340631"/>
        </w:rPr>
        <w:t xml:space="preserve">　 </w:t>
      </w:r>
      <w:r>
        <w:rPr>
          <w:rFonts w:hint="eastAsia" w:cs="仿宋" w:asciiTheme="minorEastAsia" w:hAnsiTheme="minorEastAsia" w:eastAsiaTheme="minorEastAsia"/>
          <w:color w:val="000000"/>
          <w:spacing w:val="-17"/>
          <w:w w:val="15"/>
          <w:kern w:val="0"/>
          <w:szCs w:val="21"/>
          <w:fitText w:val="42" w:id="1767340631"/>
        </w:rPr>
        <w:t>　</w:t>
      </w:r>
      <w:r>
        <w:rPr>
          <w:rFonts w:hint="eastAsia" w:asciiTheme="minorEastAsia" w:hAnsiTheme="minorEastAsia" w:eastAsiaTheme="minorEastAsia"/>
          <w:color w:val="000000"/>
          <w:szCs w:val="21"/>
        </w:rPr>
        <w:t>mm。</w:t>
      </w:r>
      <w:r>
        <w:rPr>
          <w:rFonts w:hint="eastAsia" w:asciiTheme="minorEastAsia" w:hAnsiTheme="minorEastAsia" w:eastAsiaTheme="minorEastAsia"/>
          <w:szCs w:val="21"/>
        </w:rPr>
        <w:t>本条主要是为了避免雷电流通过时对墙壁或保温层产生危险。</w:t>
      </w:r>
    </w:p>
    <w:p>
      <w:pPr>
        <w:pStyle w:val="41"/>
        <w:spacing w:line="360" w:lineRule="auto"/>
        <w:ind w:firstLine="0" w:firstLineChars="0"/>
        <w:rPr>
          <w:rFonts w:asciiTheme="minorEastAsia" w:hAnsiTheme="minorEastAsia" w:eastAsiaTheme="minorEastAsia"/>
          <w:szCs w:val="21"/>
        </w:rPr>
      </w:pPr>
      <w:r>
        <w:rPr>
          <w:rFonts w:hint="eastAsia" w:asciiTheme="minorEastAsia" w:hAnsiTheme="minorEastAsia" w:eastAsiaTheme="minorEastAsia"/>
          <w:b/>
          <w:iCs/>
          <w:szCs w:val="21"/>
        </w:rPr>
        <w:t xml:space="preserve">8.3.5  </w:t>
      </w:r>
      <w:r>
        <w:rPr>
          <w:rFonts w:hint="eastAsia" w:asciiTheme="minorEastAsia" w:hAnsiTheme="minorEastAsia" w:eastAsiaTheme="minorEastAsia"/>
          <w:szCs w:val="21"/>
        </w:rPr>
        <w:t>本条是GB50303主控项目引用。</w:t>
      </w:r>
    </w:p>
    <w:p>
      <w:pPr>
        <w:pStyle w:val="41"/>
        <w:spacing w:line="360" w:lineRule="auto"/>
        <w:ind w:firstLine="0" w:firstLineChars="0"/>
        <w:rPr>
          <w:rFonts w:asciiTheme="minorEastAsia" w:hAnsiTheme="minorEastAsia" w:eastAsiaTheme="minorEastAsia"/>
          <w:szCs w:val="21"/>
        </w:rPr>
      </w:pPr>
      <w:r>
        <w:rPr>
          <w:rFonts w:hint="eastAsia" w:asciiTheme="minorEastAsia" w:hAnsiTheme="minorEastAsia" w:eastAsiaTheme="minorEastAsia"/>
          <w:b/>
          <w:iCs/>
          <w:szCs w:val="21"/>
        </w:rPr>
        <w:t xml:space="preserve">8.3.6  </w:t>
      </w:r>
      <w:r>
        <w:rPr>
          <w:rFonts w:hint="eastAsia" w:asciiTheme="minorEastAsia" w:hAnsiTheme="minorEastAsia" w:eastAsiaTheme="minorEastAsia"/>
          <w:szCs w:val="21"/>
        </w:rPr>
        <w:t>本条引自GB50601-2010《建筑物防雷工程施工与质量验收规范》第5.1.1条第3款，强制性条文。因引下线明敷可能会因接触电压时，旁侧闪络电压造成人员伤亡，因此设定本条款。</w:t>
      </w:r>
    </w:p>
    <w:p/>
    <w:p>
      <w:pPr>
        <w:pStyle w:val="4"/>
        <w:numPr>
          <w:ilvl w:val="0"/>
          <w:numId w:val="199"/>
        </w:numPr>
        <w:spacing w:before="120" w:beforeLines="50" w:after="120" w:afterLines="5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r>
        <w:t>Ⅱ</w:t>
      </w:r>
      <w:r>
        <w:rPr>
          <w:rFonts w:hint="eastAsia" w:asciiTheme="minorEastAsia" w:hAnsiTheme="minorEastAsia" w:eastAsiaTheme="minorEastAsia"/>
          <w:sz w:val="21"/>
          <w:szCs w:val="21"/>
        </w:rPr>
        <w:t xml:space="preserve">  一般项目</w:t>
      </w:r>
    </w:p>
    <w:p>
      <w:pPr>
        <w:pStyle w:val="41"/>
        <w:spacing w:line="360" w:lineRule="auto"/>
        <w:ind w:firstLine="0" w:firstLineChars="0"/>
        <w:rPr>
          <w:rFonts w:asciiTheme="minorEastAsia" w:hAnsiTheme="minorEastAsia" w:eastAsiaTheme="minorEastAsia"/>
          <w:bCs/>
          <w:iCs/>
          <w:szCs w:val="21"/>
        </w:rPr>
      </w:pPr>
      <w:r>
        <w:rPr>
          <w:rFonts w:hint="eastAsia" w:asciiTheme="minorEastAsia" w:hAnsiTheme="minorEastAsia" w:eastAsiaTheme="minorEastAsia"/>
          <w:b/>
          <w:iCs/>
          <w:szCs w:val="21"/>
        </w:rPr>
        <w:t>8.3.9</w:t>
      </w:r>
      <w:r>
        <w:rPr>
          <w:rFonts w:hint="eastAsia" w:asciiTheme="minorEastAsia" w:hAnsiTheme="minorEastAsia" w:eastAsiaTheme="minorEastAsia"/>
          <w:bCs/>
          <w:iCs/>
          <w:szCs w:val="21"/>
        </w:rPr>
        <w:t xml:space="preserve">  本条是引自15 D500《防雷与接地设计施工要点》的施工要点中P34，第3.0.5条，按照验收规范格式要求重新组织的语言，抽检数量、检查方法为新增。</w:t>
      </w:r>
    </w:p>
    <w:p>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419" w:name="_Toc136869153"/>
      <w:bookmarkStart w:id="420" w:name="_Toc137203455"/>
      <w:bookmarkStart w:id="421" w:name="_Toc137216305"/>
      <w:bookmarkStart w:id="422" w:name="_Toc136869569"/>
      <w:r>
        <w:rPr>
          <w:rFonts w:hint="eastAsia" w:asciiTheme="minorEastAsia" w:hAnsiTheme="minorEastAsia" w:eastAsiaTheme="minorEastAsia"/>
          <w:sz w:val="24"/>
          <w:szCs w:val="24"/>
        </w:rPr>
        <w:t>8.4 建筑物等电位联结</w:t>
      </w:r>
      <w:bookmarkEnd w:id="418"/>
      <w:bookmarkEnd w:id="419"/>
      <w:bookmarkEnd w:id="420"/>
      <w:bookmarkEnd w:id="421"/>
      <w:bookmarkEnd w:id="422"/>
    </w:p>
    <w:p>
      <w:pPr>
        <w:pStyle w:val="4"/>
        <w:numPr>
          <w:ilvl w:val="0"/>
          <w:numId w:val="199"/>
        </w:numPr>
        <w:spacing w:before="120" w:beforeLines="50" w:after="120" w:afterLines="50"/>
        <w:rPr>
          <w:b w:val="0"/>
          <w:bCs w:val="0"/>
          <w:szCs w:val="21"/>
        </w:rPr>
      </w:pPr>
      <w:r>
        <w:rPr>
          <w:rFonts w:hint="eastAsia"/>
          <w:b w:val="0"/>
          <w:bCs w:val="0"/>
          <w:szCs w:val="21"/>
        </w:rPr>
        <w:t xml:space="preserve"> </w:t>
      </w:r>
      <w:r>
        <w:rPr>
          <w:rFonts w:hint="eastAsia"/>
        </w:rPr>
        <w:t>I</w:t>
      </w:r>
      <w:r>
        <w:rPr>
          <w:rFonts w:hint="eastAsia" w:asciiTheme="minorEastAsia" w:hAnsiTheme="minorEastAsia" w:eastAsiaTheme="minorEastAsia"/>
          <w:b w:val="0"/>
          <w:bCs w:val="0"/>
          <w:sz w:val="21"/>
          <w:szCs w:val="21"/>
        </w:rPr>
        <w:t xml:space="preserve"> </w:t>
      </w:r>
      <w:r>
        <w:rPr>
          <w:rFonts w:hint="eastAsia" w:asciiTheme="minorEastAsia" w:hAnsiTheme="minorEastAsia" w:eastAsiaTheme="minorEastAsia"/>
          <w:sz w:val="21"/>
          <w:szCs w:val="21"/>
        </w:rPr>
        <w:t xml:space="preserve"> 主控项目</w:t>
      </w:r>
    </w:p>
    <w:p>
      <w:pPr>
        <w:pStyle w:val="41"/>
        <w:spacing w:line="360" w:lineRule="auto"/>
        <w:ind w:firstLine="0" w:firstLineChars="0"/>
        <w:rPr>
          <w:rFonts w:asciiTheme="minorEastAsia" w:hAnsiTheme="minorEastAsia" w:eastAsiaTheme="minorEastAsia"/>
          <w:szCs w:val="21"/>
        </w:rPr>
      </w:pPr>
      <w:r>
        <w:rPr>
          <w:rFonts w:hint="eastAsia" w:asciiTheme="minorEastAsia" w:hAnsiTheme="minorEastAsia" w:eastAsiaTheme="minorEastAsia"/>
          <w:b/>
          <w:bCs/>
          <w:szCs w:val="21"/>
        </w:rPr>
        <w:t xml:space="preserve">8.4.1  </w:t>
      </w:r>
      <w:r>
        <w:rPr>
          <w:rFonts w:hint="eastAsia" w:asciiTheme="minorEastAsia" w:hAnsiTheme="minorEastAsia" w:eastAsiaTheme="minorEastAsia"/>
          <w:szCs w:val="21"/>
        </w:rPr>
        <w:t>建筑物等电位联结的范围、形式、方法、部位及联结导体的材料和截面积等是由设计根据建筑物的功能、使用环境等来决定的，有星形结构（S型）和网络结构（M型），且设计图中都有明确要求，本条主要是强调必须按设计施工。</w:t>
      </w:r>
    </w:p>
    <w:p>
      <w:pPr>
        <w:pStyle w:val="41"/>
        <w:spacing w:line="360" w:lineRule="auto"/>
        <w:ind w:firstLine="0" w:firstLineChars="0"/>
        <w:rPr>
          <w:rFonts w:asciiTheme="minorEastAsia" w:hAnsiTheme="minorEastAsia" w:eastAsiaTheme="minorEastAsia"/>
          <w:szCs w:val="21"/>
        </w:rPr>
      </w:pPr>
      <w:r>
        <w:rPr>
          <w:rFonts w:hint="eastAsia" w:asciiTheme="minorEastAsia" w:hAnsiTheme="minorEastAsia" w:eastAsiaTheme="minorEastAsia"/>
          <w:b/>
          <w:bCs/>
          <w:szCs w:val="21"/>
        </w:rPr>
        <w:t xml:space="preserve">8.4.2  </w:t>
      </w:r>
      <w:r>
        <w:rPr>
          <w:rFonts w:hint="eastAsia" w:asciiTheme="minorEastAsia" w:hAnsiTheme="minorEastAsia" w:eastAsiaTheme="minorEastAsia"/>
          <w:szCs w:val="21"/>
        </w:rPr>
        <w:t>本条是对等电位联结导体连接方式的具体规定，强调连接导体应连接可靠，具体连接方式包括焊接连接及螺栓连接，焊接搭接的长度及螺栓搭接钻孔直径和搭接长度以及连接螺栓的力矩值应遵从GB50303的有关规定。</w:t>
      </w:r>
    </w:p>
    <w:p>
      <w:pPr>
        <w:pStyle w:val="4"/>
        <w:numPr>
          <w:ilvl w:val="0"/>
          <w:numId w:val="199"/>
        </w:numPr>
        <w:spacing w:before="120" w:beforeLines="50" w:after="120" w:afterLines="50"/>
        <w:rPr>
          <w:b w:val="0"/>
          <w:bCs w:val="0"/>
          <w:szCs w:val="21"/>
        </w:rPr>
      </w:pPr>
      <w:r>
        <w:rPr>
          <w:rFonts w:hint="eastAsia"/>
          <w:b w:val="0"/>
          <w:bCs w:val="0"/>
          <w:szCs w:val="21"/>
        </w:rPr>
        <w:t xml:space="preserve"> </w:t>
      </w:r>
      <w:r>
        <w:t>Ⅱ</w:t>
      </w:r>
      <w:r>
        <w:rPr>
          <w:rFonts w:hint="eastAsia" w:asciiTheme="minorEastAsia" w:hAnsiTheme="minorEastAsia" w:eastAsiaTheme="minorEastAsia"/>
          <w:sz w:val="21"/>
          <w:szCs w:val="21"/>
        </w:rPr>
        <w:t xml:space="preserve">  一般项目</w:t>
      </w:r>
    </w:p>
    <w:p>
      <w:pPr>
        <w:pStyle w:val="41"/>
        <w:spacing w:line="360" w:lineRule="auto"/>
        <w:ind w:firstLine="0" w:firstLineChars="0"/>
        <w:rPr>
          <w:rFonts w:asciiTheme="minorEastAsia" w:hAnsiTheme="minorEastAsia" w:eastAsiaTheme="minorEastAsia"/>
          <w:szCs w:val="21"/>
        </w:rPr>
      </w:pPr>
      <w:r>
        <w:rPr>
          <w:rFonts w:hint="eastAsia" w:asciiTheme="minorEastAsia" w:hAnsiTheme="minorEastAsia" w:eastAsiaTheme="minorEastAsia"/>
          <w:b/>
          <w:bCs/>
          <w:szCs w:val="21"/>
        </w:rPr>
        <w:t xml:space="preserve">8.4.3  </w:t>
      </w:r>
      <w:r>
        <w:rPr>
          <w:rFonts w:hint="eastAsia" w:asciiTheme="minorEastAsia" w:hAnsiTheme="minorEastAsia" w:eastAsiaTheme="minorEastAsia"/>
          <w:szCs w:val="21"/>
        </w:rPr>
        <w:t>在高档装修的卫生间内，各种金属部件外观华丽，应在内侧设置专用的等电位联</w:t>
      </w:r>
      <w:r>
        <w:rPr>
          <w:rFonts w:hint="eastAsia" w:asciiTheme="minorEastAsia" w:hAnsiTheme="minorEastAsia" w:eastAsiaTheme="minorEastAsia"/>
          <w:color w:val="000000"/>
          <w:szCs w:val="21"/>
        </w:rPr>
        <w:t>结点</w:t>
      </w:r>
      <w:r>
        <w:rPr>
          <w:rFonts w:hint="eastAsia" w:asciiTheme="minorEastAsia" w:hAnsiTheme="minorEastAsia" w:eastAsiaTheme="minorEastAsia"/>
          <w:szCs w:val="21"/>
        </w:rPr>
        <w:t>与暗敷的等电位联结支线连通，这样就不会因乱接而影响观感质量。</w:t>
      </w:r>
    </w:p>
    <w:p>
      <w:pPr>
        <w:pStyle w:val="41"/>
        <w:spacing w:line="360" w:lineRule="auto"/>
        <w:ind w:firstLine="0" w:firstLineChars="0"/>
        <w:rPr>
          <w:rFonts w:asciiTheme="minorEastAsia" w:hAnsiTheme="minorEastAsia" w:eastAsiaTheme="minorEastAsia"/>
          <w:szCs w:val="21"/>
        </w:rPr>
      </w:pPr>
      <w:r>
        <w:rPr>
          <w:rFonts w:hint="eastAsia" w:asciiTheme="minorEastAsia" w:hAnsiTheme="minorEastAsia" w:eastAsiaTheme="minorEastAsia"/>
          <w:b/>
          <w:bCs/>
          <w:szCs w:val="21"/>
        </w:rPr>
        <w:t xml:space="preserve">8.4.4  </w:t>
      </w:r>
      <w:r>
        <w:rPr>
          <w:rFonts w:hint="eastAsia" w:asciiTheme="minorEastAsia" w:hAnsiTheme="minorEastAsia" w:eastAsiaTheme="minorEastAsia"/>
          <w:szCs w:val="21"/>
        </w:rPr>
        <w:t>等电位联结导体的连接方式有焊接连接和螺栓连接两类。焊接连接一般用于永久性连接，螺栓连接一般用于时常需要检查维修的场合，对地下暗敷的等电位联结导体平时是不需要维护和检修的，属永久性连接。而且设计上等电位联结导体一般选用的是铜排或镀钵扁钢，铜排或扁钢采用螺栓压接时，对压接面的平整度要求相对较高，地下暗敷采用压接连接接触面可能会受影响且连接状况发生变化时不易被及时发现，故提出本条要求。</w:t>
      </w:r>
    </w:p>
    <w:p>
      <w:pPr>
        <w:pStyle w:val="41"/>
        <w:spacing w:line="360" w:lineRule="auto"/>
        <w:ind w:firstLine="0" w:firstLineChars="0"/>
        <w:rPr>
          <w:rFonts w:cs="仿宋" w:asciiTheme="minorEastAsia" w:hAnsiTheme="minorEastAsia" w:eastAsiaTheme="minorEastAsia"/>
          <w:szCs w:val="21"/>
        </w:rPr>
      </w:pPr>
      <w:r>
        <w:rPr>
          <w:rFonts w:hint="eastAsia" w:asciiTheme="minorEastAsia" w:hAnsiTheme="minorEastAsia" w:eastAsiaTheme="minorEastAsia"/>
          <w:b/>
          <w:bCs/>
          <w:szCs w:val="21"/>
        </w:rPr>
        <w:t xml:space="preserve">8.4.6 </w:t>
      </w:r>
      <w:r>
        <w:rPr>
          <w:rFonts w:hint="eastAsia" w:cs="仿宋" w:asciiTheme="minorEastAsia" w:hAnsiTheme="minorEastAsia" w:eastAsiaTheme="minorEastAsia"/>
          <w:szCs w:val="21"/>
        </w:rPr>
        <w:t xml:space="preserve"> 由于等电位</w:t>
      </w:r>
      <w:r>
        <w:rPr>
          <w:rFonts w:hint="eastAsia" w:cs="仿宋" w:asciiTheme="minorEastAsia" w:hAnsiTheme="minorEastAsia" w:eastAsiaTheme="minorEastAsia"/>
          <w:color w:val="000000"/>
          <w:szCs w:val="21"/>
        </w:rPr>
        <w:t>联结线</w:t>
      </w:r>
      <w:r>
        <w:rPr>
          <w:rFonts w:hint="eastAsia" w:cs="仿宋" w:asciiTheme="minorEastAsia" w:hAnsiTheme="minorEastAsia" w:eastAsiaTheme="minorEastAsia"/>
          <w:szCs w:val="21"/>
        </w:rPr>
        <w:t>的硬度相对较高，规定在跨越建筑物变形缝部位采取补偿措施是为了避免出现等电位</w:t>
      </w:r>
      <w:r>
        <w:rPr>
          <w:rFonts w:hint="eastAsia" w:cs="仿宋" w:asciiTheme="minorEastAsia" w:hAnsiTheme="minorEastAsia" w:eastAsiaTheme="minorEastAsia"/>
          <w:color w:val="000000"/>
          <w:szCs w:val="21"/>
        </w:rPr>
        <w:t>联结线</w:t>
      </w:r>
      <w:r>
        <w:rPr>
          <w:rFonts w:hint="eastAsia" w:cs="仿宋" w:asciiTheme="minorEastAsia" w:hAnsiTheme="minorEastAsia" w:eastAsiaTheme="minorEastAsia"/>
          <w:szCs w:val="21"/>
        </w:rPr>
        <w:t>变形和位移等状况。</w:t>
      </w:r>
    </w:p>
    <w:p>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423" w:name="_Toc137216306"/>
      <w:bookmarkStart w:id="424" w:name="_Toc136869154"/>
      <w:bookmarkStart w:id="425" w:name="_Toc136869570"/>
      <w:bookmarkStart w:id="426" w:name="_Toc135299540"/>
      <w:bookmarkStart w:id="427" w:name="_Toc137203456"/>
      <w:r>
        <w:rPr>
          <w:rFonts w:hint="eastAsia" w:asciiTheme="minorEastAsia" w:hAnsiTheme="minorEastAsia" w:eastAsiaTheme="minorEastAsia"/>
          <w:sz w:val="24"/>
          <w:szCs w:val="24"/>
        </w:rPr>
        <w:t>8.5 市政类项目防雷接地安装</w:t>
      </w:r>
      <w:bookmarkEnd w:id="423"/>
      <w:bookmarkEnd w:id="424"/>
      <w:bookmarkEnd w:id="425"/>
      <w:bookmarkEnd w:id="426"/>
      <w:bookmarkEnd w:id="427"/>
    </w:p>
    <w:p>
      <w:pPr>
        <w:pStyle w:val="4"/>
        <w:numPr>
          <w:ilvl w:val="0"/>
          <w:numId w:val="199"/>
        </w:numPr>
        <w:spacing w:before="120" w:beforeLines="50" w:after="120" w:afterLines="5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r>
        <w:rPr>
          <w:rFonts w:hint="eastAsia"/>
        </w:rPr>
        <w:t>I</w:t>
      </w:r>
      <w:r>
        <w:rPr>
          <w:rFonts w:hint="eastAsia" w:asciiTheme="minorEastAsia" w:hAnsiTheme="minorEastAsia" w:eastAsiaTheme="minorEastAsia"/>
          <w:sz w:val="21"/>
          <w:szCs w:val="21"/>
        </w:rPr>
        <w:t xml:space="preserve">  主控项目</w:t>
      </w:r>
    </w:p>
    <w:p>
      <w:pPr>
        <w:pStyle w:val="41"/>
        <w:spacing w:line="360" w:lineRule="auto"/>
        <w:ind w:firstLine="0" w:firstLineChars="0"/>
        <w:rPr>
          <w:rFonts w:cs="仿宋" w:asciiTheme="minorEastAsia" w:hAnsiTheme="minorEastAsia" w:eastAsiaTheme="minorEastAsia"/>
          <w:szCs w:val="21"/>
          <w:shd w:val="clear" w:color="auto" w:fill="FFFFFF"/>
        </w:rPr>
      </w:pPr>
      <w:bookmarkStart w:id="428" w:name="_Toc135299541"/>
      <w:r>
        <w:rPr>
          <w:rFonts w:hint="eastAsia" w:asciiTheme="minorEastAsia" w:hAnsiTheme="minorEastAsia" w:eastAsiaTheme="minorEastAsia"/>
          <w:b/>
          <w:bCs/>
          <w:szCs w:val="21"/>
        </w:rPr>
        <w:t xml:space="preserve">8.5.1  </w:t>
      </w:r>
      <w:r>
        <w:rPr>
          <w:rFonts w:hint="eastAsia" w:cs="仿宋" w:asciiTheme="minorEastAsia" w:hAnsiTheme="minorEastAsia" w:eastAsiaTheme="minorEastAsia"/>
          <w:szCs w:val="21"/>
          <w:shd w:val="clear" w:color="auto" w:fill="FFFFFF"/>
        </w:rPr>
        <w:t>接地系统是保护人身和设备安全的重要装置。因此本条对接地系统的选用作了具体的规定，必须严格执行。</w:t>
      </w:r>
    </w:p>
    <w:p>
      <w:pPr>
        <w:pStyle w:val="41"/>
        <w:spacing w:line="360" w:lineRule="auto"/>
        <w:ind w:firstLine="0" w:firstLineChars="0"/>
        <w:rPr>
          <w:rFonts w:cs="仿宋" w:asciiTheme="minorEastAsia" w:hAnsiTheme="minorEastAsia" w:eastAsiaTheme="minorEastAsia"/>
          <w:szCs w:val="21"/>
          <w:shd w:val="clear" w:color="auto" w:fill="FFFFFF"/>
        </w:rPr>
      </w:pPr>
      <w:r>
        <w:rPr>
          <w:rFonts w:hint="eastAsia" w:asciiTheme="minorEastAsia" w:hAnsiTheme="minorEastAsia" w:eastAsiaTheme="minorEastAsia"/>
          <w:b/>
          <w:bCs/>
          <w:szCs w:val="21"/>
        </w:rPr>
        <w:t xml:space="preserve">8.5.2  </w:t>
      </w:r>
      <w:r>
        <w:rPr>
          <w:rFonts w:hint="eastAsia" w:cs="仿宋" w:asciiTheme="minorEastAsia" w:hAnsiTheme="minorEastAsia" w:eastAsiaTheme="minorEastAsia"/>
          <w:szCs w:val="21"/>
          <w:shd w:val="clear" w:color="auto" w:fill="FFFFFF"/>
        </w:rPr>
        <w:t>设计时应首先计算利用桥墩基础作为自然接地装置时的接地电阻，当接地电阻不能满足设计要求时增设人工接地体。</w:t>
      </w:r>
    </w:p>
    <w:p>
      <w:pPr>
        <w:pStyle w:val="4"/>
        <w:numPr>
          <w:ilvl w:val="0"/>
          <w:numId w:val="199"/>
        </w:numPr>
        <w:spacing w:before="120" w:beforeLines="50" w:after="120" w:afterLines="5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r>
        <w:t>Ⅱ</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一般项目 </w:t>
      </w: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b/>
          <w:bCs/>
          <w:szCs w:val="21"/>
          <w:shd w:val="clear" w:color="auto" w:fill="FFFFFF"/>
        </w:rPr>
        <w:t xml:space="preserve">8.5.3  </w:t>
      </w:r>
      <w:r>
        <w:rPr>
          <w:rFonts w:hint="eastAsia" w:cs="仿宋" w:asciiTheme="minorEastAsia" w:hAnsiTheme="minorEastAsia" w:eastAsiaTheme="minorEastAsia"/>
          <w:szCs w:val="21"/>
          <w:shd w:val="clear" w:color="auto" w:fill="FFFFFF"/>
        </w:rPr>
        <w:t>接地装置的接地电阻值要求在</w:t>
      </w:r>
      <w:r>
        <w:rPr>
          <w:rFonts w:hint="eastAsia" w:cs="仿宋" w:asciiTheme="minorEastAsia" w:hAnsiTheme="minorEastAsia" w:eastAsiaTheme="minorEastAsia"/>
          <w:color w:val="000000"/>
          <w:szCs w:val="21"/>
          <w:shd w:val="clear" w:color="auto" w:fill="FFFFFF"/>
        </w:rPr>
        <w:t>10</w:t>
      </w:r>
      <w:r>
        <w:rPr>
          <w:rFonts w:hint="eastAsia" w:cs="仿宋" w:asciiTheme="minorEastAsia" w:hAnsiTheme="minorEastAsia" w:eastAsiaTheme="minorEastAsia"/>
          <w:color w:val="000000"/>
          <w:spacing w:val="0"/>
          <w:w w:val="15"/>
          <w:kern w:val="0"/>
          <w:szCs w:val="21"/>
          <w:fitText w:val="42" w:id="1968007597"/>
        </w:rPr>
        <w:t xml:space="preserve">　 </w:t>
      </w:r>
      <w:r>
        <w:rPr>
          <w:rFonts w:hint="eastAsia" w:cs="仿宋" w:asciiTheme="minorEastAsia" w:hAnsiTheme="minorEastAsia" w:eastAsiaTheme="minorEastAsia"/>
          <w:color w:val="000000"/>
          <w:spacing w:val="-17"/>
          <w:w w:val="15"/>
          <w:kern w:val="0"/>
          <w:szCs w:val="21"/>
          <w:fitText w:val="42" w:id="1968007597"/>
        </w:rPr>
        <w:t>　</w:t>
      </w:r>
      <w:r>
        <w:rPr>
          <w:rFonts w:hint="eastAsia" w:cs="仿宋" w:asciiTheme="minorEastAsia" w:hAnsiTheme="minorEastAsia" w:eastAsiaTheme="minorEastAsia"/>
          <w:color w:val="000000"/>
          <w:szCs w:val="21"/>
          <w:shd w:val="clear" w:color="auto" w:fill="FFFFFF"/>
        </w:rPr>
        <w:t>Ω</w:t>
      </w:r>
      <w:r>
        <w:rPr>
          <w:rFonts w:hint="eastAsia" w:cs="仿宋" w:asciiTheme="minorEastAsia" w:hAnsiTheme="minorEastAsia" w:eastAsiaTheme="minorEastAsia"/>
          <w:szCs w:val="21"/>
          <w:shd w:val="clear" w:color="auto" w:fill="FFFFFF"/>
        </w:rPr>
        <w:t>以下，系统接地电阻应小于</w:t>
      </w:r>
      <w:r>
        <w:rPr>
          <w:rFonts w:hint="eastAsia" w:cs="仿宋" w:asciiTheme="minorEastAsia" w:hAnsiTheme="minorEastAsia" w:eastAsiaTheme="minorEastAsia"/>
          <w:color w:val="000000"/>
          <w:szCs w:val="21"/>
          <w:shd w:val="clear" w:color="auto" w:fill="FFFFFF"/>
        </w:rPr>
        <w:t>4</w:t>
      </w:r>
      <w:r>
        <w:rPr>
          <w:rFonts w:hint="eastAsia" w:cs="仿宋" w:asciiTheme="minorEastAsia" w:hAnsiTheme="minorEastAsia" w:eastAsiaTheme="minorEastAsia"/>
          <w:color w:val="000000"/>
          <w:spacing w:val="0"/>
          <w:w w:val="15"/>
          <w:kern w:val="0"/>
          <w:szCs w:val="21"/>
          <w:fitText w:val="42" w:id="316886223"/>
        </w:rPr>
        <w:t xml:space="preserve">　 </w:t>
      </w:r>
      <w:r>
        <w:rPr>
          <w:rFonts w:hint="eastAsia" w:cs="仿宋" w:asciiTheme="minorEastAsia" w:hAnsiTheme="minorEastAsia" w:eastAsiaTheme="minorEastAsia"/>
          <w:color w:val="000000"/>
          <w:spacing w:val="-17"/>
          <w:w w:val="15"/>
          <w:kern w:val="0"/>
          <w:szCs w:val="21"/>
          <w:fitText w:val="42" w:id="316886223"/>
        </w:rPr>
        <w:t>　</w:t>
      </w:r>
      <w:r>
        <w:rPr>
          <w:rFonts w:hint="eastAsia" w:cs="仿宋" w:asciiTheme="minorEastAsia" w:hAnsiTheme="minorEastAsia" w:eastAsiaTheme="minorEastAsia"/>
          <w:color w:val="000000"/>
          <w:szCs w:val="21"/>
          <w:shd w:val="clear" w:color="auto" w:fill="FFFFFF"/>
        </w:rPr>
        <w:t>Ω</w:t>
      </w:r>
      <w:r>
        <w:rPr>
          <w:rFonts w:hint="eastAsia" w:cs="仿宋" w:asciiTheme="minorEastAsia" w:hAnsiTheme="minorEastAsia" w:eastAsiaTheme="minorEastAsia"/>
          <w:szCs w:val="21"/>
          <w:shd w:val="clear" w:color="auto" w:fill="FFFFFF"/>
        </w:rPr>
        <w:t>是为了在开关动作前尽量降低设备对地电压。</w:t>
      </w:r>
    </w:p>
    <w:p>
      <w:pPr>
        <w:pStyle w:val="3"/>
        <w:numPr>
          <w:ilvl w:val="0"/>
          <w:numId w:val="0"/>
        </w:numPr>
        <w:spacing w:before="120" w:beforeLines="50" w:after="120" w:afterLines="50" w:line="360" w:lineRule="auto"/>
        <w:jc w:val="center"/>
        <w:rPr>
          <w:rFonts w:asciiTheme="minorEastAsia" w:hAnsiTheme="minorEastAsia" w:eastAsiaTheme="minorEastAsia"/>
          <w:sz w:val="24"/>
          <w:szCs w:val="24"/>
        </w:rPr>
      </w:pPr>
      <w:bookmarkStart w:id="429" w:name="_Toc136869571"/>
      <w:bookmarkStart w:id="430" w:name="_Toc137203457"/>
      <w:bookmarkStart w:id="431" w:name="_Toc136869155"/>
      <w:bookmarkStart w:id="432" w:name="_Toc137216307"/>
      <w:r>
        <w:rPr>
          <w:rFonts w:hint="eastAsia" w:asciiTheme="minorEastAsia" w:hAnsiTheme="minorEastAsia" w:eastAsiaTheme="minorEastAsia"/>
          <w:sz w:val="24"/>
          <w:szCs w:val="24"/>
        </w:rPr>
        <w:t>8.6 轨道交通类项目防雷接地安装</w:t>
      </w:r>
      <w:bookmarkEnd w:id="428"/>
      <w:bookmarkEnd w:id="429"/>
      <w:bookmarkEnd w:id="430"/>
      <w:bookmarkEnd w:id="431"/>
      <w:bookmarkEnd w:id="432"/>
    </w:p>
    <w:p>
      <w:pPr>
        <w:pStyle w:val="4"/>
        <w:numPr>
          <w:ilvl w:val="0"/>
          <w:numId w:val="199"/>
        </w:numPr>
        <w:spacing w:before="120" w:beforeLines="50" w:after="120" w:afterLines="5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r>
        <w:t>I</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主控项目</w:t>
      </w:r>
    </w:p>
    <w:p>
      <w:pPr>
        <w:spacing w:line="360" w:lineRule="auto"/>
        <w:rPr>
          <w:rFonts w:asciiTheme="minorEastAsia" w:hAnsiTheme="minorEastAsia" w:eastAsiaTheme="minorEastAsia"/>
          <w:szCs w:val="21"/>
        </w:rPr>
      </w:pPr>
      <w:r>
        <w:rPr>
          <w:rFonts w:hint="eastAsia" w:cs="仿宋" w:asciiTheme="minorEastAsia" w:hAnsiTheme="minorEastAsia" w:eastAsiaTheme="minorEastAsia"/>
          <w:b/>
          <w:bCs/>
          <w:szCs w:val="21"/>
          <w:shd w:val="clear" w:color="auto" w:fill="FFFFFF"/>
        </w:rPr>
        <w:t xml:space="preserve">8.6.1  </w:t>
      </w:r>
      <w:r>
        <w:rPr>
          <w:rFonts w:hint="eastAsia" w:asciiTheme="minorEastAsia" w:hAnsiTheme="minorEastAsia" w:eastAsiaTheme="minorEastAsia"/>
          <w:szCs w:val="21"/>
        </w:rPr>
        <w:t>采用单点接地的目的是防止两点或多点接地形成地环路，产生电压差对电路造成干扰，就近从地线盘上引入也是为了减少接地电阻。实际在工程中设计会给出接地要求，本处进行检验确认。</w:t>
      </w:r>
    </w:p>
    <w:p>
      <w:pPr>
        <w:pStyle w:val="4"/>
        <w:numPr>
          <w:ilvl w:val="0"/>
          <w:numId w:val="199"/>
        </w:numPr>
        <w:spacing w:before="120" w:beforeLines="50" w:after="120" w:afterLines="5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r>
        <w:t>Ⅱ</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一般项目</w:t>
      </w:r>
    </w:p>
    <w:p>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 xml:space="preserve">8.6.3 </w:t>
      </w:r>
      <w:r>
        <w:rPr>
          <w:rFonts w:hint="eastAsia" w:asciiTheme="minorEastAsia" w:hAnsiTheme="minorEastAsia" w:eastAsiaTheme="minorEastAsia"/>
          <w:szCs w:val="21"/>
        </w:rPr>
        <w:t xml:space="preserve"> 本条引自地下铁道工程施工质量验收标准，属于轨道交通的常规做法，主要用于防止杂散电流的强腐蚀效应。</w:t>
      </w:r>
    </w:p>
    <w:p>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8.6.6</w:t>
      </w:r>
      <w:r>
        <w:rPr>
          <w:rFonts w:hint="eastAsia" w:asciiTheme="minorEastAsia" w:hAnsiTheme="minorEastAsia" w:eastAsiaTheme="minorEastAsia"/>
          <w:szCs w:val="21"/>
        </w:rPr>
        <w:t xml:space="preserve">  自动售检票系统通常使用车站建筑的共用综合接地。根据同家标准《智能建筑工程质量验收规范》</w:t>
      </w:r>
      <w:r>
        <w:rPr>
          <w:rFonts w:hint="eastAsia" w:asciiTheme="minorEastAsia" w:hAnsiTheme="minorEastAsia" w:eastAsiaTheme="minorEastAsia"/>
          <w:color w:val="000000"/>
          <w:szCs w:val="21"/>
        </w:rPr>
        <w:t>GB 50339-2013</w:t>
      </w:r>
      <w:r>
        <w:rPr>
          <w:rFonts w:hint="eastAsia" w:asciiTheme="minorEastAsia" w:hAnsiTheme="minorEastAsia" w:eastAsiaTheme="minorEastAsia"/>
          <w:szCs w:val="21"/>
        </w:rPr>
        <w:t xml:space="preserve"> 中第11.3.1的规定</w:t>
      </w:r>
      <w:r>
        <w:rPr>
          <w:b/>
        </w:rPr>
        <w:t>，</w:t>
      </w:r>
      <w:r>
        <w:rPr>
          <w:rFonts w:hint="eastAsia" w:asciiTheme="minorEastAsia" w:hAnsiTheme="minorEastAsia" w:eastAsiaTheme="minorEastAsia"/>
          <w:szCs w:val="21"/>
        </w:rPr>
        <w:t>采用建筑物金属体作为接地装置时，接地电阻不应大于10。自动售检票系统设备通常安装在车站客流密集的站厅</w:t>
      </w:r>
      <w:r>
        <w:rPr>
          <w:bCs/>
        </w:rPr>
        <w:t>（</w:t>
      </w:r>
      <w:r>
        <w:rPr>
          <w:rFonts w:hint="eastAsia" w:asciiTheme="minorEastAsia" w:hAnsiTheme="minorEastAsia" w:eastAsiaTheme="minorEastAsia"/>
          <w:szCs w:val="21"/>
        </w:rPr>
        <w:t>或站台</w:t>
      </w:r>
      <w:r>
        <w:rPr>
          <w:bCs/>
        </w:rPr>
        <w:t>）</w:t>
      </w:r>
      <w:r>
        <w:rPr>
          <w:rFonts w:hint="eastAsia" w:asciiTheme="minorEastAsia" w:hAnsiTheme="minorEastAsia" w:eastAsiaTheme="minorEastAsia"/>
          <w:szCs w:val="21"/>
        </w:rPr>
        <w:t>上，此</w:t>
      </w:r>
      <w:r>
        <w:rPr>
          <w:rFonts w:hint="eastAsia" w:asciiTheme="minorEastAsia" w:hAnsiTheme="minorEastAsia" w:eastAsiaTheme="minorEastAsia"/>
          <w:color w:val="000000"/>
          <w:szCs w:val="21"/>
        </w:rPr>
        <w:t>区域</w:t>
      </w:r>
      <w:r>
        <w:rPr>
          <w:rFonts w:hint="eastAsia" w:asciiTheme="minorEastAsia" w:hAnsiTheme="minorEastAsia" w:eastAsiaTheme="minorEastAsia"/>
          <w:szCs w:val="21"/>
        </w:rPr>
        <w:t>属于公共服务区域，所以安全接地要求严格遵守。</w:t>
      </w:r>
    </w:p>
    <w:p>
      <w:pPr>
        <w:rPr>
          <w:rFonts w:asciiTheme="minorEastAsia" w:hAnsiTheme="minorEastAsia" w:eastAsiaTheme="minorEastAsia"/>
        </w:rPr>
      </w:pPr>
    </w:p>
    <w:sectPr>
      <w:footerReference r:id="rId11" w:type="default"/>
      <w:pgSz w:w="11907" w:h="16840"/>
      <w:pgMar w:top="1440" w:right="1797" w:bottom="1440" w:left="1797"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Calibri Light">
    <w:altName w:val="Arial Rounded MT Bold"/>
    <w:panose1 w:val="020F0302020204030204"/>
    <w:charset w:val="00"/>
    <w:family w:val="swiss"/>
    <w:pitch w:val="default"/>
    <w:sig w:usb0="00000000" w:usb1="00000000" w:usb2="00000009" w:usb3="00000000" w:csb0="000001FF" w:csb1="00000000"/>
  </w:font>
  <w:font w:name="Dotum">
    <w:panose1 w:val="020B0600000101010101"/>
    <w:charset w:val="81"/>
    <w:family w:val="modern"/>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 w:name="Adobe ｺﾚﾌ・Std R">
    <w:altName w:val="宋体"/>
    <w:panose1 w:val="00000000000000000000"/>
    <w:charset w:val="80"/>
    <w:family w:val="swiss"/>
    <w:pitch w:val="default"/>
    <w:sig w:usb0="00000000" w:usb1="00000000" w:usb2="00000010" w:usb3="00000000" w:csb0="00020000" w:csb1="00000000"/>
  </w:font>
  <w:font w:name="Courier New">
    <w:panose1 w:val="02070309020205020404"/>
    <w:charset w:val="00"/>
    <w:family w:val="modern"/>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MS Gothic">
    <w:panose1 w:val="020B0609070205080204"/>
    <w:charset w:val="80"/>
    <w:family w:val="modern"/>
    <w:pitch w:val="default"/>
    <w:sig w:usb0="E00002FF" w:usb1="6AC7FDFB" w:usb2="00000012" w:usb3="00000000" w:csb0="4002009F" w:csb1="DFD70000"/>
  </w:font>
  <w:font w:name="Adobe 黑体 Std R">
    <w:altName w:val="黑体"/>
    <w:panose1 w:val="00000000000000000000"/>
    <w:charset w:val="86"/>
    <w:family w:val="swiss"/>
    <w:pitch w:val="default"/>
    <w:sig w:usb0="00000000" w:usb1="00000000" w:usb2="00000016" w:usb3="00000000" w:csb0="00060007" w:csb1="00000000"/>
  </w:font>
  <w:font w:name="Plotter">
    <w:altName w:val="DejaVu Math TeX Gyre"/>
    <w:panose1 w:val="00000000000000000000"/>
    <w:charset w:val="00"/>
    <w:family w:val="moder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Cambria Math">
    <w:panose1 w:val="02040503050406030204"/>
    <w:charset w:val="00"/>
    <w:family w:val="roman"/>
    <w:pitch w:val="default"/>
    <w:sig w:usb0="E00002FF" w:usb1="420024FF" w:usb2="00000000" w:usb3="00000000" w:csb0="2000019F" w:csb1="00000000"/>
  </w:font>
  <w:font w:name="MS Mincho">
    <w:panose1 w:val="02020609040205080304"/>
    <w:charset w:val="80"/>
    <w:family w:val="roman"/>
    <w:pitch w:val="default"/>
    <w:sig w:usb0="E00002FF" w:usb1="6AC7FDFB" w:usb2="00000012" w:usb3="00000000" w:csb0="4002009F" w:csb1="DFD70000"/>
  </w:font>
  <w:font w:name="仿宋_GB2312">
    <w:panose1 w:val="02010609030101010101"/>
    <w:charset w:val="86"/>
    <w:family w:val="modern"/>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Arial Rounded MT Bold">
    <w:panose1 w:val="020F0704030504030204"/>
    <w:charset w:val="00"/>
    <w:family w:val="auto"/>
    <w:pitch w:val="default"/>
    <w:sig w:usb0="00000003" w:usb1="00000000" w:usb2="00000000" w:usb3="00000000" w:csb0="20000001" w:csb1="00000000"/>
  </w:font>
  <w:font w:name="方正宋体S-超大字符集">
    <w:panose1 w:val="02000000000000000000"/>
    <w:charset w:val="86"/>
    <w:family w:val="auto"/>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p>
    <w:pPr>
      <w:kinsoku w:val="0"/>
      <w:overflowPunct w:val="0"/>
      <w:spacing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overflowPunct w:val="0"/>
      <w:spacing w:line="200" w:lineRule="exact"/>
      <w:rPr>
        <w:sz w:val="20"/>
        <w:szCs w:val="20"/>
      </w:rPr>
    </w:pPr>
    <w:r>
      <mc:AlternateContent>
        <mc:Choice Requires="wps">
          <w:drawing>
            <wp:anchor distT="0" distB="0" distL="114300" distR="114300" simplePos="0" relativeHeight="251663360" behindDoc="1" locked="0" layoutInCell="0" allowOverlap="1">
              <wp:simplePos x="0" y="0"/>
              <wp:positionH relativeFrom="page">
                <wp:posOffset>828675</wp:posOffset>
              </wp:positionH>
              <wp:positionV relativeFrom="page">
                <wp:posOffset>6214745</wp:posOffset>
              </wp:positionV>
              <wp:extent cx="973455" cy="120015"/>
              <wp:effectExtent l="0" t="0" r="0" b="0"/>
              <wp:wrapNone/>
              <wp:docPr id="98" name="文本框 98"/>
              <wp:cNvGraphicFramePr/>
              <a:graphic xmlns:a="http://schemas.openxmlformats.org/drawingml/2006/main">
                <a:graphicData uri="http://schemas.microsoft.com/office/word/2010/wordprocessingShape">
                  <wps:wsp>
                    <wps:cNvSpPr txBox="true">
                      <a:spLocks noChangeArrowheads="true"/>
                    </wps:cNvSpPr>
                    <wps:spPr bwMode="auto">
                      <a:xfrm>
                        <a:off x="0" y="0"/>
                        <a:ext cx="973455" cy="120015"/>
                      </a:xfrm>
                      <a:prstGeom prst="rect">
                        <a:avLst/>
                      </a:prstGeom>
                      <a:noFill/>
                      <a:ln>
                        <a:noFill/>
                      </a:ln>
                    </wps:spPr>
                    <wps:txbx>
                      <w:txbxContent>
                        <w:p>
                          <w:pPr>
                            <w:kinsoku w:val="0"/>
                            <w:overflowPunct w:val="0"/>
                            <w:spacing w:line="189" w:lineRule="exact"/>
                            <w:ind w:left="20"/>
                            <w:rPr>
                              <w:rFonts w:ascii="Adobe ｺﾚﾌ・Std R" w:eastAsia="Adobe ｺﾚﾌ・Std R" w:cs="Adobe ｺﾚﾌ・Std R"/>
                              <w:sz w:val="15"/>
                              <w:szCs w:val="15"/>
                            </w:rPr>
                          </w:pPr>
                          <w:r>
                            <w:rPr>
                              <w:rFonts w:hint="eastAsia" w:ascii="Adobe ｺﾚﾌ・Std R" w:eastAsia="Adobe ｺﾚﾌ・Std R" w:cs="Adobe ｺﾚﾌ・Std R"/>
                              <w:sz w:val="15"/>
                              <w:szCs w:val="15"/>
                            </w:rPr>
                            <w:t>本表由施工</w:t>
                          </w:r>
                          <w:r>
                            <w:rPr>
                              <w:rFonts w:hint="eastAsia" w:ascii="微软雅黑" w:hAnsi="微软雅黑" w:eastAsia="微软雅黑" w:cs="微软雅黑"/>
                              <w:spacing w:val="4"/>
                              <w:sz w:val="15"/>
                              <w:szCs w:val="15"/>
                            </w:rPr>
                            <w:t>单</w:t>
                          </w:r>
                          <w:r>
                            <w:rPr>
                              <w:rFonts w:hint="eastAsia" w:ascii="Adobe ｺﾚﾌ・Std R" w:eastAsia="Adobe ｺﾚﾌ・Std R" w:cs="Adobe ｺﾚﾌ・Std R"/>
                              <w:sz w:val="15"/>
                              <w:szCs w:val="15"/>
                            </w:rPr>
                            <w:t>位填</w:t>
                          </w:r>
                          <w:r>
                            <w:rPr>
                              <w:rFonts w:hint="eastAsia" w:ascii="Adobe ｺﾚﾌ・Std R" w:eastAsia="Adobe ｺﾚﾌ・Std R" w:cs="Adobe ｺﾚﾌ・Std R"/>
                              <w:spacing w:val="-1"/>
                              <w:sz w:val="15"/>
                              <w:szCs w:val="15"/>
                            </w:rPr>
                            <w:t>写</w:t>
                          </w:r>
                          <w:r>
                            <w:rPr>
                              <w:rFonts w:hint="eastAsia" w:ascii="Adobe ｺﾚﾌ・Std R" w:eastAsia="Adobe ｺﾚﾌ・Std R" w:cs="Adobe ｺﾚﾌ・Std R"/>
                              <w:sz w:val="15"/>
                              <w:szCs w:val="15"/>
                            </w:rPr>
                            <w:t>。</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65.25pt;margin-top:489.35pt;height:9.45pt;width:76.65pt;mso-position-horizontal-relative:page;mso-position-vertical-relative:page;z-index:-251653120;mso-width-relative:page;mso-height-relative:page;" filled="f" stroked="f" coordsize="21600,21600" o:allowincell="f" o:gfxdata="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0UdNBtkAAAALAQAADwAAAAAAAAAB&#10;ACAAAAA4AAAAZHJzL2Rvd25yZXYueG1sUEsBAhQAFAAAAAgAh07iQDv6Vlz5AQAAxQMAAA4AAAAA&#10;AAAAAQAgAAAAPgEAAGRycy9lMm9Eb2MueG1sUEsFBgAAAAAGAAYAWQEAAKkFAAAAAA==&#10;">
              <v:fill on="f" focussize="0,0"/>
              <v:stroke on="f"/>
              <v:imagedata o:title=""/>
              <o:lock v:ext="edit" aspectratio="f"/>
              <v:textbox inset="0mm,0mm,0mm,0mm">
                <w:txbxContent>
                  <w:p>
                    <w:pPr>
                      <w:kinsoku w:val="0"/>
                      <w:overflowPunct w:val="0"/>
                      <w:spacing w:line="189" w:lineRule="exact"/>
                      <w:ind w:left="20"/>
                      <w:rPr>
                        <w:rFonts w:ascii="Adobe ｺﾚﾌ・Std R" w:eastAsia="Adobe ｺﾚﾌ・Std R" w:cs="Adobe ｺﾚﾌ・Std R"/>
                        <w:sz w:val="15"/>
                        <w:szCs w:val="15"/>
                      </w:rPr>
                    </w:pPr>
                    <w:r>
                      <w:rPr>
                        <w:rFonts w:hint="eastAsia" w:ascii="Adobe ｺﾚﾌ・Std R" w:eastAsia="Adobe ｺﾚﾌ・Std R" w:cs="Adobe ｺﾚﾌ・Std R"/>
                        <w:sz w:val="15"/>
                        <w:szCs w:val="15"/>
                      </w:rPr>
                      <w:t>本表由施工</w:t>
                    </w:r>
                    <w:r>
                      <w:rPr>
                        <w:rFonts w:hint="eastAsia" w:ascii="微软雅黑" w:hAnsi="微软雅黑" w:eastAsia="微软雅黑" w:cs="微软雅黑"/>
                        <w:spacing w:val="4"/>
                        <w:sz w:val="15"/>
                        <w:szCs w:val="15"/>
                      </w:rPr>
                      <w:t>单</w:t>
                    </w:r>
                    <w:r>
                      <w:rPr>
                        <w:rFonts w:hint="eastAsia" w:ascii="Adobe ｺﾚﾌ・Std R" w:eastAsia="Adobe ｺﾚﾌ・Std R" w:cs="Adobe ｺﾚﾌ・Std R"/>
                        <w:sz w:val="15"/>
                        <w:szCs w:val="15"/>
                      </w:rPr>
                      <w:t>位填</w:t>
                    </w:r>
                    <w:r>
                      <w:rPr>
                        <w:rFonts w:hint="eastAsia" w:ascii="Adobe ｺﾚﾌ・Std R" w:eastAsia="Adobe ｺﾚﾌ・Std R" w:cs="Adobe ｺﾚﾌ・Std R"/>
                        <w:spacing w:val="-1"/>
                        <w:sz w:val="15"/>
                        <w:szCs w:val="15"/>
                      </w:rPr>
                      <w:t>写</w:t>
                    </w:r>
                    <w:r>
                      <w:rPr>
                        <w:rFonts w:hint="eastAsia" w:ascii="Adobe ｺﾚﾌ・Std R" w:eastAsia="Adobe ｺﾚﾌ・Std R" w:cs="Adobe ｺﾚﾌ・Std R"/>
                        <w:sz w:val="15"/>
                        <w:szCs w:val="15"/>
                      </w:rPr>
                      <w:t>。</w:t>
                    </w:r>
                  </w:p>
                </w:txbxContent>
              </v:textbox>
            </v:shape>
          </w:pict>
        </mc:Fallback>
      </mc:AlternateContent>
    </w:r>
    <w:r>
      <mc:AlternateContent>
        <mc:Choice Requires="wps">
          <w:drawing>
            <wp:anchor distT="0" distB="0" distL="114300" distR="114300" simplePos="0" relativeHeight="251664384" behindDoc="1" locked="0" layoutInCell="0" allowOverlap="1">
              <wp:simplePos x="0" y="0"/>
              <wp:positionH relativeFrom="page">
                <wp:posOffset>623570</wp:posOffset>
              </wp:positionH>
              <wp:positionV relativeFrom="page">
                <wp:posOffset>6530340</wp:posOffset>
              </wp:positionV>
              <wp:extent cx="243205" cy="153670"/>
              <wp:effectExtent l="0" t="0" r="0" b="0"/>
              <wp:wrapNone/>
              <wp:docPr id="97" name="文本框 97"/>
              <wp:cNvGraphicFramePr/>
              <a:graphic xmlns:a="http://schemas.openxmlformats.org/drawingml/2006/main">
                <a:graphicData uri="http://schemas.microsoft.com/office/word/2010/wordprocessingShape">
                  <wps:wsp>
                    <wps:cNvSpPr txBox="true">
                      <a:spLocks noChangeArrowheads="true"/>
                    </wps:cNvSpPr>
                    <wps:spPr bwMode="auto">
                      <a:xfrm>
                        <a:off x="0" y="0"/>
                        <a:ext cx="243205" cy="153670"/>
                      </a:xfrm>
                      <a:prstGeom prst="rect">
                        <a:avLst/>
                      </a:prstGeom>
                      <a:noFill/>
                      <a:ln>
                        <a:noFill/>
                      </a:ln>
                    </wps:spPr>
                    <wps:txbx>
                      <w:txbxContent>
                        <w:p>
                          <w:pPr>
                            <w:pStyle w:val="11"/>
                            <w:kinsoku w:val="0"/>
                            <w:overflowPunct w:val="0"/>
                            <w:spacing w:line="242" w:lineRule="exact"/>
                            <w:ind w:left="40"/>
                          </w:pPr>
                          <w:r>
                            <w:rPr>
                              <w:w w:val="90"/>
                            </w:rPr>
                            <w:fldChar w:fldCharType="begin"/>
                          </w:r>
                          <w:r>
                            <w:rPr>
                              <w:w w:val="90"/>
                            </w:rPr>
                            <w:instrText xml:space="preserve"> PAGE </w:instrText>
                          </w:r>
                          <w:r>
                            <w:rPr>
                              <w:w w:val="90"/>
                            </w:rPr>
                            <w:fldChar w:fldCharType="separate"/>
                          </w:r>
                          <w:r>
                            <w:rPr>
                              <w:w w:val="90"/>
                            </w:rPr>
                            <w:t>212</w:t>
                          </w:r>
                          <w:r>
                            <w:rPr>
                              <w:w w:val="90"/>
                            </w:rPr>
                            <w:fldChar w:fldCharType="end"/>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49.1pt;margin-top:514.2pt;height:12.1pt;width:19.15pt;mso-position-horizontal-relative:page;mso-position-vertical-relative:page;z-index:-251652096;mso-width-relative:page;mso-height-relative:page;" filled="f" stroked="f" coordsize="21600,21600" o:allowincell="f" o:gfxdata="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CEzLB2QAAAAwBAAAPAAAAAAAA&#10;AAEAIAAAADgAAABkcnMvZG93bnJldi54bWxQSwECFAAUAAAACACHTuJAko+IMfsBAADFAwAADgAA&#10;AAAAAAABACAAAAA+AQAAZHJzL2Uyb0RvYy54bWxQSwUGAAAAAAYABgBZAQAAqwUAAAAA&#10;">
              <v:fill on="f" focussize="0,0"/>
              <v:stroke on="f"/>
              <v:imagedata o:title=""/>
              <o:lock v:ext="edit" aspectratio="f"/>
              <v:textbox inset="0mm,0mm,0mm,0mm">
                <w:txbxContent>
                  <w:p>
                    <w:pPr>
                      <w:pStyle w:val="11"/>
                      <w:kinsoku w:val="0"/>
                      <w:overflowPunct w:val="0"/>
                      <w:spacing w:line="242" w:lineRule="exact"/>
                      <w:ind w:left="40"/>
                    </w:pPr>
                    <w:r>
                      <w:rPr>
                        <w:w w:val="90"/>
                      </w:rPr>
                      <w:fldChar w:fldCharType="begin"/>
                    </w:r>
                    <w:r>
                      <w:rPr>
                        <w:w w:val="90"/>
                      </w:rPr>
                      <w:instrText xml:space="preserve"> PAGE </w:instrText>
                    </w:r>
                    <w:r>
                      <w:rPr>
                        <w:w w:val="90"/>
                      </w:rPr>
                      <w:fldChar w:fldCharType="separate"/>
                    </w:r>
                    <w:r>
                      <w:rPr>
                        <w:w w:val="90"/>
                      </w:rPr>
                      <w:t>212</w:t>
                    </w:r>
                    <w:r>
                      <w:rPr>
                        <w:w w:val="90"/>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p>
    <w:pPr>
      <w:kinsoku w:val="0"/>
      <w:overflowPunct w:val="0"/>
      <w:spacing w:line="200" w:lineRule="exact"/>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p>
    <w:pPr>
      <w:kinsoku w:val="0"/>
      <w:overflowPunct w:val="0"/>
      <w:spacing w:line="200" w:lineRule="exact"/>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p>
    <w:pPr>
      <w:kinsoku w:val="0"/>
      <w:overflowPunct w:val="0"/>
      <w:spacing w:line="200" w:lineRule="exact"/>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p>
    <w:pPr>
      <w:kinsoku w:val="0"/>
      <w:overflowPunct w:val="0"/>
      <w:spacing w:line="200" w:lineRule="exact"/>
      <w:rPr>
        <w:sz w:val="20"/>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p>
    <w:pPr>
      <w:kinsoku w:val="0"/>
      <w:overflowPunct w:val="0"/>
      <w:spacing w:line="200" w:lineRule="exact"/>
      <w:rPr>
        <w:sz w:val="20"/>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5999672"/>
    </w:sdtPr>
    <w:sdtContent>
      <w:p>
        <w:pPr>
          <w:pStyle w:val="17"/>
          <w:jc w:val="center"/>
        </w:pPr>
        <w:r>
          <w:fldChar w:fldCharType="begin"/>
        </w:r>
        <w:r>
          <w:instrText xml:space="preserve">PAGE   \* MERGEFORMAT</w:instrText>
        </w:r>
        <w:r>
          <w:fldChar w:fldCharType="separate"/>
        </w:r>
        <w:r>
          <w:rPr>
            <w:lang w:val="zh-CN"/>
          </w:rPr>
          <w:t>1</w:t>
        </w:r>
        <w:r>
          <w:fldChar w:fldCharType="end"/>
        </w:r>
      </w:p>
    </w:sdtContent>
  </w:sdt>
  <w:p>
    <w:pPr>
      <w:kinsoku w:val="0"/>
      <w:overflowPunct w:val="0"/>
      <w:spacing w:line="200" w:lineRule="exact"/>
      <w:rPr>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DC7E8D"/>
    <w:multiLevelType w:val="singleLevel"/>
    <w:tmpl w:val="E6DC7E8D"/>
    <w:lvl w:ilvl="0" w:tentative="0">
      <w:start w:val="1"/>
      <w:numFmt w:val="decimal"/>
      <w:suff w:val="nothing"/>
      <w:lvlText w:val="%1）"/>
      <w:lvlJc w:val="left"/>
    </w:lvl>
  </w:abstractNum>
  <w:abstractNum w:abstractNumId="1">
    <w:nsid w:val="FBA1BEA4"/>
    <w:multiLevelType w:val="multilevel"/>
    <w:tmpl w:val="FBA1BEA4"/>
    <w:lvl w:ilvl="0" w:tentative="0">
      <w:start w:val="1"/>
      <w:numFmt w:val="decimal"/>
      <w:lvlText w:val="%1"/>
      <w:lvlJc w:val="left"/>
      <w:pPr>
        <w:tabs>
          <w:tab w:val="left" w:pos="900"/>
        </w:tabs>
        <w:ind w:left="900" w:hanging="900"/>
      </w:pPr>
      <w:rPr>
        <w:rFonts w:hint="default"/>
      </w:rPr>
    </w:lvl>
    <w:lvl w:ilvl="1" w:tentative="0">
      <w:start w:val="0"/>
      <w:numFmt w:val="decimal"/>
      <w:lvlText w:val="%1.%2"/>
      <w:lvlJc w:val="left"/>
      <w:pPr>
        <w:tabs>
          <w:tab w:val="left" w:pos="900"/>
        </w:tabs>
        <w:ind w:left="900" w:hanging="900"/>
      </w:pPr>
      <w:rPr>
        <w:rFonts w:hint="default"/>
      </w:rPr>
    </w:lvl>
    <w:lvl w:ilvl="2" w:tentative="0">
      <w:start w:val="1"/>
      <w:numFmt w:val="decimal"/>
      <w:lvlText w:val="2.1.%3"/>
      <w:lvlJc w:val="left"/>
      <w:pPr>
        <w:tabs>
          <w:tab w:val="left" w:pos="1080"/>
        </w:tabs>
        <w:ind w:left="0" w:firstLine="0"/>
      </w:pPr>
      <w:rPr>
        <w:rFonts w:hint="eastAsia"/>
        <w:b/>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520"/>
        </w:tabs>
        <w:ind w:left="2520" w:hanging="2520"/>
      </w:pPr>
      <w:rPr>
        <w:rFonts w:hint="default"/>
      </w:rPr>
    </w:lvl>
    <w:lvl w:ilvl="8" w:tentative="0">
      <w:start w:val="1"/>
      <w:numFmt w:val="decimal"/>
      <w:lvlText w:val="%1.%2.%3.%4.%5.%6.%7.%8.%9"/>
      <w:lvlJc w:val="left"/>
      <w:pPr>
        <w:tabs>
          <w:tab w:val="left" w:pos="2880"/>
        </w:tabs>
        <w:ind w:left="2880" w:hanging="2880"/>
      </w:pPr>
      <w:rPr>
        <w:rFonts w:hint="default"/>
      </w:rPr>
    </w:lvl>
  </w:abstractNum>
  <w:abstractNum w:abstractNumId="2">
    <w:nsid w:val="001431D8"/>
    <w:multiLevelType w:val="multilevel"/>
    <w:tmpl w:val="001431D8"/>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04E698C"/>
    <w:multiLevelType w:val="multilevel"/>
    <w:tmpl w:val="004E698C"/>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0CE0DB8"/>
    <w:multiLevelType w:val="multilevel"/>
    <w:tmpl w:val="00CE0DB8"/>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01CE5870"/>
    <w:multiLevelType w:val="multilevel"/>
    <w:tmpl w:val="01CE5870"/>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036730DC"/>
    <w:multiLevelType w:val="multilevel"/>
    <w:tmpl w:val="036730DC"/>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048C3157"/>
    <w:multiLevelType w:val="multilevel"/>
    <w:tmpl w:val="048C3157"/>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05397D37"/>
    <w:multiLevelType w:val="multilevel"/>
    <w:tmpl w:val="05397D37"/>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07561E27"/>
    <w:multiLevelType w:val="multilevel"/>
    <w:tmpl w:val="07561E27"/>
    <w:lvl w:ilvl="0" w:tentative="0">
      <w:start w:val="1"/>
      <w:numFmt w:val="decimal"/>
      <w:lvlText w:val="5.3.%1"/>
      <w:lvlJc w:val="left"/>
      <w:pPr>
        <w:ind w:left="420" w:hanging="420"/>
      </w:pPr>
      <w:rPr>
        <w:rFonts w:hint="eastAsia" w:eastAsia="宋体"/>
        <w:b/>
        <w:i w:val="0"/>
        <w:sz w:val="21"/>
        <w:u w:val="none"/>
      </w:rPr>
    </w:lvl>
    <w:lvl w:ilvl="1" w:tentative="0">
      <w:start w:val="1"/>
      <w:numFmt w:val="lowerLetter"/>
      <w:lvlText w:val="%2)"/>
      <w:lvlJc w:val="left"/>
      <w:pPr>
        <w:ind w:left="840" w:hanging="420"/>
      </w:pPr>
      <w:rPr>
        <w:rFonts w:hint="eastAsia"/>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07975C35"/>
    <w:multiLevelType w:val="multilevel"/>
    <w:tmpl w:val="07975C35"/>
    <w:lvl w:ilvl="0" w:tentative="0">
      <w:start w:val="1"/>
      <w:numFmt w:val="decimal"/>
      <w:lvlText w:val="8.6.%1"/>
      <w:lvlJc w:val="left"/>
      <w:pPr>
        <w:ind w:left="420" w:hanging="420"/>
      </w:pPr>
      <w:rPr>
        <w:rFonts w:hint="eastAsia" w:eastAsia="宋体"/>
        <w:b/>
        <w:i w:val="0"/>
        <w:sz w:val="21"/>
        <w:u w:val="none" w:color="002060"/>
        <w14:shadow w14:blurRad="0" w14:dist="0" w14:dir="0" w14:sx="0" w14:sy="0" w14:kx="0" w14:ky="0" w14:algn="none">
          <w14:srgbClr w14:val="000000"/>
        </w14:shadow>
      </w:rPr>
    </w:lvl>
    <w:lvl w:ilvl="1" w:tentative="0">
      <w:start w:val="1"/>
      <w:numFmt w:val="lowerLetter"/>
      <w:lvlText w:val="%2)"/>
      <w:lvlJc w:val="left"/>
      <w:pPr>
        <w:ind w:left="840" w:hanging="420"/>
      </w:pPr>
      <w:rPr>
        <w:rFonts w:hint="eastAsia"/>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07B61297"/>
    <w:multiLevelType w:val="multilevel"/>
    <w:tmpl w:val="07B61297"/>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08240369"/>
    <w:multiLevelType w:val="multilevel"/>
    <w:tmpl w:val="08240369"/>
    <w:lvl w:ilvl="0" w:tentative="0">
      <w:start w:val="1"/>
      <w:numFmt w:val="decimal"/>
      <w:pStyle w:val="3"/>
      <w:lvlText w:val="9.%1"/>
      <w:lvlJc w:val="center"/>
      <w:pPr>
        <w:ind w:left="0" w:firstLine="0"/>
      </w:pPr>
      <w:rPr>
        <w:rFonts w:hint="eastAsia" w:eastAsia="宋体"/>
        <w:b/>
        <w:i w:val="0"/>
        <w:sz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086702C5"/>
    <w:multiLevelType w:val="multilevel"/>
    <w:tmpl w:val="086702C5"/>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08A017FA"/>
    <w:multiLevelType w:val="multilevel"/>
    <w:tmpl w:val="08A017FA"/>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0AE941D1"/>
    <w:multiLevelType w:val="multilevel"/>
    <w:tmpl w:val="0AE941D1"/>
    <w:lvl w:ilvl="0" w:tentative="0">
      <w:start w:val="1"/>
      <w:numFmt w:val="decimal"/>
      <w:lvlText w:val="3.4.%1"/>
      <w:lvlJc w:val="left"/>
      <w:pPr>
        <w:ind w:left="420" w:hanging="420"/>
      </w:pPr>
      <w:rPr>
        <w:rFonts w:hint="eastAsia"/>
        <w:b w:val="0"/>
        <w:i w:val="0"/>
      </w:rPr>
    </w:lvl>
    <w:lvl w:ilvl="1" w:tentative="0">
      <w:start w:val="1"/>
      <w:numFmt w:val="lowerLetter"/>
      <w:lvlText w:val="%2)"/>
      <w:lvlJc w:val="left"/>
      <w:pPr>
        <w:ind w:left="840" w:hanging="420"/>
      </w:pPr>
      <w:rPr>
        <w:rFonts w:hint="eastAsia"/>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0AFC06BD"/>
    <w:multiLevelType w:val="multilevel"/>
    <w:tmpl w:val="0AFC06BD"/>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0BAA18A9"/>
    <w:multiLevelType w:val="multilevel"/>
    <w:tmpl w:val="0BAA18A9"/>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
    <w:nsid w:val="0BC82468"/>
    <w:multiLevelType w:val="multilevel"/>
    <w:tmpl w:val="0BC82468"/>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
    <w:nsid w:val="0BEF110B"/>
    <w:multiLevelType w:val="multilevel"/>
    <w:tmpl w:val="0BEF110B"/>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0">
    <w:nsid w:val="0C8C01C9"/>
    <w:multiLevelType w:val="multilevel"/>
    <w:tmpl w:val="0C8C01C9"/>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1">
    <w:nsid w:val="0F560F4C"/>
    <w:multiLevelType w:val="multilevel"/>
    <w:tmpl w:val="0F560F4C"/>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2">
    <w:nsid w:val="10567457"/>
    <w:multiLevelType w:val="multilevel"/>
    <w:tmpl w:val="10567457"/>
    <w:lvl w:ilvl="0" w:tentative="0">
      <w:start w:val="1"/>
      <w:numFmt w:val="upperRoman"/>
      <w:suff w:val="nothing"/>
      <w:lvlText w:val="%1"/>
      <w:lvlJc w:val="left"/>
      <w:pPr>
        <w:ind w:left="0" w:firstLine="0"/>
      </w:pPr>
      <w:rPr>
        <w:rFonts w:hint="eastAsia"/>
        <w:u w:val="none"/>
      </w:rPr>
    </w:lvl>
    <w:lvl w:ilvl="1" w:tentative="0">
      <w:start w:val="1"/>
      <w:numFmt w:val="decimal"/>
      <w:isLgl/>
      <w:lvlText w:val="%1.%2"/>
      <w:lvlJc w:val="left"/>
      <w:pPr>
        <w:ind w:left="405" w:hanging="405"/>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23">
    <w:nsid w:val="10A82112"/>
    <w:multiLevelType w:val="multilevel"/>
    <w:tmpl w:val="10A82112"/>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4">
    <w:nsid w:val="10D26CF0"/>
    <w:multiLevelType w:val="multilevel"/>
    <w:tmpl w:val="10D26CF0"/>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5">
    <w:nsid w:val="10F24C87"/>
    <w:multiLevelType w:val="multilevel"/>
    <w:tmpl w:val="10F24C87"/>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6">
    <w:nsid w:val="11657595"/>
    <w:multiLevelType w:val="multilevel"/>
    <w:tmpl w:val="11657595"/>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7">
    <w:nsid w:val="11953DF0"/>
    <w:multiLevelType w:val="multilevel"/>
    <w:tmpl w:val="11953DF0"/>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8">
    <w:nsid w:val="12086225"/>
    <w:multiLevelType w:val="multilevel"/>
    <w:tmpl w:val="12086225"/>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9">
    <w:nsid w:val="131A0E4E"/>
    <w:multiLevelType w:val="multilevel"/>
    <w:tmpl w:val="131A0E4E"/>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0">
    <w:nsid w:val="1369577F"/>
    <w:multiLevelType w:val="multilevel"/>
    <w:tmpl w:val="1369577F"/>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1">
    <w:nsid w:val="16D47F11"/>
    <w:multiLevelType w:val="multilevel"/>
    <w:tmpl w:val="16D47F11"/>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2">
    <w:nsid w:val="16FA35F0"/>
    <w:multiLevelType w:val="multilevel"/>
    <w:tmpl w:val="16FA35F0"/>
    <w:lvl w:ilvl="0" w:tentative="0">
      <w:start w:val="1"/>
      <w:numFmt w:val="decimal"/>
      <w:lvlText w:val="8.4.%1"/>
      <w:lvlJc w:val="left"/>
      <w:pPr>
        <w:ind w:left="420" w:hanging="420"/>
      </w:pPr>
      <w:rPr>
        <w:rFonts w:hint="eastAsia" w:eastAsia="宋体"/>
        <w:b/>
        <w:i w:val="0"/>
        <w:sz w:val="21"/>
        <w:u w:val="none" w:color="002060"/>
        <w14:shadow w14:blurRad="0" w14:dist="0" w14:dir="0" w14:sx="0" w14:sy="0" w14:kx="0" w14:ky="0" w14:algn="none">
          <w14:srgbClr w14:val="000000"/>
        </w14:shadow>
      </w:rPr>
    </w:lvl>
    <w:lvl w:ilvl="1" w:tentative="0">
      <w:start w:val="1"/>
      <w:numFmt w:val="lowerLetter"/>
      <w:lvlText w:val="%2)"/>
      <w:lvlJc w:val="left"/>
      <w:pPr>
        <w:ind w:left="840" w:hanging="420"/>
      </w:pPr>
      <w:rPr>
        <w:rFonts w:hint="eastAsia"/>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3">
    <w:nsid w:val="18B74B55"/>
    <w:multiLevelType w:val="multilevel"/>
    <w:tmpl w:val="18B74B55"/>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4">
    <w:nsid w:val="18E6613C"/>
    <w:multiLevelType w:val="multilevel"/>
    <w:tmpl w:val="18E6613C"/>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5">
    <w:nsid w:val="19185DA5"/>
    <w:multiLevelType w:val="multilevel"/>
    <w:tmpl w:val="19185DA5"/>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6">
    <w:nsid w:val="199C294C"/>
    <w:multiLevelType w:val="multilevel"/>
    <w:tmpl w:val="199C294C"/>
    <w:lvl w:ilvl="0" w:tentative="0">
      <w:start w:val="1"/>
      <w:numFmt w:val="decimal"/>
      <w:lvlText w:val="%1"/>
      <w:lvlJc w:val="center"/>
      <w:pPr>
        <w:ind w:left="420" w:hanging="420"/>
      </w:pPr>
      <w:rPr>
        <w:rFonts w:hint="eastAsia"/>
        <w:u w:val="none" w:color="ED7D31" w:themeColor="accent2"/>
      </w:rPr>
    </w:lvl>
    <w:lvl w:ilvl="1" w:tentative="0">
      <w:start w:val="2"/>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160" w:hanging="2160"/>
      </w:pPr>
      <w:rPr>
        <w:rFonts w:hint="default"/>
      </w:rPr>
    </w:lvl>
  </w:abstractNum>
  <w:abstractNum w:abstractNumId="37">
    <w:nsid w:val="1A210BCE"/>
    <w:multiLevelType w:val="multilevel"/>
    <w:tmpl w:val="1A210BCE"/>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8">
    <w:nsid w:val="1A6E3011"/>
    <w:multiLevelType w:val="multilevel"/>
    <w:tmpl w:val="1A6E3011"/>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9">
    <w:nsid w:val="1B331C5F"/>
    <w:multiLevelType w:val="multilevel"/>
    <w:tmpl w:val="1B331C5F"/>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0">
    <w:nsid w:val="1C8311FF"/>
    <w:multiLevelType w:val="multilevel"/>
    <w:tmpl w:val="1C8311FF"/>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1">
    <w:nsid w:val="1CE82C3A"/>
    <w:multiLevelType w:val="multilevel"/>
    <w:tmpl w:val="1CE82C3A"/>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2">
    <w:nsid w:val="1D7F46FE"/>
    <w:multiLevelType w:val="multilevel"/>
    <w:tmpl w:val="1D7F46FE"/>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3">
    <w:nsid w:val="1DB55ECB"/>
    <w:multiLevelType w:val="multilevel"/>
    <w:tmpl w:val="1DB55ECB"/>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4">
    <w:nsid w:val="1F203A4A"/>
    <w:multiLevelType w:val="multilevel"/>
    <w:tmpl w:val="1F203A4A"/>
    <w:lvl w:ilvl="0" w:tentative="0">
      <w:start w:val="1"/>
      <w:numFmt w:val="decimal"/>
      <w:lvlText w:val="7.3.%1"/>
      <w:lvlJc w:val="left"/>
      <w:pPr>
        <w:ind w:left="420" w:hanging="420"/>
      </w:pPr>
      <w:rPr>
        <w:rFonts w:hint="eastAsia" w:eastAsia="宋体"/>
        <w:b/>
        <w:i w:val="0"/>
        <w:sz w:val="21"/>
        <w:u w:val="none" w:color="002060"/>
        <w14:shadow w14:blurRad="0" w14:dist="0" w14:dir="0" w14:sx="0" w14:sy="0" w14:kx="0" w14:ky="0" w14:algn="none">
          <w14:srgbClr w14:val="000000"/>
        </w14:shadow>
      </w:rPr>
    </w:lvl>
    <w:lvl w:ilvl="1" w:tentative="0">
      <w:start w:val="1"/>
      <w:numFmt w:val="lowerLetter"/>
      <w:lvlText w:val="%2)"/>
      <w:lvlJc w:val="left"/>
      <w:pPr>
        <w:ind w:left="840" w:hanging="420"/>
      </w:pPr>
      <w:rPr>
        <w:rFonts w:hint="eastAsia"/>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5">
    <w:nsid w:val="1F604FF1"/>
    <w:multiLevelType w:val="multilevel"/>
    <w:tmpl w:val="1F604FF1"/>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6">
    <w:nsid w:val="20173FA9"/>
    <w:multiLevelType w:val="multilevel"/>
    <w:tmpl w:val="20173FA9"/>
    <w:lvl w:ilvl="0" w:tentative="0">
      <w:start w:val="1"/>
      <w:numFmt w:val="upperLetter"/>
      <w:pStyle w:val="2"/>
      <w:lvlText w:val="附录%1"/>
      <w:lvlJc w:val="center"/>
      <w:pPr>
        <w:ind w:left="420" w:hanging="420"/>
      </w:pPr>
      <w:rPr>
        <w:rFonts w:hint="eastAsia"/>
      </w:rPr>
    </w:lvl>
    <w:lvl w:ilvl="1" w:tentative="0">
      <w:start w:val="2"/>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160" w:hanging="2160"/>
      </w:pPr>
      <w:rPr>
        <w:rFonts w:hint="default"/>
      </w:rPr>
    </w:lvl>
  </w:abstractNum>
  <w:abstractNum w:abstractNumId="47">
    <w:nsid w:val="212E23FC"/>
    <w:multiLevelType w:val="multilevel"/>
    <w:tmpl w:val="212E23FC"/>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8">
    <w:nsid w:val="21556795"/>
    <w:multiLevelType w:val="multilevel"/>
    <w:tmpl w:val="21556795"/>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9">
    <w:nsid w:val="222107B4"/>
    <w:multiLevelType w:val="multilevel"/>
    <w:tmpl w:val="222107B4"/>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0">
    <w:nsid w:val="222E77B2"/>
    <w:multiLevelType w:val="multilevel"/>
    <w:tmpl w:val="222E77B2"/>
    <w:lvl w:ilvl="0" w:tentative="0">
      <w:start w:val="1"/>
      <w:numFmt w:val="decimal"/>
      <w:lvlText w:val="4.3.%1"/>
      <w:lvlJc w:val="left"/>
      <w:pPr>
        <w:ind w:left="420" w:hanging="420"/>
      </w:pPr>
      <w:rPr>
        <w:rFonts w:hint="eastAsia" w:eastAsia="宋体"/>
        <w:b/>
        <w:i w:val="0"/>
        <w:sz w:val="21"/>
        <w:u w:val="none" w:color="ED7D31" w:themeColor="accent2"/>
      </w:rPr>
    </w:lvl>
    <w:lvl w:ilvl="1" w:tentative="0">
      <w:start w:val="1"/>
      <w:numFmt w:val="lowerLetter"/>
      <w:lvlText w:val="%2)"/>
      <w:lvlJc w:val="left"/>
      <w:pPr>
        <w:ind w:left="840" w:hanging="420"/>
      </w:pPr>
      <w:rPr>
        <w:rFonts w:hint="eastAsia"/>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1">
    <w:nsid w:val="223D29DE"/>
    <w:multiLevelType w:val="multilevel"/>
    <w:tmpl w:val="223D29DE"/>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2">
    <w:nsid w:val="22C17B41"/>
    <w:multiLevelType w:val="multilevel"/>
    <w:tmpl w:val="22C17B41"/>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3">
    <w:nsid w:val="24033B3B"/>
    <w:multiLevelType w:val="multilevel"/>
    <w:tmpl w:val="24033B3B"/>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4">
    <w:nsid w:val="242856A8"/>
    <w:multiLevelType w:val="multilevel"/>
    <w:tmpl w:val="242856A8"/>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5">
    <w:nsid w:val="248F4469"/>
    <w:multiLevelType w:val="multilevel"/>
    <w:tmpl w:val="248F4469"/>
    <w:lvl w:ilvl="0" w:tentative="0">
      <w:start w:val="1"/>
      <w:numFmt w:val="decimal"/>
      <w:lvlText w:val="6.1.%1"/>
      <w:lvlJc w:val="left"/>
      <w:pPr>
        <w:ind w:left="420" w:hanging="420"/>
      </w:pPr>
      <w:rPr>
        <w:rFonts w:hint="eastAsia" w:eastAsia="宋体"/>
        <w:b/>
        <w:i w:val="0"/>
        <w:sz w:val="21"/>
        <w:u w:val="none" w:color="002060"/>
        <w14:shadow w14:blurRad="0" w14:dist="0" w14:dir="0" w14:sx="0" w14:sy="0" w14:kx="0" w14:ky="0" w14:algn="none">
          <w14:srgbClr w14:val="000000"/>
        </w14:shadow>
      </w:rPr>
    </w:lvl>
    <w:lvl w:ilvl="1" w:tentative="0">
      <w:start w:val="1"/>
      <w:numFmt w:val="lowerLetter"/>
      <w:lvlText w:val="%2)"/>
      <w:lvlJc w:val="left"/>
      <w:pPr>
        <w:ind w:left="840" w:hanging="420"/>
      </w:pPr>
      <w:rPr>
        <w:rFonts w:hint="eastAsia"/>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6">
    <w:nsid w:val="24FA3515"/>
    <w:multiLevelType w:val="multilevel"/>
    <w:tmpl w:val="24FA3515"/>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7">
    <w:nsid w:val="25461734"/>
    <w:multiLevelType w:val="multilevel"/>
    <w:tmpl w:val="25461734"/>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8">
    <w:nsid w:val="254D4475"/>
    <w:multiLevelType w:val="multilevel"/>
    <w:tmpl w:val="254D4475"/>
    <w:lvl w:ilvl="0" w:tentative="0">
      <w:start w:val="1"/>
      <w:numFmt w:val="decimal"/>
      <w:lvlText w:val="6.3.%1"/>
      <w:lvlJc w:val="left"/>
      <w:pPr>
        <w:ind w:left="420" w:hanging="420"/>
      </w:pPr>
      <w:rPr>
        <w:rFonts w:hint="eastAsia" w:eastAsia="宋体"/>
        <w:b/>
        <w:i w:val="0"/>
        <w:sz w:val="21"/>
        <w:u w:val="none" w:color="002060"/>
        <w14:shadow w14:blurRad="0" w14:dist="0" w14:dir="0" w14:sx="0" w14:sy="0" w14:kx="0" w14:ky="0" w14:algn="none">
          <w14:srgbClr w14:val="000000"/>
        </w14:shadow>
      </w:rPr>
    </w:lvl>
    <w:lvl w:ilvl="1" w:tentative="0">
      <w:start w:val="1"/>
      <w:numFmt w:val="lowerLetter"/>
      <w:lvlText w:val="%2)"/>
      <w:lvlJc w:val="left"/>
      <w:pPr>
        <w:ind w:left="840" w:hanging="420"/>
      </w:pPr>
      <w:rPr>
        <w:rFonts w:hint="eastAsia"/>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9">
    <w:nsid w:val="278E2B9D"/>
    <w:multiLevelType w:val="multilevel"/>
    <w:tmpl w:val="278E2B9D"/>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0">
    <w:nsid w:val="280D36D6"/>
    <w:multiLevelType w:val="multilevel"/>
    <w:tmpl w:val="280D36D6"/>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1">
    <w:nsid w:val="28516026"/>
    <w:multiLevelType w:val="multilevel"/>
    <w:tmpl w:val="28516026"/>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2">
    <w:nsid w:val="286D0BFB"/>
    <w:multiLevelType w:val="multilevel"/>
    <w:tmpl w:val="286D0BFB"/>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3">
    <w:nsid w:val="287303CE"/>
    <w:multiLevelType w:val="multilevel"/>
    <w:tmpl w:val="287303CE"/>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4">
    <w:nsid w:val="29A14850"/>
    <w:multiLevelType w:val="multilevel"/>
    <w:tmpl w:val="29A14850"/>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5">
    <w:nsid w:val="29B42315"/>
    <w:multiLevelType w:val="multilevel"/>
    <w:tmpl w:val="29B42315"/>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6">
    <w:nsid w:val="29B6541E"/>
    <w:multiLevelType w:val="multilevel"/>
    <w:tmpl w:val="29B6541E"/>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7">
    <w:nsid w:val="2AC45A4A"/>
    <w:multiLevelType w:val="multilevel"/>
    <w:tmpl w:val="2AC45A4A"/>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8">
    <w:nsid w:val="2C002EB3"/>
    <w:multiLevelType w:val="multilevel"/>
    <w:tmpl w:val="2C002EB3"/>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9">
    <w:nsid w:val="2C3E77C9"/>
    <w:multiLevelType w:val="multilevel"/>
    <w:tmpl w:val="2C3E77C9"/>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0">
    <w:nsid w:val="2CAB4502"/>
    <w:multiLevelType w:val="multilevel"/>
    <w:tmpl w:val="2CAB4502"/>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1">
    <w:nsid w:val="2F657C2C"/>
    <w:multiLevelType w:val="multilevel"/>
    <w:tmpl w:val="2F657C2C"/>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2">
    <w:nsid w:val="2FCA197A"/>
    <w:multiLevelType w:val="multilevel"/>
    <w:tmpl w:val="2FCA197A"/>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3">
    <w:nsid w:val="2FD962B4"/>
    <w:multiLevelType w:val="multilevel"/>
    <w:tmpl w:val="2FD962B4"/>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4">
    <w:nsid w:val="30392AFA"/>
    <w:multiLevelType w:val="multilevel"/>
    <w:tmpl w:val="30392AFA"/>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5">
    <w:nsid w:val="30462B73"/>
    <w:multiLevelType w:val="multilevel"/>
    <w:tmpl w:val="30462B73"/>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6">
    <w:nsid w:val="30BE3156"/>
    <w:multiLevelType w:val="multilevel"/>
    <w:tmpl w:val="30BE3156"/>
    <w:lvl w:ilvl="0" w:tentative="0">
      <w:start w:val="1"/>
      <w:numFmt w:val="decimal"/>
      <w:lvlText w:val="6.2.%1"/>
      <w:lvlJc w:val="left"/>
      <w:pPr>
        <w:ind w:left="420" w:hanging="420"/>
      </w:pPr>
      <w:rPr>
        <w:rFonts w:hint="eastAsia" w:eastAsia="宋体"/>
        <w:b/>
        <w:i w:val="0"/>
        <w:sz w:val="21"/>
        <w:u w:val="none" w:color="002060"/>
        <w14:shadow w14:blurRad="0" w14:dist="0" w14:dir="0" w14:sx="0" w14:sy="0" w14:kx="0" w14:ky="0" w14:algn="none">
          <w14:srgbClr w14:val="000000"/>
        </w14:shadow>
      </w:rPr>
    </w:lvl>
    <w:lvl w:ilvl="1" w:tentative="0">
      <w:start w:val="1"/>
      <w:numFmt w:val="lowerLetter"/>
      <w:lvlText w:val="%2)"/>
      <w:lvlJc w:val="left"/>
      <w:pPr>
        <w:ind w:left="840" w:hanging="420"/>
      </w:pPr>
      <w:rPr>
        <w:rFonts w:hint="eastAsia"/>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7">
    <w:nsid w:val="30D0455E"/>
    <w:multiLevelType w:val="multilevel"/>
    <w:tmpl w:val="30D0455E"/>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8">
    <w:nsid w:val="319A102F"/>
    <w:multiLevelType w:val="multilevel"/>
    <w:tmpl w:val="319A102F"/>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9">
    <w:nsid w:val="3212295B"/>
    <w:multiLevelType w:val="multilevel"/>
    <w:tmpl w:val="3212295B"/>
    <w:lvl w:ilvl="0" w:tentative="0">
      <w:start w:val="1"/>
      <w:numFmt w:val="decimal"/>
      <w:lvlText w:val="3.3.%1"/>
      <w:lvlJc w:val="left"/>
      <w:pPr>
        <w:ind w:left="0" w:firstLine="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0">
    <w:nsid w:val="3255261F"/>
    <w:multiLevelType w:val="multilevel"/>
    <w:tmpl w:val="3255261F"/>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1">
    <w:nsid w:val="32E66A1D"/>
    <w:multiLevelType w:val="multilevel"/>
    <w:tmpl w:val="32E66A1D"/>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2">
    <w:nsid w:val="33FE57D6"/>
    <w:multiLevelType w:val="multilevel"/>
    <w:tmpl w:val="33FE57D6"/>
    <w:lvl w:ilvl="0" w:tentative="0">
      <w:start w:val="1"/>
      <w:numFmt w:val="decimal"/>
      <w:lvlText w:val="5.6.%1"/>
      <w:lvlJc w:val="left"/>
      <w:pPr>
        <w:ind w:left="420" w:hanging="420"/>
      </w:pPr>
      <w:rPr>
        <w:rFonts w:hint="eastAsia" w:eastAsia="宋体"/>
        <w:b/>
        <w:i w:val="0"/>
        <w:sz w:val="21"/>
        <w:u w:val="none"/>
      </w:rPr>
    </w:lvl>
    <w:lvl w:ilvl="1" w:tentative="0">
      <w:start w:val="1"/>
      <w:numFmt w:val="lowerLetter"/>
      <w:lvlText w:val="%2)"/>
      <w:lvlJc w:val="left"/>
      <w:pPr>
        <w:ind w:left="840" w:hanging="420"/>
      </w:pPr>
      <w:rPr>
        <w:rFonts w:hint="eastAsia"/>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3">
    <w:nsid w:val="34F021DE"/>
    <w:multiLevelType w:val="multilevel"/>
    <w:tmpl w:val="34F021DE"/>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4">
    <w:nsid w:val="36B02EC7"/>
    <w:multiLevelType w:val="multilevel"/>
    <w:tmpl w:val="36B02EC7"/>
    <w:lvl w:ilvl="0" w:tentative="0">
      <w:start w:val="5"/>
      <w:numFmt w:val="decimal"/>
      <w:lvlText w:val="%1"/>
      <w:lvlJc w:val="left"/>
      <w:pPr>
        <w:ind w:left="570" w:hanging="570"/>
      </w:pPr>
      <w:rPr>
        <w:rFonts w:hint="default"/>
      </w:rPr>
    </w:lvl>
    <w:lvl w:ilvl="1" w:tentative="0">
      <w:start w:val="8"/>
      <w:numFmt w:val="decimal"/>
      <w:lvlText w:val="%1.%2"/>
      <w:lvlJc w:val="left"/>
      <w:pPr>
        <w:ind w:left="570" w:hanging="570"/>
      </w:pPr>
      <w:rPr>
        <w:rFonts w:hint="default"/>
      </w:rPr>
    </w:lvl>
    <w:lvl w:ilvl="2" w:tentative="0">
      <w:start w:val="3"/>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85">
    <w:nsid w:val="36EE135E"/>
    <w:multiLevelType w:val="multilevel"/>
    <w:tmpl w:val="36EE135E"/>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6">
    <w:nsid w:val="37254437"/>
    <w:multiLevelType w:val="multilevel"/>
    <w:tmpl w:val="37254437"/>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7">
    <w:nsid w:val="37A74143"/>
    <w:multiLevelType w:val="multilevel"/>
    <w:tmpl w:val="37A74143"/>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8">
    <w:nsid w:val="39E719EE"/>
    <w:multiLevelType w:val="multilevel"/>
    <w:tmpl w:val="39E719EE"/>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9">
    <w:nsid w:val="39F11163"/>
    <w:multiLevelType w:val="multilevel"/>
    <w:tmpl w:val="39F11163"/>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0">
    <w:nsid w:val="3A451E6B"/>
    <w:multiLevelType w:val="multilevel"/>
    <w:tmpl w:val="3A451E6B"/>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1">
    <w:nsid w:val="3BAC716C"/>
    <w:multiLevelType w:val="multilevel"/>
    <w:tmpl w:val="3BAC716C"/>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2">
    <w:nsid w:val="3BB439AB"/>
    <w:multiLevelType w:val="multilevel"/>
    <w:tmpl w:val="3BB439AB"/>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3">
    <w:nsid w:val="3CA8359A"/>
    <w:multiLevelType w:val="multilevel"/>
    <w:tmpl w:val="3CA8359A"/>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4">
    <w:nsid w:val="3CAA1194"/>
    <w:multiLevelType w:val="multilevel"/>
    <w:tmpl w:val="3CAA1194"/>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5">
    <w:nsid w:val="3CFE2844"/>
    <w:multiLevelType w:val="multilevel"/>
    <w:tmpl w:val="3CFE2844"/>
    <w:lvl w:ilvl="0" w:tentative="0">
      <w:start w:val="1"/>
      <w:numFmt w:val="upperLetter"/>
      <w:lvlText w:val="%1"/>
      <w:lvlJc w:val="center"/>
      <w:pPr>
        <w:ind w:left="420" w:hanging="420"/>
      </w:pPr>
      <w:rPr>
        <w:rFonts w:hint="eastAsia"/>
      </w:rPr>
    </w:lvl>
    <w:lvl w:ilvl="1" w:tentative="0">
      <w:start w:val="2"/>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160" w:hanging="2160"/>
      </w:pPr>
      <w:rPr>
        <w:rFonts w:hint="default"/>
      </w:rPr>
    </w:lvl>
  </w:abstractNum>
  <w:abstractNum w:abstractNumId="96">
    <w:nsid w:val="3DA8161B"/>
    <w:multiLevelType w:val="multilevel"/>
    <w:tmpl w:val="3DA8161B"/>
    <w:lvl w:ilvl="0" w:tentative="0">
      <w:start w:val="1"/>
      <w:numFmt w:val="decimal"/>
      <w:lvlText w:val="3.2.%1"/>
      <w:lvlJc w:val="left"/>
      <w:pPr>
        <w:ind w:left="0" w:firstLine="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7">
    <w:nsid w:val="3E353278"/>
    <w:multiLevelType w:val="multilevel"/>
    <w:tmpl w:val="3E353278"/>
    <w:lvl w:ilvl="0" w:tentative="0">
      <w:start w:val="1"/>
      <w:numFmt w:val="decimal"/>
      <w:lvlText w:val="5.1.%1"/>
      <w:lvlJc w:val="left"/>
      <w:pPr>
        <w:ind w:left="420" w:hanging="420"/>
      </w:pPr>
      <w:rPr>
        <w:rFonts w:hint="eastAsia" w:eastAsia="宋体"/>
        <w:b/>
        <w:i w:val="0"/>
        <w:sz w:val="21"/>
        <w:u w:val="none"/>
      </w:rPr>
    </w:lvl>
    <w:lvl w:ilvl="1" w:tentative="0">
      <w:start w:val="1"/>
      <w:numFmt w:val="lowerLetter"/>
      <w:lvlText w:val="%2)"/>
      <w:lvlJc w:val="left"/>
      <w:pPr>
        <w:ind w:left="840" w:hanging="420"/>
      </w:pPr>
      <w:rPr>
        <w:rFonts w:hint="eastAsia"/>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8">
    <w:nsid w:val="3E6C7D5C"/>
    <w:multiLevelType w:val="multilevel"/>
    <w:tmpl w:val="3E6C7D5C"/>
    <w:lvl w:ilvl="0" w:tentative="0">
      <w:start w:val="1"/>
      <w:numFmt w:val="decimal"/>
      <w:lvlText w:val="5.8.%1"/>
      <w:lvlJc w:val="left"/>
      <w:pPr>
        <w:ind w:left="420" w:hanging="420"/>
      </w:pPr>
      <w:rPr>
        <w:rFonts w:hint="eastAsia" w:eastAsia="宋体"/>
        <w:b/>
        <w:i w:val="0"/>
        <w:sz w:val="21"/>
        <w:u w:val="none"/>
      </w:rPr>
    </w:lvl>
    <w:lvl w:ilvl="1" w:tentative="0">
      <w:start w:val="1"/>
      <w:numFmt w:val="lowerLetter"/>
      <w:lvlText w:val="%2)"/>
      <w:lvlJc w:val="left"/>
      <w:pPr>
        <w:ind w:left="840" w:hanging="420"/>
      </w:pPr>
      <w:rPr>
        <w:rFonts w:hint="eastAsia"/>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9">
    <w:nsid w:val="3FB24DD4"/>
    <w:multiLevelType w:val="multilevel"/>
    <w:tmpl w:val="3FB24DD4"/>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0">
    <w:nsid w:val="40030367"/>
    <w:multiLevelType w:val="multilevel"/>
    <w:tmpl w:val="40030367"/>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1">
    <w:nsid w:val="4053025A"/>
    <w:multiLevelType w:val="multilevel"/>
    <w:tmpl w:val="4053025A"/>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2">
    <w:nsid w:val="41342EC3"/>
    <w:multiLevelType w:val="multilevel"/>
    <w:tmpl w:val="41342EC3"/>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3">
    <w:nsid w:val="413F51EB"/>
    <w:multiLevelType w:val="multilevel"/>
    <w:tmpl w:val="413F51EB"/>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4">
    <w:nsid w:val="418B2066"/>
    <w:multiLevelType w:val="multilevel"/>
    <w:tmpl w:val="418B2066"/>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5">
    <w:nsid w:val="4370564B"/>
    <w:multiLevelType w:val="multilevel"/>
    <w:tmpl w:val="4370564B"/>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6">
    <w:nsid w:val="44984E34"/>
    <w:multiLevelType w:val="multilevel"/>
    <w:tmpl w:val="44984E34"/>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7">
    <w:nsid w:val="452971AD"/>
    <w:multiLevelType w:val="multilevel"/>
    <w:tmpl w:val="452971AD"/>
    <w:lvl w:ilvl="0" w:tentative="0">
      <w:start w:val="1"/>
      <w:numFmt w:val="decimal"/>
      <w:lvlText w:val="5.4.%1"/>
      <w:lvlJc w:val="left"/>
      <w:pPr>
        <w:ind w:left="420" w:hanging="420"/>
      </w:pPr>
      <w:rPr>
        <w:rFonts w:hint="eastAsia" w:eastAsia="宋体"/>
        <w:b/>
        <w:i w:val="0"/>
        <w:sz w:val="21"/>
        <w:u w:val="none"/>
      </w:rPr>
    </w:lvl>
    <w:lvl w:ilvl="1" w:tentative="0">
      <w:start w:val="1"/>
      <w:numFmt w:val="lowerLetter"/>
      <w:lvlText w:val="%2)"/>
      <w:lvlJc w:val="left"/>
      <w:pPr>
        <w:ind w:left="840" w:hanging="420"/>
      </w:pPr>
      <w:rPr>
        <w:rFonts w:hint="eastAsia"/>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8">
    <w:nsid w:val="460E5838"/>
    <w:multiLevelType w:val="multilevel"/>
    <w:tmpl w:val="460E5838"/>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9">
    <w:nsid w:val="46334D9E"/>
    <w:multiLevelType w:val="multilevel"/>
    <w:tmpl w:val="46334D9E"/>
    <w:lvl w:ilvl="0" w:tentative="0">
      <w:start w:val="1"/>
      <w:numFmt w:val="decimal"/>
      <w:lvlText w:val="8.1.%1"/>
      <w:lvlJc w:val="left"/>
      <w:pPr>
        <w:ind w:left="420" w:hanging="420"/>
      </w:pPr>
      <w:rPr>
        <w:rFonts w:hint="eastAsia" w:eastAsia="宋体"/>
        <w:b/>
        <w:i w:val="0"/>
        <w:sz w:val="21"/>
        <w:u w:val="none" w:color="002060"/>
        <w14:shadow w14:blurRad="0" w14:dist="0" w14:dir="0" w14:sx="0" w14:sy="0" w14:kx="0" w14:ky="0" w14:algn="none">
          <w14:srgbClr w14:val="000000"/>
        </w14:shadow>
      </w:rPr>
    </w:lvl>
    <w:lvl w:ilvl="1" w:tentative="0">
      <w:start w:val="1"/>
      <w:numFmt w:val="lowerLetter"/>
      <w:lvlText w:val="%2)"/>
      <w:lvlJc w:val="left"/>
      <w:pPr>
        <w:ind w:left="840" w:hanging="420"/>
      </w:pPr>
      <w:rPr>
        <w:rFonts w:hint="eastAsia"/>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0">
    <w:nsid w:val="46F55B89"/>
    <w:multiLevelType w:val="multilevel"/>
    <w:tmpl w:val="46F55B89"/>
    <w:lvl w:ilvl="0" w:tentative="0">
      <w:start w:val="1"/>
      <w:numFmt w:val="decimal"/>
      <w:lvlText w:val="5.9.%1"/>
      <w:lvlJc w:val="left"/>
      <w:pPr>
        <w:ind w:left="420" w:hanging="420"/>
      </w:pPr>
      <w:rPr>
        <w:rFonts w:hint="eastAsia" w:eastAsia="宋体"/>
        <w:b/>
        <w:i w:val="0"/>
        <w:sz w:val="21"/>
        <w:u w:val="none" w:color="002060"/>
        <w14:shadow w14:blurRad="0" w14:dist="0" w14:dir="0" w14:sx="0" w14:sy="0" w14:kx="0" w14:ky="0" w14:algn="none">
          <w14:srgbClr w14:val="000000"/>
        </w14:shadow>
      </w:rPr>
    </w:lvl>
    <w:lvl w:ilvl="1" w:tentative="0">
      <w:start w:val="1"/>
      <w:numFmt w:val="lowerLetter"/>
      <w:lvlText w:val="%2)"/>
      <w:lvlJc w:val="left"/>
      <w:pPr>
        <w:ind w:left="840" w:hanging="420"/>
      </w:pPr>
      <w:rPr>
        <w:rFonts w:hint="eastAsia"/>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1">
    <w:nsid w:val="48262557"/>
    <w:multiLevelType w:val="multilevel"/>
    <w:tmpl w:val="48262557"/>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2">
    <w:nsid w:val="48D96513"/>
    <w:multiLevelType w:val="multilevel"/>
    <w:tmpl w:val="48D96513"/>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3">
    <w:nsid w:val="494B76A2"/>
    <w:multiLevelType w:val="multilevel"/>
    <w:tmpl w:val="494B76A2"/>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4">
    <w:nsid w:val="498F42A6"/>
    <w:multiLevelType w:val="multilevel"/>
    <w:tmpl w:val="498F42A6"/>
    <w:lvl w:ilvl="0" w:tentative="0">
      <w:start w:val="1"/>
      <w:numFmt w:val="upperRoman"/>
      <w:suff w:val="nothing"/>
      <w:lvlText w:val="%1"/>
      <w:lvlJc w:val="left"/>
      <w:pPr>
        <w:ind w:left="0" w:firstLine="0"/>
      </w:pPr>
      <w:rPr>
        <w:rFonts w:hint="eastAsia"/>
        <w:u w:val="none" w:color="ED7D31" w:themeColor="accent2"/>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115">
    <w:nsid w:val="4A167785"/>
    <w:multiLevelType w:val="multilevel"/>
    <w:tmpl w:val="4A167785"/>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6">
    <w:nsid w:val="4A9625E2"/>
    <w:multiLevelType w:val="multilevel"/>
    <w:tmpl w:val="4A9625E2"/>
    <w:lvl w:ilvl="0" w:tentative="0">
      <w:start w:val="1"/>
      <w:numFmt w:val="upperRoman"/>
      <w:suff w:val="nothing"/>
      <w:lvlText w:val="%1"/>
      <w:lvlJc w:val="left"/>
      <w:pPr>
        <w:ind w:left="0" w:firstLine="0"/>
      </w:pPr>
      <w:rPr>
        <w:rFonts w:hint="eastAsia"/>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7">
    <w:nsid w:val="4ADF1490"/>
    <w:multiLevelType w:val="multilevel"/>
    <w:tmpl w:val="4ADF1490"/>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8">
    <w:nsid w:val="4AE57A92"/>
    <w:multiLevelType w:val="multilevel"/>
    <w:tmpl w:val="4AE57A92"/>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9">
    <w:nsid w:val="4AF012D9"/>
    <w:multiLevelType w:val="multilevel"/>
    <w:tmpl w:val="4AF012D9"/>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0">
    <w:nsid w:val="4B2C0E05"/>
    <w:multiLevelType w:val="multilevel"/>
    <w:tmpl w:val="4B2C0E05"/>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1">
    <w:nsid w:val="4BFD5E28"/>
    <w:multiLevelType w:val="multilevel"/>
    <w:tmpl w:val="4BFD5E28"/>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2">
    <w:nsid w:val="4E9C7146"/>
    <w:multiLevelType w:val="multilevel"/>
    <w:tmpl w:val="4E9C7146"/>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3">
    <w:nsid w:val="4EAD02FE"/>
    <w:multiLevelType w:val="multilevel"/>
    <w:tmpl w:val="4EAD02FE"/>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4">
    <w:nsid w:val="4ED33616"/>
    <w:multiLevelType w:val="multilevel"/>
    <w:tmpl w:val="4ED33616"/>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5">
    <w:nsid w:val="4F4E1D60"/>
    <w:multiLevelType w:val="multilevel"/>
    <w:tmpl w:val="4F4E1D60"/>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6">
    <w:nsid w:val="4FA6559A"/>
    <w:multiLevelType w:val="multilevel"/>
    <w:tmpl w:val="4FA6559A"/>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7">
    <w:nsid w:val="4FAD7482"/>
    <w:multiLevelType w:val="multilevel"/>
    <w:tmpl w:val="4FAD7482"/>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8">
    <w:nsid w:val="51224B7D"/>
    <w:multiLevelType w:val="multilevel"/>
    <w:tmpl w:val="51224B7D"/>
    <w:lvl w:ilvl="0" w:tentative="0">
      <w:start w:val="5"/>
      <w:numFmt w:val="decimal"/>
      <w:lvlText w:val="%1"/>
      <w:lvlJc w:val="left"/>
      <w:pPr>
        <w:ind w:left="675" w:hanging="675"/>
      </w:pPr>
      <w:rPr>
        <w:rFonts w:hint="default"/>
      </w:rPr>
    </w:lvl>
    <w:lvl w:ilvl="1" w:tentative="0">
      <w:start w:val="10"/>
      <w:numFmt w:val="decimal"/>
      <w:lvlText w:val="%1.%2"/>
      <w:lvlJc w:val="left"/>
      <w:pPr>
        <w:ind w:left="675" w:hanging="675"/>
      </w:pPr>
      <w:rPr>
        <w:rFonts w:hint="default"/>
      </w:rPr>
    </w:lvl>
    <w:lvl w:ilvl="2" w:tentative="0">
      <w:start w:val="4"/>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29">
    <w:nsid w:val="5158641F"/>
    <w:multiLevelType w:val="multilevel"/>
    <w:tmpl w:val="5158641F"/>
    <w:lvl w:ilvl="0" w:tentative="0">
      <w:start w:val="1"/>
      <w:numFmt w:val="decimal"/>
      <w:lvlText w:val="4.1.%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0">
    <w:nsid w:val="51E32D5E"/>
    <w:multiLevelType w:val="multilevel"/>
    <w:tmpl w:val="51E32D5E"/>
    <w:lvl w:ilvl="0" w:tentative="0">
      <w:start w:val="1"/>
      <w:numFmt w:val="decimal"/>
      <w:lvlText w:val="%1"/>
      <w:lvlJc w:val="left"/>
      <w:pPr>
        <w:ind w:left="784" w:hanging="360"/>
      </w:pPr>
      <w:rPr>
        <w:rFonts w:hint="default"/>
      </w:rPr>
    </w:lvl>
    <w:lvl w:ilvl="1" w:tentative="0">
      <w:start w:val="1"/>
      <w:numFmt w:val="lowerLetter"/>
      <w:lvlText w:val="%2)"/>
      <w:lvlJc w:val="left"/>
      <w:pPr>
        <w:ind w:left="1304" w:hanging="440"/>
      </w:pPr>
    </w:lvl>
    <w:lvl w:ilvl="2" w:tentative="0">
      <w:start w:val="1"/>
      <w:numFmt w:val="lowerRoman"/>
      <w:lvlText w:val="%3."/>
      <w:lvlJc w:val="right"/>
      <w:pPr>
        <w:ind w:left="1744" w:hanging="440"/>
      </w:pPr>
    </w:lvl>
    <w:lvl w:ilvl="3" w:tentative="0">
      <w:start w:val="1"/>
      <w:numFmt w:val="decimal"/>
      <w:lvlText w:val="%4."/>
      <w:lvlJc w:val="left"/>
      <w:pPr>
        <w:ind w:left="2184" w:hanging="440"/>
      </w:pPr>
    </w:lvl>
    <w:lvl w:ilvl="4" w:tentative="0">
      <w:start w:val="1"/>
      <w:numFmt w:val="lowerLetter"/>
      <w:lvlText w:val="%5)"/>
      <w:lvlJc w:val="left"/>
      <w:pPr>
        <w:ind w:left="2624" w:hanging="440"/>
      </w:pPr>
    </w:lvl>
    <w:lvl w:ilvl="5" w:tentative="0">
      <w:start w:val="1"/>
      <w:numFmt w:val="lowerRoman"/>
      <w:lvlText w:val="%6."/>
      <w:lvlJc w:val="right"/>
      <w:pPr>
        <w:ind w:left="3064" w:hanging="440"/>
      </w:pPr>
    </w:lvl>
    <w:lvl w:ilvl="6" w:tentative="0">
      <w:start w:val="1"/>
      <w:numFmt w:val="decimal"/>
      <w:lvlText w:val="%7."/>
      <w:lvlJc w:val="left"/>
      <w:pPr>
        <w:ind w:left="3504" w:hanging="440"/>
      </w:pPr>
    </w:lvl>
    <w:lvl w:ilvl="7" w:tentative="0">
      <w:start w:val="1"/>
      <w:numFmt w:val="lowerLetter"/>
      <w:lvlText w:val="%8)"/>
      <w:lvlJc w:val="left"/>
      <w:pPr>
        <w:ind w:left="3944" w:hanging="440"/>
      </w:pPr>
    </w:lvl>
    <w:lvl w:ilvl="8" w:tentative="0">
      <w:start w:val="1"/>
      <w:numFmt w:val="lowerRoman"/>
      <w:lvlText w:val="%9."/>
      <w:lvlJc w:val="right"/>
      <w:pPr>
        <w:ind w:left="4384" w:hanging="440"/>
      </w:pPr>
    </w:lvl>
  </w:abstractNum>
  <w:abstractNum w:abstractNumId="131">
    <w:nsid w:val="52333897"/>
    <w:multiLevelType w:val="multilevel"/>
    <w:tmpl w:val="52333897"/>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2">
    <w:nsid w:val="52677F53"/>
    <w:multiLevelType w:val="multilevel"/>
    <w:tmpl w:val="52677F53"/>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3">
    <w:nsid w:val="53692774"/>
    <w:multiLevelType w:val="multilevel"/>
    <w:tmpl w:val="53692774"/>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4">
    <w:nsid w:val="5370307F"/>
    <w:multiLevelType w:val="multilevel"/>
    <w:tmpl w:val="5370307F"/>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5">
    <w:nsid w:val="53F35C12"/>
    <w:multiLevelType w:val="multilevel"/>
    <w:tmpl w:val="53F35C12"/>
    <w:lvl w:ilvl="0" w:tentative="0">
      <w:start w:val="1"/>
      <w:numFmt w:val="decimal"/>
      <w:lvlText w:val="4.2.%1"/>
      <w:lvlJc w:val="left"/>
      <w:pPr>
        <w:ind w:left="420" w:hanging="420"/>
      </w:pPr>
      <w:rPr>
        <w:rFonts w:hint="eastAsia" w:eastAsia="宋体"/>
        <w:b/>
        <w:i w:val="0"/>
        <w:sz w:val="21"/>
        <w:u w:val="none" w:color="ED7D31" w:themeColor="accent2"/>
      </w:rPr>
    </w:lvl>
    <w:lvl w:ilvl="1" w:tentative="0">
      <w:start w:val="1"/>
      <w:numFmt w:val="lowerLetter"/>
      <w:lvlText w:val="%2)"/>
      <w:lvlJc w:val="left"/>
      <w:pPr>
        <w:ind w:left="840" w:hanging="420"/>
      </w:pPr>
      <w:rPr>
        <w:rFonts w:hint="eastAsia"/>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6">
    <w:nsid w:val="54E52E62"/>
    <w:multiLevelType w:val="multilevel"/>
    <w:tmpl w:val="54E52E62"/>
    <w:lvl w:ilvl="0" w:tentative="0">
      <w:start w:val="1"/>
      <w:numFmt w:val="decimal"/>
      <w:lvlText w:val="5.5.%1"/>
      <w:lvlJc w:val="left"/>
      <w:pPr>
        <w:ind w:left="420" w:hanging="420"/>
      </w:pPr>
      <w:rPr>
        <w:rFonts w:hint="eastAsia" w:eastAsia="宋体"/>
        <w:b/>
        <w:i w:val="0"/>
        <w:sz w:val="21"/>
        <w:u w:val="none"/>
      </w:rPr>
    </w:lvl>
    <w:lvl w:ilvl="1" w:tentative="0">
      <w:start w:val="1"/>
      <w:numFmt w:val="lowerLetter"/>
      <w:lvlText w:val="%2)"/>
      <w:lvlJc w:val="left"/>
      <w:pPr>
        <w:ind w:left="840" w:hanging="420"/>
      </w:pPr>
      <w:rPr>
        <w:rFonts w:hint="eastAsia"/>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7">
    <w:nsid w:val="55333F6A"/>
    <w:multiLevelType w:val="multilevel"/>
    <w:tmpl w:val="55333F6A"/>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8">
    <w:nsid w:val="562E6F52"/>
    <w:multiLevelType w:val="multilevel"/>
    <w:tmpl w:val="562E6F52"/>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9">
    <w:nsid w:val="56827A69"/>
    <w:multiLevelType w:val="multilevel"/>
    <w:tmpl w:val="56827A69"/>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0">
    <w:nsid w:val="56E4212B"/>
    <w:multiLevelType w:val="multilevel"/>
    <w:tmpl w:val="56E4212B"/>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1">
    <w:nsid w:val="57BA522F"/>
    <w:multiLevelType w:val="multilevel"/>
    <w:tmpl w:val="57BA522F"/>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2">
    <w:nsid w:val="57C5584B"/>
    <w:multiLevelType w:val="multilevel"/>
    <w:tmpl w:val="57C5584B"/>
    <w:lvl w:ilvl="0" w:tentative="0">
      <w:start w:val="1"/>
      <w:numFmt w:val="decimal"/>
      <w:lvlText w:val="5.7.%1"/>
      <w:lvlJc w:val="left"/>
      <w:pPr>
        <w:ind w:left="420" w:hanging="420"/>
      </w:pPr>
      <w:rPr>
        <w:rFonts w:hint="eastAsia" w:eastAsia="宋体"/>
        <w:b/>
        <w:i w:val="0"/>
        <w:sz w:val="21"/>
        <w:u w:val="none"/>
      </w:rPr>
    </w:lvl>
    <w:lvl w:ilvl="1" w:tentative="0">
      <w:start w:val="1"/>
      <w:numFmt w:val="lowerLetter"/>
      <w:lvlText w:val="%2)"/>
      <w:lvlJc w:val="left"/>
      <w:pPr>
        <w:ind w:left="840" w:hanging="420"/>
      </w:pPr>
      <w:rPr>
        <w:rFonts w:hint="eastAsia"/>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3">
    <w:nsid w:val="57FF1D46"/>
    <w:multiLevelType w:val="multilevel"/>
    <w:tmpl w:val="57FF1D46"/>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4">
    <w:nsid w:val="5908585D"/>
    <w:multiLevelType w:val="multilevel"/>
    <w:tmpl w:val="5908585D"/>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5">
    <w:nsid w:val="59303C7D"/>
    <w:multiLevelType w:val="multilevel"/>
    <w:tmpl w:val="59303C7D"/>
    <w:lvl w:ilvl="0" w:tentative="0">
      <w:start w:val="5"/>
      <w:numFmt w:val="decimal"/>
      <w:lvlText w:val="%1"/>
      <w:lvlJc w:val="left"/>
      <w:pPr>
        <w:ind w:left="405" w:hanging="405"/>
      </w:pPr>
      <w:rPr>
        <w:rFonts w:hint="default"/>
      </w:rPr>
    </w:lvl>
    <w:lvl w:ilvl="1" w:tentative="0">
      <w:start w:val="1"/>
      <w:numFmt w:val="decimal"/>
      <w:lvlText w:val="%1.%2"/>
      <w:lvlJc w:val="left"/>
      <w:pPr>
        <w:ind w:left="405" w:hanging="40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46">
    <w:nsid w:val="5997353D"/>
    <w:multiLevelType w:val="multilevel"/>
    <w:tmpl w:val="5997353D"/>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7">
    <w:nsid w:val="59F8571B"/>
    <w:multiLevelType w:val="multilevel"/>
    <w:tmpl w:val="59F8571B"/>
    <w:lvl w:ilvl="0" w:tentative="0">
      <w:start w:val="1"/>
      <w:numFmt w:val="decimal"/>
      <w:lvlText w:val="5.2.%1"/>
      <w:lvlJc w:val="left"/>
      <w:pPr>
        <w:ind w:left="420" w:hanging="420"/>
      </w:pPr>
      <w:rPr>
        <w:rFonts w:hint="eastAsia" w:eastAsia="宋体"/>
        <w:b/>
        <w:i w:val="0"/>
        <w:sz w:val="21"/>
        <w:u w:val="none"/>
      </w:rPr>
    </w:lvl>
    <w:lvl w:ilvl="1" w:tentative="0">
      <w:start w:val="1"/>
      <w:numFmt w:val="lowerLetter"/>
      <w:lvlText w:val="%2)"/>
      <w:lvlJc w:val="left"/>
      <w:pPr>
        <w:ind w:left="840" w:hanging="420"/>
      </w:pPr>
      <w:rPr>
        <w:rFonts w:hint="eastAsia"/>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8">
    <w:nsid w:val="5A47208E"/>
    <w:multiLevelType w:val="multilevel"/>
    <w:tmpl w:val="5A47208E"/>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9">
    <w:nsid w:val="5A900C1C"/>
    <w:multiLevelType w:val="multilevel"/>
    <w:tmpl w:val="5A900C1C"/>
    <w:lvl w:ilvl="0" w:tentative="0">
      <w:start w:val="1"/>
      <w:numFmt w:val="decimal"/>
      <w:lvlText w:val="8.5.%1"/>
      <w:lvlJc w:val="left"/>
      <w:pPr>
        <w:ind w:left="420" w:hanging="420"/>
      </w:pPr>
      <w:rPr>
        <w:rFonts w:hint="eastAsia" w:eastAsia="宋体"/>
        <w:b/>
        <w:i w:val="0"/>
        <w:sz w:val="21"/>
        <w:u w:val="none" w:color="002060"/>
      </w:rPr>
    </w:lvl>
    <w:lvl w:ilvl="1" w:tentative="0">
      <w:start w:val="1"/>
      <w:numFmt w:val="lowerLetter"/>
      <w:lvlText w:val="%2)"/>
      <w:lvlJc w:val="left"/>
      <w:pPr>
        <w:ind w:left="840" w:hanging="420"/>
      </w:pPr>
      <w:rPr>
        <w:rFonts w:hint="eastAsia"/>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0">
    <w:nsid w:val="5B452F90"/>
    <w:multiLevelType w:val="multilevel"/>
    <w:tmpl w:val="5B452F90"/>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1">
    <w:nsid w:val="5C061A90"/>
    <w:multiLevelType w:val="multilevel"/>
    <w:tmpl w:val="5C061A90"/>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2">
    <w:nsid w:val="5D0A210D"/>
    <w:multiLevelType w:val="multilevel"/>
    <w:tmpl w:val="5D0A210D"/>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3">
    <w:nsid w:val="5D2808AE"/>
    <w:multiLevelType w:val="multilevel"/>
    <w:tmpl w:val="5D2808AE"/>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4">
    <w:nsid w:val="5D816CD7"/>
    <w:multiLevelType w:val="multilevel"/>
    <w:tmpl w:val="5D816CD7"/>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5">
    <w:nsid w:val="5E1D382F"/>
    <w:multiLevelType w:val="multilevel"/>
    <w:tmpl w:val="5E1D382F"/>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6">
    <w:nsid w:val="5E965B44"/>
    <w:multiLevelType w:val="multilevel"/>
    <w:tmpl w:val="5E965B44"/>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7">
    <w:nsid w:val="5F8B13F3"/>
    <w:multiLevelType w:val="multilevel"/>
    <w:tmpl w:val="5F8B13F3"/>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8">
    <w:nsid w:val="60C06ABA"/>
    <w:multiLevelType w:val="multilevel"/>
    <w:tmpl w:val="60C06ABA"/>
    <w:lvl w:ilvl="0" w:tentative="0">
      <w:start w:val="1"/>
      <w:numFmt w:val="decimal"/>
      <w:lvlText w:val="8.3.%1"/>
      <w:lvlJc w:val="left"/>
      <w:pPr>
        <w:ind w:left="420" w:hanging="420"/>
      </w:pPr>
      <w:rPr>
        <w:rFonts w:hint="eastAsia" w:eastAsia="宋体"/>
        <w:b/>
        <w:i w:val="0"/>
        <w:sz w:val="21"/>
        <w:u w:val="none" w:color="002060"/>
        <w14:shadow w14:blurRad="0" w14:dist="0" w14:dir="0" w14:sx="0" w14:sy="0" w14:kx="0" w14:ky="0" w14:algn="none">
          <w14:srgbClr w14:val="000000"/>
        </w14:shadow>
      </w:rPr>
    </w:lvl>
    <w:lvl w:ilvl="1" w:tentative="0">
      <w:start w:val="1"/>
      <w:numFmt w:val="lowerLetter"/>
      <w:lvlText w:val="%2)"/>
      <w:lvlJc w:val="left"/>
      <w:pPr>
        <w:ind w:left="840" w:hanging="420"/>
      </w:pPr>
      <w:rPr>
        <w:rFonts w:hint="eastAsia"/>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9">
    <w:nsid w:val="61D02676"/>
    <w:multiLevelType w:val="multilevel"/>
    <w:tmpl w:val="61D02676"/>
    <w:lvl w:ilvl="0" w:tentative="0">
      <w:start w:val="1"/>
      <w:numFmt w:val="decimal"/>
      <w:lvlText w:val="%1"/>
      <w:lvlJc w:val="left"/>
      <w:pPr>
        <w:tabs>
          <w:tab w:val="left" w:pos="900"/>
        </w:tabs>
        <w:ind w:left="900" w:hanging="900"/>
      </w:pPr>
      <w:rPr>
        <w:rFonts w:hint="default"/>
      </w:rPr>
    </w:lvl>
    <w:lvl w:ilvl="1" w:tentative="0">
      <w:start w:val="0"/>
      <w:numFmt w:val="decimal"/>
      <w:lvlText w:val="%1.%2"/>
      <w:lvlJc w:val="left"/>
      <w:pPr>
        <w:tabs>
          <w:tab w:val="left" w:pos="900"/>
        </w:tabs>
        <w:ind w:left="900" w:hanging="900"/>
      </w:pPr>
      <w:rPr>
        <w:rFonts w:hint="default"/>
      </w:rPr>
    </w:lvl>
    <w:lvl w:ilvl="2" w:tentative="0">
      <w:start w:val="1"/>
      <w:numFmt w:val="decimal"/>
      <w:lvlText w:val="%1.%2.%3"/>
      <w:lvlJc w:val="left"/>
      <w:pPr>
        <w:tabs>
          <w:tab w:val="left" w:pos="1080"/>
        </w:tabs>
        <w:ind w:left="1080" w:hanging="1080"/>
      </w:pPr>
      <w:rPr>
        <w:rFonts w:hint="default"/>
        <w:b/>
        <w:color w:val="auto"/>
        <w:u w:val="none" w:color="ED7D31" w:themeColor="accent2"/>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520"/>
        </w:tabs>
        <w:ind w:left="2520" w:hanging="2520"/>
      </w:pPr>
      <w:rPr>
        <w:rFonts w:hint="default"/>
      </w:rPr>
    </w:lvl>
    <w:lvl w:ilvl="8" w:tentative="0">
      <w:start w:val="1"/>
      <w:numFmt w:val="decimal"/>
      <w:lvlText w:val="%1.%2.%3.%4.%5.%6.%7.%8.%9"/>
      <w:lvlJc w:val="left"/>
      <w:pPr>
        <w:tabs>
          <w:tab w:val="left" w:pos="2880"/>
        </w:tabs>
        <w:ind w:left="2880" w:hanging="2880"/>
      </w:pPr>
      <w:rPr>
        <w:rFonts w:hint="default"/>
      </w:rPr>
    </w:lvl>
  </w:abstractNum>
  <w:abstractNum w:abstractNumId="160">
    <w:nsid w:val="6302146E"/>
    <w:multiLevelType w:val="multilevel"/>
    <w:tmpl w:val="6302146E"/>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1">
    <w:nsid w:val="6397510F"/>
    <w:multiLevelType w:val="multilevel"/>
    <w:tmpl w:val="6397510F"/>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2">
    <w:nsid w:val="644444C3"/>
    <w:multiLevelType w:val="multilevel"/>
    <w:tmpl w:val="644444C3"/>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3">
    <w:nsid w:val="64B8F79B"/>
    <w:multiLevelType w:val="multilevel"/>
    <w:tmpl w:val="64B8F79B"/>
    <w:lvl w:ilvl="0" w:tentative="0">
      <w:start w:val="7"/>
      <w:numFmt w:val="decimal"/>
      <w:suff w:val="space"/>
      <w:lvlText w:val="%1"/>
      <w:lvlJc w:val="left"/>
      <w:pPr>
        <w:ind w:left="0" w:firstLine="0"/>
      </w:pPr>
      <w:rPr>
        <w:rFonts w:hint="eastAsia"/>
        <w:lang w:eastAsia="zh-CN"/>
      </w:rPr>
    </w:lvl>
    <w:lvl w:ilvl="1" w:tentative="0">
      <w:start w:val="1"/>
      <w:numFmt w:val="decimal"/>
      <w:isLgl/>
      <w:lvlText w:val="%1.%2"/>
      <w:lvlJc w:val="left"/>
      <w:pPr>
        <w:ind w:left="1134" w:firstLine="0"/>
      </w:pPr>
      <w:rPr>
        <w:rFonts w:hint="eastAsia"/>
        <w:b/>
        <w:bCs/>
        <w:i w:val="0"/>
        <w:sz w:val="24"/>
      </w:rPr>
    </w:lvl>
    <w:lvl w:ilvl="2" w:tentative="0">
      <w:start w:val="1"/>
      <w:numFmt w:val="decimal"/>
      <w:pStyle w:val="5"/>
      <w:suff w:val="nothing"/>
      <w:lvlText w:val="%1.%2.%3"/>
      <w:lvlJc w:val="left"/>
      <w:pPr>
        <w:tabs>
          <w:tab w:val="left" w:pos="0"/>
        </w:tabs>
        <w:ind w:left="0" w:firstLine="0"/>
      </w:pPr>
      <w:rPr>
        <w:rFonts w:hint="default" w:ascii="Times New Roman" w:hAnsi="Times New Roman" w:cs="Times New Roman"/>
        <w:b w:val="0"/>
        <w:i w:val="0"/>
        <w:sz w:val="24"/>
      </w:rPr>
    </w:lvl>
    <w:lvl w:ilvl="3" w:tentative="0">
      <w:start w:val="1"/>
      <w:numFmt w:val="decimal"/>
      <w:suff w:val="nothing"/>
      <w:lvlText w:val="%1.%2.%3.%4"/>
      <w:lvlJc w:val="left"/>
      <w:pPr>
        <w:ind w:left="0" w:firstLine="0"/>
      </w:pPr>
      <w:rPr>
        <w:rFonts w:hint="eastAsia" w:ascii="Dotum" w:hAnsi="Dotum"/>
        <w:b w:val="0"/>
        <w:i w:val="0"/>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4">
    <w:nsid w:val="65A10D87"/>
    <w:multiLevelType w:val="multilevel"/>
    <w:tmpl w:val="65A10D87"/>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5">
    <w:nsid w:val="66941804"/>
    <w:multiLevelType w:val="multilevel"/>
    <w:tmpl w:val="66941804"/>
    <w:lvl w:ilvl="0" w:tentative="0">
      <w:start w:val="1"/>
      <w:numFmt w:val="decimal"/>
      <w:lvlText w:val="5.10.%1"/>
      <w:lvlJc w:val="left"/>
      <w:pPr>
        <w:ind w:left="420" w:hanging="420"/>
      </w:pPr>
      <w:rPr>
        <w:rFonts w:hint="eastAsia" w:eastAsia="宋体"/>
        <w:b/>
        <w:i w:val="0"/>
        <w:sz w:val="21"/>
        <w:u w:val="none" w:color="002060"/>
        <w14:shadow w14:blurRad="0" w14:dist="0" w14:dir="0" w14:sx="0" w14:sy="0" w14:kx="0" w14:ky="0" w14:algn="none">
          <w14:srgbClr w14:val="000000"/>
        </w14:shadow>
      </w:rPr>
    </w:lvl>
    <w:lvl w:ilvl="1" w:tentative="0">
      <w:start w:val="1"/>
      <w:numFmt w:val="lowerLetter"/>
      <w:lvlText w:val="%2)"/>
      <w:lvlJc w:val="left"/>
      <w:pPr>
        <w:ind w:left="840" w:hanging="420"/>
      </w:pPr>
      <w:rPr>
        <w:rFonts w:hint="eastAsia"/>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6">
    <w:nsid w:val="66AF204B"/>
    <w:multiLevelType w:val="multilevel"/>
    <w:tmpl w:val="66AF204B"/>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7">
    <w:nsid w:val="67184092"/>
    <w:multiLevelType w:val="multilevel"/>
    <w:tmpl w:val="67184092"/>
    <w:lvl w:ilvl="0" w:tentative="0">
      <w:start w:val="1"/>
      <w:numFmt w:val="decimal"/>
      <w:lvlText w:val="7.1.%1"/>
      <w:lvlJc w:val="left"/>
      <w:pPr>
        <w:ind w:left="420" w:hanging="420"/>
      </w:pPr>
      <w:rPr>
        <w:rFonts w:hint="eastAsia" w:eastAsia="宋体"/>
        <w:b/>
        <w:i w:val="0"/>
        <w:sz w:val="21"/>
        <w:u w:val="none" w:color="002060"/>
        <w14:shadow w14:blurRad="0" w14:dist="0" w14:dir="0" w14:sx="0" w14:sy="0" w14:kx="0" w14:ky="0" w14:algn="none">
          <w14:srgbClr w14:val="000000"/>
        </w14:shadow>
      </w:rPr>
    </w:lvl>
    <w:lvl w:ilvl="1" w:tentative="0">
      <w:start w:val="1"/>
      <w:numFmt w:val="lowerLetter"/>
      <w:lvlText w:val="%2)"/>
      <w:lvlJc w:val="left"/>
      <w:pPr>
        <w:ind w:left="840" w:hanging="420"/>
      </w:pPr>
      <w:rPr>
        <w:rFonts w:hint="eastAsia"/>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8">
    <w:nsid w:val="677A703A"/>
    <w:multiLevelType w:val="multilevel"/>
    <w:tmpl w:val="677A703A"/>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9">
    <w:nsid w:val="682B7E2C"/>
    <w:multiLevelType w:val="multilevel"/>
    <w:tmpl w:val="682B7E2C"/>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0">
    <w:nsid w:val="684F72C1"/>
    <w:multiLevelType w:val="multilevel"/>
    <w:tmpl w:val="684F72C1"/>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1">
    <w:nsid w:val="68A138A0"/>
    <w:multiLevelType w:val="multilevel"/>
    <w:tmpl w:val="68A138A0"/>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2">
    <w:nsid w:val="693E2BE3"/>
    <w:multiLevelType w:val="multilevel"/>
    <w:tmpl w:val="693E2BE3"/>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3">
    <w:nsid w:val="6B4575A1"/>
    <w:multiLevelType w:val="multilevel"/>
    <w:tmpl w:val="6B4575A1"/>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4">
    <w:nsid w:val="6B817FCE"/>
    <w:multiLevelType w:val="multilevel"/>
    <w:tmpl w:val="6B817FCE"/>
    <w:lvl w:ilvl="0" w:tentative="0">
      <w:start w:val="1"/>
      <w:numFmt w:val="decimal"/>
      <w:lvlText w:val="6.4.%1"/>
      <w:lvlJc w:val="left"/>
      <w:pPr>
        <w:ind w:left="420" w:hanging="420"/>
      </w:pPr>
      <w:rPr>
        <w:rFonts w:hint="eastAsia" w:eastAsia="宋体"/>
        <w:b/>
        <w:i w:val="0"/>
        <w:sz w:val="21"/>
        <w:u w:val="none" w:color="002060"/>
        <w14:shadow w14:blurRad="0" w14:dist="0" w14:dir="0" w14:sx="0" w14:sy="0" w14:kx="0" w14:ky="0" w14:algn="none">
          <w14:srgbClr w14:val="000000"/>
        </w14:shadow>
      </w:rPr>
    </w:lvl>
    <w:lvl w:ilvl="1" w:tentative="0">
      <w:start w:val="1"/>
      <w:numFmt w:val="lowerLetter"/>
      <w:lvlText w:val="%2)"/>
      <w:lvlJc w:val="left"/>
      <w:pPr>
        <w:ind w:left="840" w:hanging="420"/>
      </w:pPr>
      <w:rPr>
        <w:rFonts w:hint="eastAsia"/>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5">
    <w:nsid w:val="6B8653B6"/>
    <w:multiLevelType w:val="multilevel"/>
    <w:tmpl w:val="6B8653B6"/>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6">
    <w:nsid w:val="6C1529AD"/>
    <w:multiLevelType w:val="multilevel"/>
    <w:tmpl w:val="6C1529AD"/>
    <w:lvl w:ilvl="0" w:tentative="0">
      <w:start w:val="1"/>
      <w:numFmt w:val="decimal"/>
      <w:lvlText w:val="6.5.%1"/>
      <w:lvlJc w:val="left"/>
      <w:pPr>
        <w:ind w:left="420" w:hanging="420"/>
      </w:pPr>
      <w:rPr>
        <w:rFonts w:hint="eastAsia" w:eastAsia="宋体"/>
        <w:b/>
        <w:i w:val="0"/>
        <w:sz w:val="21"/>
        <w:u w:val="none" w:color="002060"/>
        <w14:shadow w14:blurRad="0" w14:dist="0" w14:dir="0" w14:sx="0" w14:sy="0" w14:kx="0" w14:ky="0" w14:algn="none">
          <w14:srgbClr w14:val="000000"/>
        </w14:shadow>
      </w:rPr>
    </w:lvl>
    <w:lvl w:ilvl="1" w:tentative="0">
      <w:start w:val="1"/>
      <w:numFmt w:val="lowerLetter"/>
      <w:lvlText w:val="%2)"/>
      <w:lvlJc w:val="left"/>
      <w:pPr>
        <w:ind w:left="840" w:hanging="420"/>
      </w:pPr>
      <w:rPr>
        <w:rFonts w:hint="eastAsia"/>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7">
    <w:nsid w:val="6F294ED2"/>
    <w:multiLevelType w:val="multilevel"/>
    <w:tmpl w:val="6F294ED2"/>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8">
    <w:nsid w:val="711052F6"/>
    <w:multiLevelType w:val="multilevel"/>
    <w:tmpl w:val="711052F6"/>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9">
    <w:nsid w:val="72295281"/>
    <w:multiLevelType w:val="multilevel"/>
    <w:tmpl w:val="72295281"/>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0">
    <w:nsid w:val="72480957"/>
    <w:multiLevelType w:val="multilevel"/>
    <w:tmpl w:val="72480957"/>
    <w:lvl w:ilvl="0" w:tentative="0">
      <w:start w:val="1"/>
      <w:numFmt w:val="decimal"/>
      <w:lvlText w:val="7.2.%1"/>
      <w:lvlJc w:val="left"/>
      <w:pPr>
        <w:ind w:left="420" w:hanging="420"/>
      </w:pPr>
      <w:rPr>
        <w:rFonts w:hint="eastAsia" w:eastAsia="宋体"/>
        <w:b/>
        <w:i w:val="0"/>
        <w:sz w:val="21"/>
        <w:u w:val="none" w:color="002060"/>
        <w14:shadow w14:blurRad="0" w14:dist="0" w14:dir="0" w14:sx="0" w14:sy="0" w14:kx="0" w14:ky="0" w14:algn="none">
          <w14:srgbClr w14:val="000000"/>
        </w14:shadow>
      </w:rPr>
    </w:lvl>
    <w:lvl w:ilvl="1" w:tentative="0">
      <w:start w:val="1"/>
      <w:numFmt w:val="lowerLetter"/>
      <w:lvlText w:val="%2)"/>
      <w:lvlJc w:val="left"/>
      <w:pPr>
        <w:ind w:left="840" w:hanging="420"/>
      </w:pPr>
      <w:rPr>
        <w:rFonts w:hint="eastAsia"/>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1">
    <w:nsid w:val="726B3617"/>
    <w:multiLevelType w:val="multilevel"/>
    <w:tmpl w:val="726B3617"/>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2">
    <w:nsid w:val="72DFF48A"/>
    <w:multiLevelType w:val="multilevel"/>
    <w:tmpl w:val="72DFF48A"/>
    <w:lvl w:ilvl="0" w:tentative="0">
      <w:start w:val="1"/>
      <w:numFmt w:val="decimal"/>
      <w:lvlText w:val="%1"/>
      <w:lvlJc w:val="left"/>
      <w:pPr>
        <w:ind w:left="844" w:hanging="420"/>
      </w:pPr>
      <w:rPr>
        <w:rFonts w:hint="default" w:ascii="Times New Roman" w:hAnsi="Times New Roman" w:eastAsia="Times New Roman" w:cs="Times New Roman"/>
        <w:b/>
        <w:bCs/>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83">
    <w:nsid w:val="73C0620A"/>
    <w:multiLevelType w:val="multilevel"/>
    <w:tmpl w:val="73C0620A"/>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4">
    <w:nsid w:val="74011A3F"/>
    <w:multiLevelType w:val="multilevel"/>
    <w:tmpl w:val="74011A3F"/>
    <w:lvl w:ilvl="0" w:tentative="0">
      <w:start w:val="1"/>
      <w:numFmt w:val="decimal"/>
      <w:lvlText w:val="4.4.%1"/>
      <w:lvlJc w:val="left"/>
      <w:pPr>
        <w:ind w:left="420" w:hanging="420"/>
      </w:pPr>
      <w:rPr>
        <w:rFonts w:hint="eastAsia" w:eastAsia="宋体"/>
        <w:b/>
        <w:i w:val="0"/>
        <w:sz w:val="21"/>
        <w:u w:val="none"/>
      </w:rPr>
    </w:lvl>
    <w:lvl w:ilvl="1" w:tentative="0">
      <w:start w:val="1"/>
      <w:numFmt w:val="lowerLetter"/>
      <w:lvlText w:val="%2)"/>
      <w:lvlJc w:val="left"/>
      <w:pPr>
        <w:ind w:left="840" w:hanging="420"/>
      </w:pPr>
      <w:rPr>
        <w:rFonts w:hint="eastAsia"/>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5">
    <w:nsid w:val="753965C5"/>
    <w:multiLevelType w:val="multilevel"/>
    <w:tmpl w:val="753965C5"/>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6">
    <w:nsid w:val="75F20384"/>
    <w:multiLevelType w:val="multilevel"/>
    <w:tmpl w:val="75F20384"/>
    <w:lvl w:ilvl="0" w:tentative="0">
      <w:start w:val="1"/>
      <w:numFmt w:val="decimal"/>
      <w:lvlText w:val="6.6.%1"/>
      <w:lvlJc w:val="left"/>
      <w:pPr>
        <w:ind w:left="420" w:hanging="420"/>
      </w:pPr>
      <w:rPr>
        <w:rFonts w:hint="eastAsia" w:eastAsia="宋体"/>
        <w:b/>
        <w:i w:val="0"/>
        <w:sz w:val="21"/>
        <w:u w:val="none" w:color="002060"/>
        <w14:shadow w14:blurRad="0" w14:dist="0" w14:dir="0" w14:sx="0" w14:sy="0" w14:kx="0" w14:ky="0" w14:algn="none">
          <w14:srgbClr w14:val="000000"/>
        </w14:shadow>
      </w:rPr>
    </w:lvl>
    <w:lvl w:ilvl="1" w:tentative="0">
      <w:start w:val="1"/>
      <w:numFmt w:val="lowerLetter"/>
      <w:lvlText w:val="%2)"/>
      <w:lvlJc w:val="left"/>
      <w:pPr>
        <w:ind w:left="840" w:hanging="420"/>
      </w:pPr>
      <w:rPr>
        <w:rFonts w:hint="eastAsia"/>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7">
    <w:nsid w:val="75F639EB"/>
    <w:multiLevelType w:val="multilevel"/>
    <w:tmpl w:val="75F639EB"/>
    <w:lvl w:ilvl="0" w:tentative="0">
      <w:start w:val="1"/>
      <w:numFmt w:val="decimal"/>
      <w:lvlText w:val="3.1.%1"/>
      <w:lvlJc w:val="left"/>
      <w:pPr>
        <w:ind w:left="0" w:firstLine="0"/>
      </w:pPr>
      <w:rPr>
        <w:rFonts w:hint="eastAsia" w:eastAsia="宋体"/>
        <w:b w:val="0"/>
        <w:i w:val="0"/>
        <w:sz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8">
    <w:nsid w:val="76167F8C"/>
    <w:multiLevelType w:val="multilevel"/>
    <w:tmpl w:val="76167F8C"/>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9">
    <w:nsid w:val="7679626C"/>
    <w:multiLevelType w:val="multilevel"/>
    <w:tmpl w:val="7679626C"/>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0">
    <w:nsid w:val="76DF1ED0"/>
    <w:multiLevelType w:val="multilevel"/>
    <w:tmpl w:val="76DF1ED0"/>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1">
    <w:nsid w:val="7A9C7B92"/>
    <w:multiLevelType w:val="multilevel"/>
    <w:tmpl w:val="7A9C7B92"/>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2">
    <w:nsid w:val="7AE97D20"/>
    <w:multiLevelType w:val="multilevel"/>
    <w:tmpl w:val="7AE97D20"/>
    <w:lvl w:ilvl="0" w:tentative="0">
      <w:start w:val="1"/>
      <w:numFmt w:val="decimal"/>
      <w:lvlText w:val="8.2.%1"/>
      <w:lvlJc w:val="left"/>
      <w:pPr>
        <w:ind w:left="420" w:hanging="420"/>
      </w:pPr>
      <w:rPr>
        <w:rFonts w:hint="eastAsia" w:eastAsia="宋体"/>
        <w:b/>
        <w:i w:val="0"/>
        <w:sz w:val="21"/>
        <w:u w:val="none" w:color="002060"/>
        <w14:shadow w14:blurRad="0" w14:dist="0" w14:dir="0" w14:sx="0" w14:sy="0" w14:kx="0" w14:ky="0" w14:algn="none">
          <w14:srgbClr w14:val="000000"/>
        </w14:shadow>
      </w:rPr>
    </w:lvl>
    <w:lvl w:ilvl="1" w:tentative="0">
      <w:start w:val="1"/>
      <w:numFmt w:val="lowerLetter"/>
      <w:lvlText w:val="%2)"/>
      <w:lvlJc w:val="left"/>
      <w:pPr>
        <w:ind w:left="840" w:hanging="420"/>
      </w:pPr>
      <w:rPr>
        <w:rFonts w:hint="eastAsia"/>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3">
    <w:nsid w:val="7B5C38F5"/>
    <w:multiLevelType w:val="multilevel"/>
    <w:tmpl w:val="7B5C38F5"/>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4">
    <w:nsid w:val="7BFB1A0B"/>
    <w:multiLevelType w:val="multilevel"/>
    <w:tmpl w:val="7BFB1A0B"/>
    <w:lvl w:ilvl="0" w:tentative="0">
      <w:start w:val="1"/>
      <w:numFmt w:val="upperRoman"/>
      <w:suff w:val="nothing"/>
      <w:lvlText w:val="%1"/>
      <w:lvlJc w:val="left"/>
      <w:pPr>
        <w:ind w:left="0" w:firstLine="0"/>
      </w:pPr>
      <w:rPr>
        <w:rFonts w:hint="eastAsia"/>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5">
    <w:nsid w:val="7C0E6E39"/>
    <w:multiLevelType w:val="multilevel"/>
    <w:tmpl w:val="7C0E6E39"/>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6">
    <w:nsid w:val="7C731C68"/>
    <w:multiLevelType w:val="multilevel"/>
    <w:tmpl w:val="7C731C68"/>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7">
    <w:nsid w:val="7E0960A7"/>
    <w:multiLevelType w:val="multilevel"/>
    <w:tmpl w:val="7E0960A7"/>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color="ED7D31" w:themeColor="accent2"/>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8">
    <w:nsid w:val="7F301A0A"/>
    <w:multiLevelType w:val="multilevel"/>
    <w:tmpl w:val="7F301A0A"/>
    <w:lvl w:ilvl="0" w:tentative="0">
      <w:start w:val="1"/>
      <w:numFmt w:val="decimal"/>
      <w:lvlText w:val="4.1.%1"/>
      <w:lvlJc w:val="left"/>
      <w:pPr>
        <w:ind w:left="420" w:hanging="420"/>
      </w:pPr>
      <w:rPr>
        <w:rFonts w:hint="eastAsia" w:eastAsia="宋体"/>
        <w:b/>
        <w:i w:val="0"/>
        <w:sz w:val="21"/>
      </w:rPr>
    </w:lvl>
    <w:lvl w:ilvl="1" w:tentative="0">
      <w:start w:val="1"/>
      <w:numFmt w:val="decimal"/>
      <w:lvlText w:val="%2"/>
      <w:lvlJc w:val="left"/>
      <w:pPr>
        <w:ind w:left="0" w:firstLine="0"/>
      </w:pPr>
      <w:rPr>
        <w:rFonts w:hint="eastAsia"/>
        <w:b/>
        <w:i w:val="0"/>
        <w:u w:val="none"/>
      </w:rPr>
    </w:lvl>
    <w:lvl w:ilvl="2" w:tentative="0">
      <w:start w:val="1"/>
      <w:numFmt w:val="decimal"/>
      <w:lvlText w:val="3.4.%3."/>
      <w:lvlJc w:val="left"/>
      <w:pPr>
        <w:ind w:left="1260" w:hanging="420"/>
      </w:pPr>
      <w:rPr>
        <w:rFonts w:hint="eastAsia"/>
        <w:b/>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46"/>
  </w:num>
  <w:num w:numId="2">
    <w:abstractNumId w:val="12"/>
  </w:num>
  <w:num w:numId="3">
    <w:abstractNumId w:val="163"/>
  </w:num>
  <w:num w:numId="4">
    <w:abstractNumId w:val="36"/>
  </w:num>
  <w:num w:numId="5">
    <w:abstractNumId w:val="159"/>
  </w:num>
  <w:num w:numId="6">
    <w:abstractNumId w:val="1"/>
    <w:lvlOverride w:ilvl="0">
      <w:lvl w:ilvl="0" w:tentative="1">
        <w:start w:val="1"/>
        <w:numFmt w:val="decimal"/>
        <w:lvlText w:val="%1"/>
        <w:lvlJc w:val="left"/>
        <w:pPr>
          <w:tabs>
            <w:tab w:val="left" w:pos="900"/>
          </w:tabs>
          <w:ind w:left="900" w:hanging="900"/>
        </w:pPr>
        <w:rPr>
          <w:rFonts w:hint="default"/>
        </w:rPr>
      </w:lvl>
    </w:lvlOverride>
    <w:lvlOverride w:ilvl="1">
      <w:lvl w:ilvl="1" w:tentative="1">
        <w:start w:val="0"/>
        <w:numFmt w:val="decimal"/>
        <w:lvlText w:val="%1.%2"/>
        <w:lvlJc w:val="left"/>
        <w:pPr>
          <w:tabs>
            <w:tab w:val="left" w:pos="900"/>
          </w:tabs>
          <w:ind w:left="900" w:hanging="900"/>
        </w:pPr>
        <w:rPr>
          <w:rFonts w:hint="default"/>
        </w:rPr>
      </w:lvl>
    </w:lvlOverride>
    <w:lvlOverride w:ilvl="2">
      <w:lvl w:ilvl="2" w:tentative="1">
        <w:start w:val="1"/>
        <w:numFmt w:val="decimal"/>
        <w:lvlText w:val="2.1.%3"/>
        <w:lvlJc w:val="left"/>
        <w:pPr>
          <w:tabs>
            <w:tab w:val="left" w:pos="1080"/>
          </w:tabs>
          <w:ind w:left="0" w:firstLine="0"/>
        </w:pPr>
        <w:rPr>
          <w:rFonts w:hint="eastAsia" w:eastAsia="宋体"/>
          <w:b/>
          <w:i w:val="0"/>
          <w:sz w:val="24"/>
          <w:u w:val="none" w:color="ED7D31" w:themeColor="accent2"/>
        </w:rPr>
      </w:lvl>
    </w:lvlOverride>
    <w:lvlOverride w:ilvl="3">
      <w:lvl w:ilvl="3" w:tentative="1">
        <w:start w:val="1"/>
        <w:numFmt w:val="decimal"/>
        <w:lvlText w:val="%1.%2.%3.%4"/>
        <w:lvlJc w:val="left"/>
        <w:pPr>
          <w:tabs>
            <w:tab w:val="left" w:pos="1080"/>
          </w:tabs>
          <w:ind w:left="1080" w:hanging="1080"/>
        </w:pPr>
        <w:rPr>
          <w:rFonts w:hint="default"/>
        </w:rPr>
      </w:lvl>
    </w:lvlOverride>
    <w:lvlOverride w:ilvl="4">
      <w:lvl w:ilvl="4" w:tentative="1">
        <w:start w:val="1"/>
        <w:numFmt w:val="decimal"/>
        <w:lvlText w:val="%1.%2.%3.%4.%5"/>
        <w:lvlJc w:val="left"/>
        <w:pPr>
          <w:tabs>
            <w:tab w:val="left" w:pos="1440"/>
          </w:tabs>
          <w:ind w:left="1440" w:hanging="1440"/>
        </w:pPr>
        <w:rPr>
          <w:rFonts w:hint="default"/>
        </w:rPr>
      </w:lvl>
    </w:lvlOverride>
    <w:lvlOverride w:ilvl="5">
      <w:lvl w:ilvl="5" w:tentative="1">
        <w:start w:val="1"/>
        <w:numFmt w:val="decimal"/>
        <w:lvlText w:val="%1.%2.%3.%4.%5.%6"/>
        <w:lvlJc w:val="left"/>
        <w:pPr>
          <w:tabs>
            <w:tab w:val="left" w:pos="1800"/>
          </w:tabs>
          <w:ind w:left="1800" w:hanging="1800"/>
        </w:pPr>
        <w:rPr>
          <w:rFonts w:hint="default"/>
        </w:rPr>
      </w:lvl>
    </w:lvlOverride>
    <w:lvlOverride w:ilvl="6">
      <w:lvl w:ilvl="6" w:tentative="1">
        <w:start w:val="1"/>
        <w:numFmt w:val="decimal"/>
        <w:lvlText w:val="%1.%2.%3.%4.%5.%6.%7"/>
        <w:lvlJc w:val="left"/>
        <w:pPr>
          <w:tabs>
            <w:tab w:val="left" w:pos="2160"/>
          </w:tabs>
          <w:ind w:left="2160" w:hanging="2160"/>
        </w:pPr>
        <w:rPr>
          <w:rFonts w:hint="default"/>
        </w:rPr>
      </w:lvl>
    </w:lvlOverride>
    <w:lvlOverride w:ilvl="7">
      <w:lvl w:ilvl="7" w:tentative="1">
        <w:start w:val="1"/>
        <w:numFmt w:val="decimal"/>
        <w:lvlText w:val="%1.%2.%3.%4.%5.%6.%7.%8"/>
        <w:lvlJc w:val="left"/>
        <w:pPr>
          <w:tabs>
            <w:tab w:val="left" w:pos="2520"/>
          </w:tabs>
          <w:ind w:left="2520" w:hanging="2520"/>
        </w:pPr>
        <w:rPr>
          <w:rFonts w:hint="default"/>
        </w:rPr>
      </w:lvl>
    </w:lvlOverride>
    <w:lvlOverride w:ilvl="8">
      <w:lvl w:ilvl="8" w:tentative="1">
        <w:start w:val="1"/>
        <w:numFmt w:val="decimal"/>
        <w:lvlText w:val="%1.%2.%3.%4.%5.%6.%7.%8.%9"/>
        <w:lvlJc w:val="left"/>
        <w:pPr>
          <w:tabs>
            <w:tab w:val="left" w:pos="2880"/>
          </w:tabs>
          <w:ind w:left="2880" w:hanging="2880"/>
        </w:pPr>
        <w:rPr>
          <w:rFonts w:hint="default"/>
        </w:rPr>
      </w:lvl>
    </w:lvlOverride>
  </w:num>
  <w:num w:numId="7">
    <w:abstractNumId w:val="187"/>
    <w:lvlOverride w:ilvl="0">
      <w:lvl w:ilvl="0" w:tentative="1">
        <w:start w:val="1"/>
        <w:numFmt w:val="decimal"/>
        <w:lvlText w:val="3.1.%1"/>
        <w:lvlJc w:val="left"/>
        <w:pPr>
          <w:ind w:left="0" w:firstLine="0"/>
        </w:pPr>
        <w:rPr>
          <w:rFonts w:hint="eastAsia" w:eastAsia="宋体"/>
          <w:b/>
          <w:i w:val="0"/>
          <w:sz w:val="21"/>
          <w:szCs w:val="21"/>
          <w:u w:val="none" w:color="ED7D31" w:themeColor="accent2"/>
        </w:rPr>
      </w:lvl>
    </w:lvlOverride>
    <w:lvlOverride w:ilvl="1">
      <w:lvl w:ilvl="1" w:tentative="1">
        <w:start w:val="1"/>
        <w:numFmt w:val="lowerLetter"/>
        <w:lvlText w:val="%2)"/>
        <w:lvlJc w:val="left"/>
        <w:pPr>
          <w:ind w:left="840" w:hanging="420"/>
        </w:pPr>
        <w:rPr>
          <w:rFonts w:hint="eastAsia"/>
        </w:rPr>
      </w:lvl>
    </w:lvlOverride>
    <w:lvlOverride w:ilvl="2">
      <w:lvl w:ilvl="2" w:tentative="1">
        <w:start w:val="1"/>
        <w:numFmt w:val="lowerRoman"/>
        <w:lvlText w:val="%3."/>
        <w:lvlJc w:val="right"/>
        <w:pPr>
          <w:ind w:left="1260" w:hanging="420"/>
        </w:pPr>
        <w:rPr>
          <w:rFonts w:hint="eastAsia"/>
        </w:rPr>
      </w:lvl>
    </w:lvlOverride>
    <w:lvlOverride w:ilvl="3">
      <w:lvl w:ilvl="3" w:tentative="1">
        <w:start w:val="1"/>
        <w:numFmt w:val="decimal"/>
        <w:lvlText w:val="%4."/>
        <w:lvlJc w:val="left"/>
        <w:pPr>
          <w:ind w:left="1680" w:hanging="420"/>
        </w:pPr>
        <w:rPr>
          <w:rFonts w:hint="eastAsia"/>
        </w:rPr>
      </w:lvl>
    </w:lvlOverride>
    <w:lvlOverride w:ilvl="4">
      <w:lvl w:ilvl="4" w:tentative="1">
        <w:start w:val="1"/>
        <w:numFmt w:val="lowerLetter"/>
        <w:lvlText w:val="%5)"/>
        <w:lvlJc w:val="left"/>
        <w:pPr>
          <w:ind w:left="2100" w:hanging="420"/>
        </w:pPr>
        <w:rPr>
          <w:rFonts w:hint="eastAsia"/>
        </w:rPr>
      </w:lvl>
    </w:lvlOverride>
    <w:lvlOverride w:ilvl="5">
      <w:lvl w:ilvl="5" w:tentative="1">
        <w:start w:val="1"/>
        <w:numFmt w:val="lowerRoman"/>
        <w:lvlText w:val="%6."/>
        <w:lvlJc w:val="right"/>
        <w:pPr>
          <w:ind w:left="2520" w:hanging="420"/>
        </w:pPr>
        <w:rPr>
          <w:rFonts w:hint="eastAsia"/>
        </w:rPr>
      </w:lvl>
    </w:lvlOverride>
    <w:lvlOverride w:ilvl="6">
      <w:lvl w:ilvl="6" w:tentative="1">
        <w:start w:val="1"/>
        <w:numFmt w:val="decimal"/>
        <w:lvlText w:val="%7."/>
        <w:lvlJc w:val="left"/>
        <w:pPr>
          <w:ind w:left="2940" w:hanging="420"/>
        </w:pPr>
        <w:rPr>
          <w:rFonts w:hint="eastAsia"/>
        </w:rPr>
      </w:lvl>
    </w:lvlOverride>
    <w:lvlOverride w:ilvl="7">
      <w:lvl w:ilvl="7" w:tentative="1">
        <w:start w:val="1"/>
        <w:numFmt w:val="lowerLetter"/>
        <w:lvlText w:val="%8)"/>
        <w:lvlJc w:val="left"/>
        <w:pPr>
          <w:ind w:left="3360" w:hanging="420"/>
        </w:pPr>
        <w:rPr>
          <w:rFonts w:hint="eastAsia"/>
        </w:rPr>
      </w:lvl>
    </w:lvlOverride>
    <w:lvlOverride w:ilvl="8">
      <w:lvl w:ilvl="8" w:tentative="1">
        <w:start w:val="1"/>
        <w:numFmt w:val="lowerRoman"/>
        <w:lvlText w:val="%9."/>
        <w:lvlJc w:val="right"/>
        <w:pPr>
          <w:ind w:left="3780" w:hanging="420"/>
        </w:pPr>
        <w:rPr>
          <w:rFonts w:hint="eastAsia"/>
        </w:rPr>
      </w:lvl>
    </w:lvlOverride>
  </w:num>
  <w:num w:numId="8">
    <w:abstractNumId w:val="25"/>
  </w:num>
  <w:num w:numId="9">
    <w:abstractNumId w:val="189"/>
  </w:num>
  <w:num w:numId="10">
    <w:abstractNumId w:val="96"/>
    <w:lvlOverride w:ilvl="0">
      <w:lvl w:ilvl="0" w:tentative="1">
        <w:start w:val="1"/>
        <w:numFmt w:val="decimal"/>
        <w:lvlText w:val="3.2.%1"/>
        <w:lvlJc w:val="left"/>
        <w:pPr>
          <w:ind w:left="0" w:firstLine="0"/>
        </w:pPr>
        <w:rPr>
          <w:rFonts w:hint="eastAsia"/>
          <w:b/>
          <w:i w:val="0"/>
          <w:u w:val="none" w:color="ED7D31" w:themeColor="accent2"/>
        </w:rPr>
      </w:lvl>
    </w:lvlOverride>
    <w:lvlOverride w:ilvl="1">
      <w:lvl w:ilvl="1" w:tentative="1">
        <w:start w:val="1"/>
        <w:numFmt w:val="lowerLetter"/>
        <w:lvlText w:val="%2)"/>
        <w:lvlJc w:val="left"/>
        <w:pPr>
          <w:ind w:left="840" w:hanging="420"/>
        </w:pPr>
        <w:rPr>
          <w:rFonts w:hint="eastAsia"/>
        </w:rPr>
      </w:lvl>
    </w:lvlOverride>
    <w:lvlOverride w:ilvl="2">
      <w:lvl w:ilvl="2" w:tentative="1">
        <w:start w:val="1"/>
        <w:numFmt w:val="lowerRoman"/>
        <w:lvlText w:val="%3."/>
        <w:lvlJc w:val="right"/>
        <w:pPr>
          <w:ind w:left="1260" w:hanging="420"/>
        </w:pPr>
        <w:rPr>
          <w:rFonts w:hint="eastAsia"/>
        </w:rPr>
      </w:lvl>
    </w:lvlOverride>
    <w:lvlOverride w:ilvl="3">
      <w:lvl w:ilvl="3" w:tentative="1">
        <w:start w:val="1"/>
        <w:numFmt w:val="decimal"/>
        <w:lvlText w:val="%4."/>
        <w:lvlJc w:val="left"/>
        <w:pPr>
          <w:ind w:left="1680" w:hanging="420"/>
        </w:pPr>
        <w:rPr>
          <w:rFonts w:hint="eastAsia"/>
        </w:rPr>
      </w:lvl>
    </w:lvlOverride>
    <w:lvlOverride w:ilvl="4">
      <w:lvl w:ilvl="4" w:tentative="1">
        <w:start w:val="1"/>
        <w:numFmt w:val="lowerLetter"/>
        <w:lvlText w:val="%5)"/>
        <w:lvlJc w:val="left"/>
        <w:pPr>
          <w:ind w:left="2100" w:hanging="420"/>
        </w:pPr>
        <w:rPr>
          <w:rFonts w:hint="eastAsia"/>
        </w:rPr>
      </w:lvl>
    </w:lvlOverride>
    <w:lvlOverride w:ilvl="5">
      <w:lvl w:ilvl="5" w:tentative="1">
        <w:start w:val="1"/>
        <w:numFmt w:val="lowerRoman"/>
        <w:lvlText w:val="%6."/>
        <w:lvlJc w:val="right"/>
        <w:pPr>
          <w:ind w:left="2520" w:hanging="420"/>
        </w:pPr>
        <w:rPr>
          <w:rFonts w:hint="eastAsia"/>
        </w:rPr>
      </w:lvl>
    </w:lvlOverride>
    <w:lvlOverride w:ilvl="6">
      <w:lvl w:ilvl="6" w:tentative="1">
        <w:start w:val="1"/>
        <w:numFmt w:val="decimal"/>
        <w:lvlText w:val="%7."/>
        <w:lvlJc w:val="left"/>
        <w:pPr>
          <w:ind w:left="2940" w:hanging="420"/>
        </w:pPr>
        <w:rPr>
          <w:rFonts w:hint="eastAsia"/>
        </w:rPr>
      </w:lvl>
    </w:lvlOverride>
    <w:lvlOverride w:ilvl="7">
      <w:lvl w:ilvl="7" w:tentative="1">
        <w:start w:val="1"/>
        <w:numFmt w:val="lowerLetter"/>
        <w:lvlText w:val="%8)"/>
        <w:lvlJc w:val="left"/>
        <w:pPr>
          <w:ind w:left="3360" w:hanging="420"/>
        </w:pPr>
        <w:rPr>
          <w:rFonts w:hint="eastAsia"/>
        </w:rPr>
      </w:lvl>
    </w:lvlOverride>
    <w:lvlOverride w:ilvl="8">
      <w:lvl w:ilvl="8" w:tentative="1">
        <w:start w:val="1"/>
        <w:numFmt w:val="lowerRoman"/>
        <w:lvlText w:val="%9."/>
        <w:lvlJc w:val="right"/>
        <w:pPr>
          <w:ind w:left="3780" w:hanging="420"/>
        </w:pPr>
        <w:rPr>
          <w:rFonts w:hint="eastAsia"/>
        </w:rPr>
      </w:lvl>
    </w:lvlOverride>
  </w:num>
  <w:num w:numId="11">
    <w:abstractNumId w:val="154"/>
  </w:num>
  <w:num w:numId="12">
    <w:abstractNumId w:val="164"/>
  </w:num>
  <w:num w:numId="13">
    <w:abstractNumId w:val="51"/>
  </w:num>
  <w:num w:numId="14">
    <w:abstractNumId w:val="193"/>
  </w:num>
  <w:num w:numId="15">
    <w:abstractNumId w:val="125"/>
  </w:num>
  <w:num w:numId="16">
    <w:abstractNumId w:val="0"/>
  </w:num>
  <w:num w:numId="17">
    <w:abstractNumId w:val="79"/>
    <w:lvlOverride w:ilvl="0">
      <w:lvl w:ilvl="0" w:tentative="1">
        <w:start w:val="1"/>
        <w:numFmt w:val="decimal"/>
        <w:lvlText w:val="3.3.%1"/>
        <w:lvlJc w:val="left"/>
        <w:pPr>
          <w:ind w:left="0" w:firstLine="0"/>
        </w:pPr>
        <w:rPr>
          <w:rFonts w:hint="eastAsia"/>
          <w:b/>
          <w:i w:val="0"/>
          <w:u w:val="none" w:color="ED7D31" w:themeColor="accent2"/>
        </w:rPr>
      </w:lvl>
    </w:lvlOverride>
    <w:lvlOverride w:ilvl="1">
      <w:lvl w:ilvl="1" w:tentative="1">
        <w:start w:val="1"/>
        <w:numFmt w:val="lowerLetter"/>
        <w:lvlText w:val="%2)"/>
        <w:lvlJc w:val="left"/>
        <w:pPr>
          <w:ind w:left="840" w:hanging="420"/>
        </w:pPr>
        <w:rPr>
          <w:rFonts w:hint="eastAsia"/>
        </w:rPr>
      </w:lvl>
    </w:lvlOverride>
    <w:lvlOverride w:ilvl="2">
      <w:lvl w:ilvl="2" w:tentative="1">
        <w:start w:val="1"/>
        <w:numFmt w:val="lowerRoman"/>
        <w:lvlText w:val="%3."/>
        <w:lvlJc w:val="right"/>
        <w:pPr>
          <w:ind w:left="1260" w:hanging="420"/>
        </w:pPr>
        <w:rPr>
          <w:rFonts w:hint="eastAsia"/>
        </w:rPr>
      </w:lvl>
    </w:lvlOverride>
    <w:lvlOverride w:ilvl="3">
      <w:lvl w:ilvl="3" w:tentative="1">
        <w:start w:val="1"/>
        <w:numFmt w:val="decimal"/>
        <w:lvlText w:val="%4."/>
        <w:lvlJc w:val="left"/>
        <w:pPr>
          <w:ind w:left="1680" w:hanging="420"/>
        </w:pPr>
        <w:rPr>
          <w:rFonts w:hint="eastAsia"/>
        </w:rPr>
      </w:lvl>
    </w:lvlOverride>
    <w:lvlOverride w:ilvl="4">
      <w:lvl w:ilvl="4" w:tentative="1">
        <w:start w:val="1"/>
        <w:numFmt w:val="lowerLetter"/>
        <w:lvlText w:val="%5)"/>
        <w:lvlJc w:val="left"/>
        <w:pPr>
          <w:ind w:left="2100" w:hanging="420"/>
        </w:pPr>
        <w:rPr>
          <w:rFonts w:hint="eastAsia"/>
        </w:rPr>
      </w:lvl>
    </w:lvlOverride>
    <w:lvlOverride w:ilvl="5">
      <w:lvl w:ilvl="5" w:tentative="1">
        <w:start w:val="1"/>
        <w:numFmt w:val="lowerRoman"/>
        <w:lvlText w:val="%6."/>
        <w:lvlJc w:val="right"/>
        <w:pPr>
          <w:ind w:left="2520" w:hanging="420"/>
        </w:pPr>
        <w:rPr>
          <w:rFonts w:hint="eastAsia"/>
        </w:rPr>
      </w:lvl>
    </w:lvlOverride>
    <w:lvlOverride w:ilvl="6">
      <w:lvl w:ilvl="6" w:tentative="1">
        <w:start w:val="1"/>
        <w:numFmt w:val="decimal"/>
        <w:lvlText w:val="%7."/>
        <w:lvlJc w:val="left"/>
        <w:pPr>
          <w:ind w:left="2940" w:hanging="420"/>
        </w:pPr>
        <w:rPr>
          <w:rFonts w:hint="eastAsia"/>
        </w:rPr>
      </w:lvl>
    </w:lvlOverride>
    <w:lvlOverride w:ilvl="7">
      <w:lvl w:ilvl="7" w:tentative="1">
        <w:start w:val="1"/>
        <w:numFmt w:val="lowerLetter"/>
        <w:lvlText w:val="%8)"/>
        <w:lvlJc w:val="left"/>
        <w:pPr>
          <w:ind w:left="3360" w:hanging="420"/>
        </w:pPr>
        <w:rPr>
          <w:rFonts w:hint="eastAsia"/>
        </w:rPr>
      </w:lvl>
    </w:lvlOverride>
    <w:lvlOverride w:ilvl="8">
      <w:lvl w:ilvl="8" w:tentative="1">
        <w:start w:val="1"/>
        <w:numFmt w:val="lowerRoman"/>
        <w:lvlText w:val="%9."/>
        <w:lvlJc w:val="right"/>
        <w:pPr>
          <w:ind w:left="3780" w:hanging="420"/>
        </w:pPr>
        <w:rPr>
          <w:rFonts w:hint="eastAsia"/>
        </w:rPr>
      </w:lvl>
    </w:lvlOverride>
  </w:num>
  <w:num w:numId="18">
    <w:abstractNumId w:val="170"/>
  </w:num>
  <w:num w:numId="19">
    <w:abstractNumId w:val="13"/>
  </w:num>
  <w:num w:numId="20">
    <w:abstractNumId w:val="49"/>
  </w:num>
  <w:num w:numId="21">
    <w:abstractNumId w:val="35"/>
  </w:num>
  <w:num w:numId="22">
    <w:abstractNumId w:val="15"/>
    <w:lvlOverride w:ilvl="0">
      <w:lvl w:ilvl="0" w:tentative="1">
        <w:start w:val="1"/>
        <w:numFmt w:val="decimal"/>
        <w:lvlText w:val="3.4.%1"/>
        <w:lvlJc w:val="left"/>
        <w:pPr>
          <w:ind w:left="420" w:hanging="420"/>
        </w:pPr>
        <w:rPr>
          <w:rFonts w:hint="eastAsia"/>
          <w:b/>
          <w:i w:val="0"/>
          <w:u w:val="none" w:color="ED7D31" w:themeColor="accent2"/>
        </w:rPr>
      </w:lvl>
    </w:lvlOverride>
    <w:lvlOverride w:ilvl="1">
      <w:lvl w:ilvl="1" w:tentative="1">
        <w:start w:val="1"/>
        <w:numFmt w:val="lowerLetter"/>
        <w:lvlText w:val="%2)"/>
        <w:lvlJc w:val="left"/>
        <w:pPr>
          <w:ind w:left="840" w:hanging="420"/>
        </w:pPr>
        <w:rPr>
          <w:rFonts w:hint="eastAsia"/>
        </w:rPr>
      </w:lvl>
    </w:lvlOverride>
    <w:lvlOverride w:ilvl="2">
      <w:lvl w:ilvl="2" w:tentative="1">
        <w:start w:val="1"/>
        <w:numFmt w:val="decimal"/>
        <w:lvlText w:val="3.4.%3."/>
        <w:lvlJc w:val="left"/>
        <w:pPr>
          <w:ind w:left="1260" w:hanging="420"/>
        </w:pPr>
        <w:rPr>
          <w:rFonts w:hint="eastAsia"/>
          <w:b/>
        </w:rPr>
      </w:lvl>
    </w:lvlOverride>
    <w:lvlOverride w:ilvl="3">
      <w:lvl w:ilvl="3" w:tentative="1">
        <w:start w:val="1"/>
        <w:numFmt w:val="decimal"/>
        <w:lvlText w:val="%4."/>
        <w:lvlJc w:val="left"/>
        <w:pPr>
          <w:ind w:left="1680" w:hanging="420"/>
        </w:pPr>
        <w:rPr>
          <w:rFonts w:hint="eastAsia"/>
        </w:rPr>
      </w:lvl>
    </w:lvlOverride>
    <w:lvlOverride w:ilvl="4">
      <w:lvl w:ilvl="4" w:tentative="1">
        <w:start w:val="1"/>
        <w:numFmt w:val="lowerLetter"/>
        <w:lvlText w:val="%5)"/>
        <w:lvlJc w:val="left"/>
        <w:pPr>
          <w:ind w:left="2100" w:hanging="420"/>
        </w:pPr>
        <w:rPr>
          <w:rFonts w:hint="eastAsia"/>
        </w:rPr>
      </w:lvl>
    </w:lvlOverride>
    <w:lvlOverride w:ilvl="5">
      <w:lvl w:ilvl="5" w:tentative="1">
        <w:start w:val="1"/>
        <w:numFmt w:val="lowerRoman"/>
        <w:lvlText w:val="%6."/>
        <w:lvlJc w:val="right"/>
        <w:pPr>
          <w:ind w:left="2520" w:hanging="420"/>
        </w:pPr>
        <w:rPr>
          <w:rFonts w:hint="eastAsia"/>
        </w:rPr>
      </w:lvl>
    </w:lvlOverride>
    <w:lvlOverride w:ilvl="6">
      <w:lvl w:ilvl="6" w:tentative="1">
        <w:start w:val="1"/>
        <w:numFmt w:val="decimal"/>
        <w:lvlText w:val="%7."/>
        <w:lvlJc w:val="left"/>
        <w:pPr>
          <w:ind w:left="2940" w:hanging="420"/>
        </w:pPr>
        <w:rPr>
          <w:rFonts w:hint="eastAsia"/>
        </w:rPr>
      </w:lvl>
    </w:lvlOverride>
    <w:lvlOverride w:ilvl="7">
      <w:lvl w:ilvl="7" w:tentative="1">
        <w:start w:val="1"/>
        <w:numFmt w:val="lowerLetter"/>
        <w:lvlText w:val="%8)"/>
        <w:lvlJc w:val="left"/>
        <w:pPr>
          <w:ind w:left="3360" w:hanging="420"/>
        </w:pPr>
        <w:rPr>
          <w:rFonts w:hint="eastAsia"/>
        </w:rPr>
      </w:lvl>
    </w:lvlOverride>
    <w:lvlOverride w:ilvl="8">
      <w:lvl w:ilvl="8" w:tentative="1">
        <w:start w:val="1"/>
        <w:numFmt w:val="lowerRoman"/>
        <w:lvlText w:val="%9."/>
        <w:lvlJc w:val="right"/>
        <w:pPr>
          <w:ind w:left="3780" w:hanging="420"/>
        </w:pPr>
        <w:rPr>
          <w:rFonts w:hint="eastAsia"/>
        </w:rPr>
      </w:lvl>
    </w:lvlOverride>
  </w:num>
  <w:num w:numId="23">
    <w:abstractNumId w:val="64"/>
  </w:num>
  <w:num w:numId="24">
    <w:abstractNumId w:val="99"/>
  </w:num>
  <w:num w:numId="25">
    <w:abstractNumId w:val="169"/>
  </w:num>
  <w:num w:numId="26">
    <w:abstractNumId w:val="114"/>
  </w:num>
  <w:num w:numId="27">
    <w:abstractNumId w:val="129"/>
    <w:lvlOverride w:ilvl="0">
      <w:lvl w:ilvl="0" w:tentative="1">
        <w:start w:val="1"/>
        <w:numFmt w:val="decimal"/>
        <w:lvlText w:val="4.1.%1"/>
        <w:lvlJc w:val="left"/>
        <w:pPr>
          <w:ind w:left="420" w:hanging="420"/>
        </w:pPr>
        <w:rPr>
          <w:rFonts w:hint="eastAsia" w:asciiTheme="minorEastAsia" w:hAnsiTheme="minorEastAsia" w:eastAsiaTheme="minorEastAsia"/>
          <w:b/>
          <w:i w:val="0"/>
          <w:sz w:val="21"/>
          <w:u w:val="none" w:color="ED7D31" w:themeColor="accent2"/>
        </w:rPr>
      </w:lvl>
    </w:lvlOverride>
    <w:lvlOverride w:ilvl="1">
      <w:lvl w:ilvl="1" w:tentative="1">
        <w:start w:val="1"/>
        <w:numFmt w:val="lowerLetter"/>
        <w:lvlText w:val="%2)"/>
        <w:lvlJc w:val="left"/>
        <w:pPr>
          <w:ind w:left="840" w:hanging="420"/>
        </w:pPr>
        <w:rPr>
          <w:rFonts w:hint="eastAsia"/>
        </w:rPr>
      </w:lvl>
    </w:lvlOverride>
    <w:lvlOverride w:ilvl="2">
      <w:lvl w:ilvl="2" w:tentative="1">
        <w:start w:val="1"/>
        <w:numFmt w:val="decimal"/>
        <w:lvlText w:val="3.4.%3."/>
        <w:lvlJc w:val="left"/>
        <w:pPr>
          <w:ind w:left="1260" w:hanging="420"/>
        </w:pPr>
        <w:rPr>
          <w:rFonts w:hint="eastAsia"/>
          <w:b/>
        </w:rPr>
      </w:lvl>
    </w:lvlOverride>
    <w:lvlOverride w:ilvl="3">
      <w:lvl w:ilvl="3" w:tentative="1">
        <w:start w:val="1"/>
        <w:numFmt w:val="decimal"/>
        <w:lvlText w:val="%4."/>
        <w:lvlJc w:val="left"/>
        <w:pPr>
          <w:ind w:left="1680" w:hanging="420"/>
        </w:pPr>
        <w:rPr>
          <w:rFonts w:hint="eastAsia"/>
        </w:rPr>
      </w:lvl>
    </w:lvlOverride>
    <w:lvlOverride w:ilvl="4">
      <w:lvl w:ilvl="4" w:tentative="1">
        <w:start w:val="1"/>
        <w:numFmt w:val="lowerLetter"/>
        <w:lvlText w:val="%5)"/>
        <w:lvlJc w:val="left"/>
        <w:pPr>
          <w:ind w:left="2100" w:hanging="420"/>
        </w:pPr>
        <w:rPr>
          <w:rFonts w:hint="eastAsia"/>
        </w:rPr>
      </w:lvl>
    </w:lvlOverride>
    <w:lvlOverride w:ilvl="5">
      <w:lvl w:ilvl="5" w:tentative="1">
        <w:start w:val="1"/>
        <w:numFmt w:val="lowerRoman"/>
        <w:lvlText w:val="%6."/>
        <w:lvlJc w:val="right"/>
        <w:pPr>
          <w:ind w:left="2520" w:hanging="420"/>
        </w:pPr>
        <w:rPr>
          <w:rFonts w:hint="eastAsia"/>
        </w:rPr>
      </w:lvl>
    </w:lvlOverride>
    <w:lvlOverride w:ilvl="6">
      <w:lvl w:ilvl="6" w:tentative="1">
        <w:start w:val="1"/>
        <w:numFmt w:val="decimal"/>
        <w:lvlText w:val="%7."/>
        <w:lvlJc w:val="left"/>
        <w:pPr>
          <w:ind w:left="2940" w:hanging="420"/>
        </w:pPr>
        <w:rPr>
          <w:rFonts w:hint="eastAsia"/>
        </w:rPr>
      </w:lvl>
    </w:lvlOverride>
    <w:lvlOverride w:ilvl="7">
      <w:lvl w:ilvl="7" w:tentative="1">
        <w:start w:val="1"/>
        <w:numFmt w:val="lowerLetter"/>
        <w:lvlText w:val="%8)"/>
        <w:lvlJc w:val="left"/>
        <w:pPr>
          <w:ind w:left="3360" w:hanging="420"/>
        </w:pPr>
        <w:rPr>
          <w:rFonts w:hint="eastAsia"/>
        </w:rPr>
      </w:lvl>
    </w:lvlOverride>
    <w:lvlOverride w:ilvl="8">
      <w:lvl w:ilvl="8" w:tentative="1">
        <w:start w:val="1"/>
        <w:numFmt w:val="lowerRoman"/>
        <w:lvlText w:val="%9."/>
        <w:lvlJc w:val="right"/>
        <w:pPr>
          <w:ind w:left="3780" w:hanging="420"/>
        </w:pPr>
        <w:rPr>
          <w:rFonts w:hint="eastAsia"/>
        </w:rPr>
      </w:lvl>
    </w:lvlOverride>
  </w:num>
  <w:num w:numId="28">
    <w:abstractNumId w:val="38"/>
  </w:num>
  <w:num w:numId="29">
    <w:abstractNumId w:val="183"/>
  </w:num>
  <w:num w:numId="30">
    <w:abstractNumId w:val="29"/>
  </w:num>
  <w:num w:numId="31">
    <w:abstractNumId w:val="33"/>
  </w:num>
  <w:num w:numId="32">
    <w:abstractNumId w:val="197"/>
  </w:num>
  <w:num w:numId="33">
    <w:abstractNumId w:val="179"/>
  </w:num>
  <w:num w:numId="34">
    <w:abstractNumId w:val="173"/>
  </w:num>
  <w:num w:numId="35">
    <w:abstractNumId w:val="116"/>
  </w:num>
  <w:num w:numId="36">
    <w:abstractNumId w:val="135"/>
  </w:num>
  <w:num w:numId="37">
    <w:abstractNumId w:val="19"/>
  </w:num>
  <w:num w:numId="38">
    <w:abstractNumId w:val="102"/>
  </w:num>
  <w:num w:numId="39">
    <w:abstractNumId w:val="7"/>
  </w:num>
  <w:num w:numId="40">
    <w:abstractNumId w:val="48"/>
  </w:num>
  <w:num w:numId="41">
    <w:abstractNumId w:val="75"/>
  </w:num>
  <w:num w:numId="42">
    <w:abstractNumId w:val="138"/>
  </w:num>
  <w:num w:numId="43">
    <w:abstractNumId w:val="137"/>
  </w:num>
  <w:num w:numId="44">
    <w:abstractNumId w:val="122"/>
  </w:num>
  <w:num w:numId="45">
    <w:abstractNumId w:val="52"/>
  </w:num>
  <w:num w:numId="46">
    <w:abstractNumId w:val="22"/>
  </w:num>
  <w:num w:numId="47">
    <w:abstractNumId w:val="50"/>
  </w:num>
  <w:num w:numId="48">
    <w:abstractNumId w:val="113"/>
  </w:num>
  <w:num w:numId="49">
    <w:abstractNumId w:val="86"/>
  </w:num>
  <w:num w:numId="50">
    <w:abstractNumId w:val="21"/>
  </w:num>
  <w:num w:numId="51">
    <w:abstractNumId w:val="87"/>
  </w:num>
  <w:num w:numId="52">
    <w:abstractNumId w:val="92"/>
  </w:num>
  <w:num w:numId="53">
    <w:abstractNumId w:val="166"/>
  </w:num>
  <w:num w:numId="54">
    <w:abstractNumId w:val="184"/>
  </w:num>
  <w:num w:numId="55">
    <w:abstractNumId w:val="97"/>
  </w:num>
  <w:num w:numId="56">
    <w:abstractNumId w:val="181"/>
  </w:num>
  <w:num w:numId="57">
    <w:abstractNumId w:val="83"/>
  </w:num>
  <w:num w:numId="58">
    <w:abstractNumId w:val="65"/>
  </w:num>
  <w:num w:numId="59">
    <w:abstractNumId w:val="88"/>
  </w:num>
  <w:num w:numId="60">
    <w:abstractNumId w:val="188"/>
  </w:num>
  <w:num w:numId="61">
    <w:abstractNumId w:val="156"/>
  </w:num>
  <w:num w:numId="62">
    <w:abstractNumId w:val="123"/>
  </w:num>
  <w:num w:numId="63">
    <w:abstractNumId w:val="16"/>
  </w:num>
  <w:num w:numId="64">
    <w:abstractNumId w:val="147"/>
  </w:num>
  <w:num w:numId="65">
    <w:abstractNumId w:val="139"/>
  </w:num>
  <w:num w:numId="66">
    <w:abstractNumId w:val="195"/>
  </w:num>
  <w:num w:numId="67">
    <w:abstractNumId w:val="9"/>
  </w:num>
  <w:num w:numId="68">
    <w:abstractNumId w:val="104"/>
  </w:num>
  <w:num w:numId="69">
    <w:abstractNumId w:val="43"/>
  </w:num>
  <w:num w:numId="70">
    <w:abstractNumId w:val="153"/>
  </w:num>
  <w:num w:numId="71">
    <w:abstractNumId w:val="70"/>
  </w:num>
  <w:num w:numId="72">
    <w:abstractNumId w:val="178"/>
  </w:num>
  <w:num w:numId="73">
    <w:abstractNumId w:val="68"/>
  </w:num>
  <w:num w:numId="74">
    <w:abstractNumId w:val="191"/>
  </w:num>
  <w:num w:numId="75">
    <w:abstractNumId w:val="81"/>
  </w:num>
  <w:num w:numId="76">
    <w:abstractNumId w:val="120"/>
  </w:num>
  <w:num w:numId="77">
    <w:abstractNumId w:val="143"/>
  </w:num>
  <w:num w:numId="78">
    <w:abstractNumId w:val="77"/>
  </w:num>
  <w:num w:numId="79">
    <w:abstractNumId w:val="107"/>
  </w:num>
  <w:num w:numId="80">
    <w:abstractNumId w:val="31"/>
  </w:num>
  <w:num w:numId="81">
    <w:abstractNumId w:val="62"/>
  </w:num>
  <w:num w:numId="82">
    <w:abstractNumId w:val="89"/>
  </w:num>
  <w:num w:numId="83">
    <w:abstractNumId w:val="130"/>
  </w:num>
  <w:num w:numId="84">
    <w:abstractNumId w:val="73"/>
  </w:num>
  <w:num w:numId="85">
    <w:abstractNumId w:val="157"/>
  </w:num>
  <w:num w:numId="86">
    <w:abstractNumId w:val="141"/>
  </w:num>
  <w:num w:numId="87">
    <w:abstractNumId w:val="14"/>
  </w:num>
  <w:num w:numId="88">
    <w:abstractNumId w:val="136"/>
  </w:num>
  <w:num w:numId="89">
    <w:abstractNumId w:val="150"/>
  </w:num>
  <w:num w:numId="90">
    <w:abstractNumId w:val="82"/>
  </w:num>
  <w:num w:numId="91">
    <w:abstractNumId w:val="142"/>
  </w:num>
  <w:num w:numId="92">
    <w:abstractNumId w:val="56"/>
  </w:num>
  <w:num w:numId="93">
    <w:abstractNumId w:val="98"/>
  </w:num>
  <w:num w:numId="94">
    <w:abstractNumId w:val="108"/>
  </w:num>
  <w:num w:numId="95">
    <w:abstractNumId w:val="110"/>
  </w:num>
  <w:num w:numId="96">
    <w:abstractNumId w:val="165"/>
  </w:num>
  <w:num w:numId="97">
    <w:abstractNumId w:val="117"/>
  </w:num>
  <w:num w:numId="98">
    <w:abstractNumId w:val="133"/>
  </w:num>
  <w:num w:numId="99">
    <w:abstractNumId w:val="171"/>
  </w:num>
  <w:num w:numId="100">
    <w:abstractNumId w:val="55"/>
  </w:num>
  <w:num w:numId="101">
    <w:abstractNumId w:val="131"/>
  </w:num>
  <w:num w:numId="102">
    <w:abstractNumId w:val="72"/>
  </w:num>
  <w:num w:numId="103">
    <w:abstractNumId w:val="18"/>
  </w:num>
  <w:num w:numId="104">
    <w:abstractNumId w:val="100"/>
  </w:num>
  <w:num w:numId="105">
    <w:abstractNumId w:val="69"/>
  </w:num>
  <w:num w:numId="106">
    <w:abstractNumId w:val="76"/>
  </w:num>
  <w:num w:numId="107">
    <w:abstractNumId w:val="91"/>
  </w:num>
  <w:num w:numId="108">
    <w:abstractNumId w:val="60"/>
  </w:num>
  <w:num w:numId="109">
    <w:abstractNumId w:val="61"/>
  </w:num>
  <w:num w:numId="110">
    <w:abstractNumId w:val="126"/>
  </w:num>
  <w:num w:numId="111">
    <w:abstractNumId w:val="2"/>
  </w:num>
  <w:num w:numId="112">
    <w:abstractNumId w:val="20"/>
  </w:num>
  <w:num w:numId="113">
    <w:abstractNumId w:val="40"/>
  </w:num>
  <w:num w:numId="114">
    <w:abstractNumId w:val="58"/>
  </w:num>
  <w:num w:numId="115">
    <w:abstractNumId w:val="162"/>
  </w:num>
  <w:num w:numId="116">
    <w:abstractNumId w:val="101"/>
  </w:num>
  <w:num w:numId="117">
    <w:abstractNumId w:val="103"/>
  </w:num>
  <w:num w:numId="118">
    <w:abstractNumId w:val="140"/>
  </w:num>
  <w:num w:numId="119">
    <w:abstractNumId w:val="161"/>
  </w:num>
  <w:num w:numId="120">
    <w:abstractNumId w:val="63"/>
  </w:num>
  <w:num w:numId="121">
    <w:abstractNumId w:val="111"/>
  </w:num>
  <w:num w:numId="122">
    <w:abstractNumId w:val="5"/>
  </w:num>
  <w:num w:numId="123">
    <w:abstractNumId w:val="155"/>
  </w:num>
  <w:num w:numId="124">
    <w:abstractNumId w:val="53"/>
  </w:num>
  <w:num w:numId="125">
    <w:abstractNumId w:val="42"/>
  </w:num>
  <w:num w:numId="126">
    <w:abstractNumId w:val="106"/>
  </w:num>
  <w:num w:numId="127">
    <w:abstractNumId w:val="80"/>
  </w:num>
  <w:num w:numId="128">
    <w:abstractNumId w:val="94"/>
  </w:num>
  <w:num w:numId="129">
    <w:abstractNumId w:val="148"/>
  </w:num>
  <w:num w:numId="130">
    <w:abstractNumId w:val="78"/>
  </w:num>
  <w:num w:numId="131">
    <w:abstractNumId w:val="74"/>
  </w:num>
  <w:num w:numId="132">
    <w:abstractNumId w:val="190"/>
  </w:num>
  <w:num w:numId="133">
    <w:abstractNumId w:val="168"/>
  </w:num>
  <w:num w:numId="134">
    <w:abstractNumId w:val="174"/>
  </w:num>
  <w:num w:numId="135">
    <w:abstractNumId w:val="176"/>
  </w:num>
  <w:num w:numId="136">
    <w:abstractNumId w:val="90"/>
  </w:num>
  <w:num w:numId="137">
    <w:abstractNumId w:val="8"/>
  </w:num>
  <w:num w:numId="138">
    <w:abstractNumId w:val="186"/>
  </w:num>
  <w:num w:numId="139">
    <w:abstractNumId w:val="172"/>
  </w:num>
  <w:num w:numId="140">
    <w:abstractNumId w:val="167"/>
  </w:num>
  <w:num w:numId="141">
    <w:abstractNumId w:val="28"/>
  </w:num>
  <w:num w:numId="142">
    <w:abstractNumId w:val="134"/>
  </w:num>
  <w:num w:numId="143">
    <w:abstractNumId w:val="118"/>
  </w:num>
  <w:num w:numId="144">
    <w:abstractNumId w:val="175"/>
  </w:num>
  <w:num w:numId="145">
    <w:abstractNumId w:val="127"/>
  </w:num>
  <w:num w:numId="146">
    <w:abstractNumId w:val="144"/>
  </w:num>
  <w:num w:numId="147">
    <w:abstractNumId w:val="59"/>
  </w:num>
  <w:num w:numId="148">
    <w:abstractNumId w:val="71"/>
  </w:num>
  <w:num w:numId="149">
    <w:abstractNumId w:val="45"/>
  </w:num>
  <w:num w:numId="150">
    <w:abstractNumId w:val="146"/>
  </w:num>
  <w:num w:numId="151">
    <w:abstractNumId w:val="151"/>
  </w:num>
  <w:num w:numId="152">
    <w:abstractNumId w:val="41"/>
  </w:num>
  <w:num w:numId="153">
    <w:abstractNumId w:val="185"/>
  </w:num>
  <w:num w:numId="154">
    <w:abstractNumId w:val="26"/>
  </w:num>
  <w:num w:numId="155">
    <w:abstractNumId w:val="132"/>
  </w:num>
  <w:num w:numId="156">
    <w:abstractNumId w:val="3"/>
  </w:num>
  <w:num w:numId="157">
    <w:abstractNumId w:val="66"/>
  </w:num>
  <w:num w:numId="158">
    <w:abstractNumId w:val="27"/>
  </w:num>
  <w:num w:numId="159">
    <w:abstractNumId w:val="198"/>
  </w:num>
  <w:num w:numId="160">
    <w:abstractNumId w:val="17"/>
  </w:num>
  <w:num w:numId="161">
    <w:abstractNumId w:val="67"/>
  </w:num>
  <w:num w:numId="162">
    <w:abstractNumId w:val="37"/>
  </w:num>
  <w:num w:numId="163">
    <w:abstractNumId w:val="105"/>
  </w:num>
  <w:num w:numId="164">
    <w:abstractNumId w:val="180"/>
  </w:num>
  <w:num w:numId="165">
    <w:abstractNumId w:val="124"/>
  </w:num>
  <w:num w:numId="166">
    <w:abstractNumId w:val="39"/>
  </w:num>
  <w:num w:numId="167">
    <w:abstractNumId w:val="112"/>
  </w:num>
  <w:num w:numId="168">
    <w:abstractNumId w:val="93"/>
  </w:num>
  <w:num w:numId="169">
    <w:abstractNumId w:val="85"/>
  </w:num>
  <w:num w:numId="170">
    <w:abstractNumId w:val="34"/>
  </w:num>
  <w:num w:numId="171">
    <w:abstractNumId w:val="152"/>
  </w:num>
  <w:num w:numId="172">
    <w:abstractNumId w:val="119"/>
  </w:num>
  <w:num w:numId="173">
    <w:abstractNumId w:val="44"/>
  </w:num>
  <w:num w:numId="174">
    <w:abstractNumId w:val="109"/>
  </w:num>
  <w:num w:numId="175">
    <w:abstractNumId w:val="23"/>
  </w:num>
  <w:num w:numId="176">
    <w:abstractNumId w:val="11"/>
  </w:num>
  <w:num w:numId="177">
    <w:abstractNumId w:val="30"/>
  </w:num>
  <w:num w:numId="178">
    <w:abstractNumId w:val="57"/>
  </w:num>
  <w:num w:numId="179">
    <w:abstractNumId w:val="54"/>
  </w:num>
  <w:num w:numId="180">
    <w:abstractNumId w:val="24"/>
  </w:num>
  <w:num w:numId="181">
    <w:abstractNumId w:val="47"/>
  </w:num>
  <w:num w:numId="182">
    <w:abstractNumId w:val="192"/>
  </w:num>
  <w:num w:numId="183">
    <w:abstractNumId w:val="177"/>
  </w:num>
  <w:num w:numId="184">
    <w:abstractNumId w:val="4"/>
  </w:num>
  <w:num w:numId="185">
    <w:abstractNumId w:val="158"/>
  </w:num>
  <w:num w:numId="186">
    <w:abstractNumId w:val="196"/>
  </w:num>
  <w:num w:numId="187">
    <w:abstractNumId w:val="121"/>
  </w:num>
  <w:num w:numId="188">
    <w:abstractNumId w:val="32"/>
  </w:num>
  <w:num w:numId="189">
    <w:abstractNumId w:val="149"/>
  </w:num>
  <w:num w:numId="190">
    <w:abstractNumId w:val="6"/>
  </w:num>
  <w:num w:numId="191">
    <w:abstractNumId w:val="160"/>
  </w:num>
  <w:num w:numId="192">
    <w:abstractNumId w:val="10"/>
  </w:num>
  <w:num w:numId="193">
    <w:abstractNumId w:val="115"/>
  </w:num>
  <w:num w:numId="194">
    <w:abstractNumId w:val="95"/>
    <w:lvlOverride w:ilvl="0">
      <w:lvl w:ilvl="0" w:tentative="1">
        <w:start w:val="1"/>
        <w:numFmt w:val="upperLetter"/>
        <w:lvlText w:val="附录%1"/>
        <w:lvlJc w:val="center"/>
        <w:pPr>
          <w:ind w:left="420" w:hanging="420"/>
        </w:pPr>
        <w:rPr>
          <w:rFonts w:hint="eastAsia"/>
          <w:u w:val="none" w:color="ED7D31" w:themeColor="accent2"/>
        </w:rPr>
      </w:lvl>
    </w:lvlOverride>
    <w:lvlOverride w:ilvl="1">
      <w:lvl w:ilvl="1" w:tentative="1">
        <w:start w:val="2"/>
        <w:numFmt w:val="decimal"/>
        <w:isLgl/>
        <w:lvlText w:val="%1.%2"/>
        <w:lvlJc w:val="left"/>
        <w:pPr>
          <w:ind w:left="720" w:hanging="720"/>
        </w:pPr>
        <w:rPr>
          <w:rFonts w:hint="default"/>
        </w:rPr>
      </w:lvl>
    </w:lvlOverride>
    <w:lvlOverride w:ilvl="2">
      <w:lvl w:ilvl="2" w:tentative="1">
        <w:start w:val="1"/>
        <w:numFmt w:val="decimal"/>
        <w:isLgl/>
        <w:lvlText w:val="%1.%2.%3"/>
        <w:lvlJc w:val="left"/>
        <w:pPr>
          <w:ind w:left="720" w:hanging="720"/>
        </w:pPr>
        <w:rPr>
          <w:rFonts w:hint="default"/>
        </w:rPr>
      </w:lvl>
    </w:lvlOverride>
    <w:lvlOverride w:ilvl="3">
      <w:lvl w:ilvl="3" w:tentative="1">
        <w:start w:val="1"/>
        <w:numFmt w:val="decimal"/>
        <w:isLgl/>
        <w:lvlText w:val="%1.%2.%3.%4"/>
        <w:lvlJc w:val="left"/>
        <w:pPr>
          <w:ind w:left="1080" w:hanging="1080"/>
        </w:pPr>
        <w:rPr>
          <w:rFonts w:hint="default"/>
        </w:rPr>
      </w:lvl>
    </w:lvlOverride>
    <w:lvlOverride w:ilvl="4">
      <w:lvl w:ilvl="4" w:tentative="1">
        <w:start w:val="1"/>
        <w:numFmt w:val="decimal"/>
        <w:isLgl/>
        <w:lvlText w:val="%1.%2.%3.%4.%5"/>
        <w:lvlJc w:val="left"/>
        <w:pPr>
          <w:ind w:left="1440" w:hanging="1440"/>
        </w:pPr>
        <w:rPr>
          <w:rFonts w:hint="default"/>
        </w:rPr>
      </w:lvl>
    </w:lvlOverride>
    <w:lvlOverride w:ilvl="5">
      <w:lvl w:ilvl="5" w:tentative="1">
        <w:start w:val="1"/>
        <w:numFmt w:val="decimal"/>
        <w:isLgl/>
        <w:lvlText w:val="%1.%2.%3.%4.%5.%6"/>
        <w:lvlJc w:val="left"/>
        <w:pPr>
          <w:ind w:left="1440" w:hanging="1440"/>
        </w:pPr>
        <w:rPr>
          <w:rFonts w:hint="default"/>
        </w:rPr>
      </w:lvl>
    </w:lvlOverride>
    <w:lvlOverride w:ilvl="6">
      <w:lvl w:ilvl="6" w:tentative="1">
        <w:start w:val="1"/>
        <w:numFmt w:val="decimal"/>
        <w:isLgl/>
        <w:lvlText w:val="%1.%2.%3.%4.%5.%6.%7"/>
        <w:lvlJc w:val="left"/>
        <w:pPr>
          <w:ind w:left="1800" w:hanging="1800"/>
        </w:pPr>
        <w:rPr>
          <w:rFonts w:hint="default"/>
        </w:rPr>
      </w:lvl>
    </w:lvlOverride>
    <w:lvlOverride w:ilvl="7">
      <w:lvl w:ilvl="7" w:tentative="1">
        <w:start w:val="1"/>
        <w:numFmt w:val="decimal"/>
        <w:isLgl/>
        <w:lvlText w:val="%1.%2.%3.%4.%5.%6.%7.%8"/>
        <w:lvlJc w:val="left"/>
        <w:pPr>
          <w:ind w:left="2160" w:hanging="2160"/>
        </w:pPr>
        <w:rPr>
          <w:rFonts w:hint="default"/>
        </w:rPr>
      </w:lvl>
    </w:lvlOverride>
    <w:lvlOverride w:ilvl="8">
      <w:lvl w:ilvl="8" w:tentative="1">
        <w:start w:val="1"/>
        <w:numFmt w:val="decimal"/>
        <w:isLgl/>
        <w:lvlText w:val="%1.%2.%3.%4.%5.%6.%7.%8.%9"/>
        <w:lvlJc w:val="left"/>
        <w:pPr>
          <w:ind w:left="2160" w:hanging="2160"/>
        </w:pPr>
        <w:rPr>
          <w:rFonts w:hint="default"/>
        </w:rPr>
      </w:lvl>
    </w:lvlOverride>
  </w:num>
  <w:num w:numId="195">
    <w:abstractNumId w:val="182"/>
  </w:num>
  <w:num w:numId="196">
    <w:abstractNumId w:val="145"/>
  </w:num>
  <w:num w:numId="197">
    <w:abstractNumId w:val="84"/>
  </w:num>
  <w:num w:numId="198">
    <w:abstractNumId w:val="128"/>
  </w:num>
  <w:num w:numId="199">
    <w:abstractNumId w:val="194"/>
    <w:lvlOverride w:ilvl="0">
      <w:lvl w:ilvl="0" w:tentative="1">
        <w:start w:val="1"/>
        <w:numFmt w:val="none"/>
        <w:suff w:val="nothing"/>
        <w:lvlText w:val=""/>
        <w:lvlJc w:val="left"/>
        <w:pPr>
          <w:ind w:left="0" w:firstLine="0"/>
        </w:pPr>
        <w:rPr>
          <w:rFonts w:hint="eastAsia"/>
          <w:u w:val="none"/>
        </w:rPr>
      </w:lvl>
    </w:lvlOverride>
    <w:lvlOverride w:ilvl="1">
      <w:lvl w:ilvl="1" w:tentative="1">
        <w:start w:val="1"/>
        <w:numFmt w:val="lowerLetter"/>
        <w:lvlText w:val="%2)"/>
        <w:lvlJc w:val="left"/>
        <w:pPr>
          <w:ind w:left="840" w:hanging="420"/>
        </w:pPr>
        <w:rPr>
          <w:rFonts w:hint="eastAsia"/>
        </w:rPr>
      </w:lvl>
    </w:lvlOverride>
    <w:lvlOverride w:ilvl="2">
      <w:lvl w:ilvl="2" w:tentative="1">
        <w:start w:val="1"/>
        <w:numFmt w:val="lowerRoman"/>
        <w:lvlText w:val="%3."/>
        <w:lvlJc w:val="right"/>
        <w:pPr>
          <w:ind w:left="1260" w:hanging="420"/>
        </w:pPr>
        <w:rPr>
          <w:rFonts w:hint="eastAsia"/>
        </w:rPr>
      </w:lvl>
    </w:lvlOverride>
    <w:lvlOverride w:ilvl="3">
      <w:lvl w:ilvl="3" w:tentative="1">
        <w:start w:val="1"/>
        <w:numFmt w:val="decimal"/>
        <w:lvlText w:val="%4."/>
        <w:lvlJc w:val="left"/>
        <w:pPr>
          <w:ind w:left="1680" w:hanging="420"/>
        </w:pPr>
        <w:rPr>
          <w:rFonts w:hint="eastAsia"/>
        </w:rPr>
      </w:lvl>
    </w:lvlOverride>
    <w:lvlOverride w:ilvl="4">
      <w:lvl w:ilvl="4" w:tentative="1">
        <w:start w:val="1"/>
        <w:numFmt w:val="lowerLetter"/>
        <w:lvlText w:val="%5)"/>
        <w:lvlJc w:val="left"/>
        <w:pPr>
          <w:ind w:left="2100" w:hanging="420"/>
        </w:pPr>
        <w:rPr>
          <w:rFonts w:hint="eastAsia"/>
        </w:rPr>
      </w:lvl>
    </w:lvlOverride>
    <w:lvlOverride w:ilvl="5">
      <w:lvl w:ilvl="5" w:tentative="1">
        <w:start w:val="1"/>
        <w:numFmt w:val="lowerRoman"/>
        <w:lvlText w:val="%6."/>
        <w:lvlJc w:val="right"/>
        <w:pPr>
          <w:ind w:left="2520" w:hanging="420"/>
        </w:pPr>
        <w:rPr>
          <w:rFonts w:hint="eastAsia"/>
        </w:rPr>
      </w:lvl>
    </w:lvlOverride>
    <w:lvlOverride w:ilvl="6">
      <w:lvl w:ilvl="6" w:tentative="1">
        <w:start w:val="1"/>
        <w:numFmt w:val="decimal"/>
        <w:lvlText w:val="%7."/>
        <w:lvlJc w:val="left"/>
        <w:pPr>
          <w:ind w:left="2940" w:hanging="420"/>
        </w:pPr>
        <w:rPr>
          <w:rFonts w:hint="eastAsia"/>
        </w:rPr>
      </w:lvl>
    </w:lvlOverride>
    <w:lvlOverride w:ilvl="7">
      <w:lvl w:ilvl="7" w:tentative="1">
        <w:start w:val="1"/>
        <w:numFmt w:val="lowerLetter"/>
        <w:lvlText w:val="%8)"/>
        <w:lvlJc w:val="left"/>
        <w:pPr>
          <w:ind w:left="3360" w:hanging="420"/>
        </w:pPr>
        <w:rPr>
          <w:rFonts w:hint="eastAsia"/>
        </w:rPr>
      </w:lvl>
    </w:lvlOverride>
    <w:lvlOverride w:ilvl="8">
      <w:lvl w:ilvl="8" w:tentative="1">
        <w:start w:val="1"/>
        <w:numFmt w:val="lowerRoman"/>
        <w:lvlText w:val="%9."/>
        <w:lvlJc w:val="right"/>
        <w:pPr>
          <w:ind w:left="3780" w:hanging="42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hideSpellingErrors/>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1ZGExNTZjZDE3ZGIzZjhlOTlmZTFmNGZkZTEwNzIifQ=="/>
  </w:docVars>
  <w:rsids>
    <w:rsidRoot w:val="002025BE"/>
    <w:rsid w:val="000003A5"/>
    <w:rsid w:val="00001093"/>
    <w:rsid w:val="0000280A"/>
    <w:rsid w:val="00002B5A"/>
    <w:rsid w:val="00002C0E"/>
    <w:rsid w:val="000054C2"/>
    <w:rsid w:val="00007264"/>
    <w:rsid w:val="00007974"/>
    <w:rsid w:val="00010CEE"/>
    <w:rsid w:val="00011B23"/>
    <w:rsid w:val="00014AE0"/>
    <w:rsid w:val="00015F27"/>
    <w:rsid w:val="00016D76"/>
    <w:rsid w:val="00022A13"/>
    <w:rsid w:val="00022AB7"/>
    <w:rsid w:val="00022E50"/>
    <w:rsid w:val="00027F3C"/>
    <w:rsid w:val="000355C1"/>
    <w:rsid w:val="00043302"/>
    <w:rsid w:val="0004359A"/>
    <w:rsid w:val="00043DC7"/>
    <w:rsid w:val="0004442D"/>
    <w:rsid w:val="0004485A"/>
    <w:rsid w:val="00045AED"/>
    <w:rsid w:val="00046773"/>
    <w:rsid w:val="000468A8"/>
    <w:rsid w:val="00047F9A"/>
    <w:rsid w:val="0005145F"/>
    <w:rsid w:val="00054D8C"/>
    <w:rsid w:val="00054E2C"/>
    <w:rsid w:val="00055B09"/>
    <w:rsid w:val="00055EEA"/>
    <w:rsid w:val="0005602E"/>
    <w:rsid w:val="00057E1F"/>
    <w:rsid w:val="000605C4"/>
    <w:rsid w:val="0006390E"/>
    <w:rsid w:val="000644B2"/>
    <w:rsid w:val="000648D5"/>
    <w:rsid w:val="00066FC6"/>
    <w:rsid w:val="0007201E"/>
    <w:rsid w:val="00072C2A"/>
    <w:rsid w:val="0007342F"/>
    <w:rsid w:val="00073A31"/>
    <w:rsid w:val="00074893"/>
    <w:rsid w:val="00076DAF"/>
    <w:rsid w:val="00081338"/>
    <w:rsid w:val="00081AE9"/>
    <w:rsid w:val="00081C64"/>
    <w:rsid w:val="0008265F"/>
    <w:rsid w:val="000845BA"/>
    <w:rsid w:val="000856A3"/>
    <w:rsid w:val="00085947"/>
    <w:rsid w:val="0008639F"/>
    <w:rsid w:val="00087446"/>
    <w:rsid w:val="00090925"/>
    <w:rsid w:val="00090FCC"/>
    <w:rsid w:val="00092DE5"/>
    <w:rsid w:val="00093711"/>
    <w:rsid w:val="00096F62"/>
    <w:rsid w:val="000976A1"/>
    <w:rsid w:val="00097A31"/>
    <w:rsid w:val="000A01AE"/>
    <w:rsid w:val="000A07C8"/>
    <w:rsid w:val="000A11BE"/>
    <w:rsid w:val="000A2CE4"/>
    <w:rsid w:val="000A32F7"/>
    <w:rsid w:val="000A4544"/>
    <w:rsid w:val="000A4667"/>
    <w:rsid w:val="000A540D"/>
    <w:rsid w:val="000A600E"/>
    <w:rsid w:val="000A7097"/>
    <w:rsid w:val="000A7DBB"/>
    <w:rsid w:val="000B0A8B"/>
    <w:rsid w:val="000B4E8C"/>
    <w:rsid w:val="000B6089"/>
    <w:rsid w:val="000B618B"/>
    <w:rsid w:val="000B6E15"/>
    <w:rsid w:val="000C0FF6"/>
    <w:rsid w:val="000C154F"/>
    <w:rsid w:val="000C2B48"/>
    <w:rsid w:val="000C2E65"/>
    <w:rsid w:val="000C3C9B"/>
    <w:rsid w:val="000C3D61"/>
    <w:rsid w:val="000C416E"/>
    <w:rsid w:val="000C7365"/>
    <w:rsid w:val="000D1BAF"/>
    <w:rsid w:val="000D5771"/>
    <w:rsid w:val="000D72C2"/>
    <w:rsid w:val="000D76DE"/>
    <w:rsid w:val="000E1910"/>
    <w:rsid w:val="000E2944"/>
    <w:rsid w:val="000E3143"/>
    <w:rsid w:val="000E3347"/>
    <w:rsid w:val="000E7733"/>
    <w:rsid w:val="000E7D62"/>
    <w:rsid w:val="000F0318"/>
    <w:rsid w:val="000F0393"/>
    <w:rsid w:val="000F13A9"/>
    <w:rsid w:val="000F3CA0"/>
    <w:rsid w:val="000F52EB"/>
    <w:rsid w:val="000F721C"/>
    <w:rsid w:val="00101C33"/>
    <w:rsid w:val="00103DFD"/>
    <w:rsid w:val="001045CE"/>
    <w:rsid w:val="00106A8B"/>
    <w:rsid w:val="00107281"/>
    <w:rsid w:val="00107BEA"/>
    <w:rsid w:val="00110982"/>
    <w:rsid w:val="0011155D"/>
    <w:rsid w:val="0011727C"/>
    <w:rsid w:val="00120E0B"/>
    <w:rsid w:val="00121937"/>
    <w:rsid w:val="00123637"/>
    <w:rsid w:val="00125192"/>
    <w:rsid w:val="001251BF"/>
    <w:rsid w:val="00125F80"/>
    <w:rsid w:val="001264F6"/>
    <w:rsid w:val="00126B01"/>
    <w:rsid w:val="0012745A"/>
    <w:rsid w:val="00130C59"/>
    <w:rsid w:val="0013105C"/>
    <w:rsid w:val="001344D4"/>
    <w:rsid w:val="001356F9"/>
    <w:rsid w:val="00140C76"/>
    <w:rsid w:val="00142D60"/>
    <w:rsid w:val="001467EA"/>
    <w:rsid w:val="00147168"/>
    <w:rsid w:val="00147529"/>
    <w:rsid w:val="00152D60"/>
    <w:rsid w:val="00152F2F"/>
    <w:rsid w:val="00153AE1"/>
    <w:rsid w:val="0015624E"/>
    <w:rsid w:val="00157394"/>
    <w:rsid w:val="00157545"/>
    <w:rsid w:val="00163233"/>
    <w:rsid w:val="00163D36"/>
    <w:rsid w:val="0016404E"/>
    <w:rsid w:val="00164289"/>
    <w:rsid w:val="00164FAE"/>
    <w:rsid w:val="00166EC9"/>
    <w:rsid w:val="0017258E"/>
    <w:rsid w:val="00175B97"/>
    <w:rsid w:val="00180D8D"/>
    <w:rsid w:val="0018118E"/>
    <w:rsid w:val="001837BD"/>
    <w:rsid w:val="00191245"/>
    <w:rsid w:val="001929DF"/>
    <w:rsid w:val="0019422E"/>
    <w:rsid w:val="001943E0"/>
    <w:rsid w:val="00194EDC"/>
    <w:rsid w:val="001957A5"/>
    <w:rsid w:val="00195EA9"/>
    <w:rsid w:val="00197B28"/>
    <w:rsid w:val="001A14B5"/>
    <w:rsid w:val="001A4979"/>
    <w:rsid w:val="001A4A9A"/>
    <w:rsid w:val="001A4AE3"/>
    <w:rsid w:val="001A7AAC"/>
    <w:rsid w:val="001B1190"/>
    <w:rsid w:val="001B2A14"/>
    <w:rsid w:val="001B4A43"/>
    <w:rsid w:val="001C107F"/>
    <w:rsid w:val="001C15C6"/>
    <w:rsid w:val="001C26F9"/>
    <w:rsid w:val="001C47B0"/>
    <w:rsid w:val="001C56A3"/>
    <w:rsid w:val="001C6042"/>
    <w:rsid w:val="001C6F57"/>
    <w:rsid w:val="001C70FA"/>
    <w:rsid w:val="001D2A3C"/>
    <w:rsid w:val="001D6BDD"/>
    <w:rsid w:val="001E2F40"/>
    <w:rsid w:val="001E406D"/>
    <w:rsid w:val="001F3722"/>
    <w:rsid w:val="001F5E5B"/>
    <w:rsid w:val="001F749C"/>
    <w:rsid w:val="00201E10"/>
    <w:rsid w:val="002025BE"/>
    <w:rsid w:val="00203424"/>
    <w:rsid w:val="00205484"/>
    <w:rsid w:val="00205FB9"/>
    <w:rsid w:val="00206756"/>
    <w:rsid w:val="002119E4"/>
    <w:rsid w:val="00213894"/>
    <w:rsid w:val="00214E68"/>
    <w:rsid w:val="00215E3A"/>
    <w:rsid w:val="00216E13"/>
    <w:rsid w:val="00217492"/>
    <w:rsid w:val="00220569"/>
    <w:rsid w:val="002217E8"/>
    <w:rsid w:val="002353FA"/>
    <w:rsid w:val="00236D2E"/>
    <w:rsid w:val="00236DA4"/>
    <w:rsid w:val="00240A22"/>
    <w:rsid w:val="00240B09"/>
    <w:rsid w:val="00240F5F"/>
    <w:rsid w:val="002419CB"/>
    <w:rsid w:val="00244597"/>
    <w:rsid w:val="00250573"/>
    <w:rsid w:val="00250D43"/>
    <w:rsid w:val="00251F46"/>
    <w:rsid w:val="002528B5"/>
    <w:rsid w:val="00252BEF"/>
    <w:rsid w:val="00255C50"/>
    <w:rsid w:val="002577BA"/>
    <w:rsid w:val="002579D5"/>
    <w:rsid w:val="00257AA0"/>
    <w:rsid w:val="00257E42"/>
    <w:rsid w:val="00262AA7"/>
    <w:rsid w:val="002652E6"/>
    <w:rsid w:val="00266640"/>
    <w:rsid w:val="00267225"/>
    <w:rsid w:val="002679DD"/>
    <w:rsid w:val="00276AF1"/>
    <w:rsid w:val="00281694"/>
    <w:rsid w:val="00283938"/>
    <w:rsid w:val="00285922"/>
    <w:rsid w:val="00286825"/>
    <w:rsid w:val="0029021F"/>
    <w:rsid w:val="002911C2"/>
    <w:rsid w:val="0029270F"/>
    <w:rsid w:val="00294FD8"/>
    <w:rsid w:val="00297107"/>
    <w:rsid w:val="002A02A0"/>
    <w:rsid w:val="002A4152"/>
    <w:rsid w:val="002A515E"/>
    <w:rsid w:val="002A7A05"/>
    <w:rsid w:val="002B3A1B"/>
    <w:rsid w:val="002B53C9"/>
    <w:rsid w:val="002C3F03"/>
    <w:rsid w:val="002C530A"/>
    <w:rsid w:val="002C7088"/>
    <w:rsid w:val="002D0172"/>
    <w:rsid w:val="002D15B1"/>
    <w:rsid w:val="002D18E2"/>
    <w:rsid w:val="002D2442"/>
    <w:rsid w:val="002D31A9"/>
    <w:rsid w:val="002D3CBE"/>
    <w:rsid w:val="002D58ED"/>
    <w:rsid w:val="002D6B66"/>
    <w:rsid w:val="002E0D2B"/>
    <w:rsid w:val="002E5CFC"/>
    <w:rsid w:val="002E63D0"/>
    <w:rsid w:val="002E7461"/>
    <w:rsid w:val="002F07C4"/>
    <w:rsid w:val="002F19F4"/>
    <w:rsid w:val="002F2180"/>
    <w:rsid w:val="002F2721"/>
    <w:rsid w:val="002F4A62"/>
    <w:rsid w:val="002F722F"/>
    <w:rsid w:val="002F7536"/>
    <w:rsid w:val="003006F2"/>
    <w:rsid w:val="003011B0"/>
    <w:rsid w:val="0030147F"/>
    <w:rsid w:val="00301628"/>
    <w:rsid w:val="003026D6"/>
    <w:rsid w:val="00303DDE"/>
    <w:rsid w:val="00305CFE"/>
    <w:rsid w:val="00306E08"/>
    <w:rsid w:val="00307732"/>
    <w:rsid w:val="00307BBC"/>
    <w:rsid w:val="00307CDF"/>
    <w:rsid w:val="00310FA6"/>
    <w:rsid w:val="003125D5"/>
    <w:rsid w:val="00312A73"/>
    <w:rsid w:val="00313619"/>
    <w:rsid w:val="00314F61"/>
    <w:rsid w:val="00322BA7"/>
    <w:rsid w:val="00322F23"/>
    <w:rsid w:val="0032364D"/>
    <w:rsid w:val="0032520A"/>
    <w:rsid w:val="003279A6"/>
    <w:rsid w:val="00327F13"/>
    <w:rsid w:val="00334D97"/>
    <w:rsid w:val="003357FC"/>
    <w:rsid w:val="00335E42"/>
    <w:rsid w:val="00336875"/>
    <w:rsid w:val="00337531"/>
    <w:rsid w:val="003379BF"/>
    <w:rsid w:val="00337C5B"/>
    <w:rsid w:val="0034281B"/>
    <w:rsid w:val="00343642"/>
    <w:rsid w:val="003451E0"/>
    <w:rsid w:val="003466A7"/>
    <w:rsid w:val="003470BD"/>
    <w:rsid w:val="00350ABB"/>
    <w:rsid w:val="003568A3"/>
    <w:rsid w:val="00357FB3"/>
    <w:rsid w:val="00364AD6"/>
    <w:rsid w:val="003658F6"/>
    <w:rsid w:val="00371652"/>
    <w:rsid w:val="003716DF"/>
    <w:rsid w:val="00372CF4"/>
    <w:rsid w:val="003739AA"/>
    <w:rsid w:val="003752F8"/>
    <w:rsid w:val="0038006D"/>
    <w:rsid w:val="00381242"/>
    <w:rsid w:val="003817C6"/>
    <w:rsid w:val="00381A0A"/>
    <w:rsid w:val="00385600"/>
    <w:rsid w:val="00385755"/>
    <w:rsid w:val="003865C4"/>
    <w:rsid w:val="0039034E"/>
    <w:rsid w:val="00390D6E"/>
    <w:rsid w:val="00394C3E"/>
    <w:rsid w:val="003A0767"/>
    <w:rsid w:val="003A3825"/>
    <w:rsid w:val="003A3D06"/>
    <w:rsid w:val="003A4508"/>
    <w:rsid w:val="003A5581"/>
    <w:rsid w:val="003B197A"/>
    <w:rsid w:val="003B1AD6"/>
    <w:rsid w:val="003B293C"/>
    <w:rsid w:val="003B2D60"/>
    <w:rsid w:val="003B30E6"/>
    <w:rsid w:val="003B42E2"/>
    <w:rsid w:val="003C0A32"/>
    <w:rsid w:val="003C0C5A"/>
    <w:rsid w:val="003C114B"/>
    <w:rsid w:val="003C24A5"/>
    <w:rsid w:val="003C298B"/>
    <w:rsid w:val="003C2C42"/>
    <w:rsid w:val="003C36BA"/>
    <w:rsid w:val="003C4199"/>
    <w:rsid w:val="003C4FD7"/>
    <w:rsid w:val="003C6DDB"/>
    <w:rsid w:val="003D1C1B"/>
    <w:rsid w:val="003D2412"/>
    <w:rsid w:val="003D3865"/>
    <w:rsid w:val="003D3AFF"/>
    <w:rsid w:val="003D4910"/>
    <w:rsid w:val="003D50E7"/>
    <w:rsid w:val="003D6483"/>
    <w:rsid w:val="003D669D"/>
    <w:rsid w:val="003D7BD3"/>
    <w:rsid w:val="003E1906"/>
    <w:rsid w:val="003E250B"/>
    <w:rsid w:val="003E284C"/>
    <w:rsid w:val="003E4EF8"/>
    <w:rsid w:val="003E4F4F"/>
    <w:rsid w:val="003E5384"/>
    <w:rsid w:val="003F201C"/>
    <w:rsid w:val="003F2D4C"/>
    <w:rsid w:val="003F3354"/>
    <w:rsid w:val="003F50B5"/>
    <w:rsid w:val="003F7979"/>
    <w:rsid w:val="00402E31"/>
    <w:rsid w:val="004043A8"/>
    <w:rsid w:val="004052E7"/>
    <w:rsid w:val="00405602"/>
    <w:rsid w:val="00405E68"/>
    <w:rsid w:val="00407442"/>
    <w:rsid w:val="004122AE"/>
    <w:rsid w:val="0041267B"/>
    <w:rsid w:val="004126DE"/>
    <w:rsid w:val="00415888"/>
    <w:rsid w:val="004274A8"/>
    <w:rsid w:val="00427BC0"/>
    <w:rsid w:val="0043090D"/>
    <w:rsid w:val="0043155C"/>
    <w:rsid w:val="00432317"/>
    <w:rsid w:val="0043477F"/>
    <w:rsid w:val="0043530C"/>
    <w:rsid w:val="00437E0C"/>
    <w:rsid w:val="00441BAE"/>
    <w:rsid w:val="00442DA5"/>
    <w:rsid w:val="004478E7"/>
    <w:rsid w:val="00450949"/>
    <w:rsid w:val="00450D68"/>
    <w:rsid w:val="0045156F"/>
    <w:rsid w:val="00451DA4"/>
    <w:rsid w:val="00453F16"/>
    <w:rsid w:val="0046156F"/>
    <w:rsid w:val="00461A59"/>
    <w:rsid w:val="004624A9"/>
    <w:rsid w:val="00463DB9"/>
    <w:rsid w:val="00464817"/>
    <w:rsid w:val="00472FBE"/>
    <w:rsid w:val="00475B5A"/>
    <w:rsid w:val="004779F0"/>
    <w:rsid w:val="00477B6F"/>
    <w:rsid w:val="00482A98"/>
    <w:rsid w:val="004830A9"/>
    <w:rsid w:val="00483158"/>
    <w:rsid w:val="004844C6"/>
    <w:rsid w:val="00484E71"/>
    <w:rsid w:val="004862AC"/>
    <w:rsid w:val="004870E7"/>
    <w:rsid w:val="0049046B"/>
    <w:rsid w:val="004929B6"/>
    <w:rsid w:val="00492B90"/>
    <w:rsid w:val="00494828"/>
    <w:rsid w:val="00494CE1"/>
    <w:rsid w:val="00497BC8"/>
    <w:rsid w:val="004A4609"/>
    <w:rsid w:val="004B168C"/>
    <w:rsid w:val="004B286A"/>
    <w:rsid w:val="004B2AB2"/>
    <w:rsid w:val="004B2E02"/>
    <w:rsid w:val="004B3970"/>
    <w:rsid w:val="004C1CF1"/>
    <w:rsid w:val="004C2498"/>
    <w:rsid w:val="004C2522"/>
    <w:rsid w:val="004C29B0"/>
    <w:rsid w:val="004C4A7D"/>
    <w:rsid w:val="004C5B25"/>
    <w:rsid w:val="004D060A"/>
    <w:rsid w:val="004D3D77"/>
    <w:rsid w:val="004D5837"/>
    <w:rsid w:val="004D6373"/>
    <w:rsid w:val="004D638C"/>
    <w:rsid w:val="004D7294"/>
    <w:rsid w:val="004D788D"/>
    <w:rsid w:val="004E0C44"/>
    <w:rsid w:val="004E32D8"/>
    <w:rsid w:val="004F0F09"/>
    <w:rsid w:val="004F2C5B"/>
    <w:rsid w:val="004F565C"/>
    <w:rsid w:val="004F5C2D"/>
    <w:rsid w:val="004F64E8"/>
    <w:rsid w:val="004F65A4"/>
    <w:rsid w:val="004F7A3E"/>
    <w:rsid w:val="00501B02"/>
    <w:rsid w:val="00504460"/>
    <w:rsid w:val="00505D2B"/>
    <w:rsid w:val="00510C4B"/>
    <w:rsid w:val="00513502"/>
    <w:rsid w:val="005157E2"/>
    <w:rsid w:val="005168DA"/>
    <w:rsid w:val="00517E78"/>
    <w:rsid w:val="005207A7"/>
    <w:rsid w:val="00527FF3"/>
    <w:rsid w:val="00531A5A"/>
    <w:rsid w:val="00542AE9"/>
    <w:rsid w:val="00543428"/>
    <w:rsid w:val="00553864"/>
    <w:rsid w:val="00554FF3"/>
    <w:rsid w:val="00557E1F"/>
    <w:rsid w:val="00560738"/>
    <w:rsid w:val="00563384"/>
    <w:rsid w:val="0056377D"/>
    <w:rsid w:val="0056491F"/>
    <w:rsid w:val="00565F5B"/>
    <w:rsid w:val="0057333D"/>
    <w:rsid w:val="00576074"/>
    <w:rsid w:val="005803DD"/>
    <w:rsid w:val="0058374E"/>
    <w:rsid w:val="00584036"/>
    <w:rsid w:val="005841C0"/>
    <w:rsid w:val="00587CD9"/>
    <w:rsid w:val="005933A6"/>
    <w:rsid w:val="005953B1"/>
    <w:rsid w:val="005958D0"/>
    <w:rsid w:val="005A08AD"/>
    <w:rsid w:val="005A16B5"/>
    <w:rsid w:val="005A3B1F"/>
    <w:rsid w:val="005A3BA5"/>
    <w:rsid w:val="005A6E7B"/>
    <w:rsid w:val="005A6FE5"/>
    <w:rsid w:val="005B0373"/>
    <w:rsid w:val="005B2D45"/>
    <w:rsid w:val="005B6454"/>
    <w:rsid w:val="005B7BFA"/>
    <w:rsid w:val="005C1F2B"/>
    <w:rsid w:val="005D07DC"/>
    <w:rsid w:val="005D17C6"/>
    <w:rsid w:val="005D29F9"/>
    <w:rsid w:val="005D2B03"/>
    <w:rsid w:val="005D5008"/>
    <w:rsid w:val="005D75D6"/>
    <w:rsid w:val="005D78C1"/>
    <w:rsid w:val="005D7A8F"/>
    <w:rsid w:val="005E09BA"/>
    <w:rsid w:val="005E151C"/>
    <w:rsid w:val="005E1C75"/>
    <w:rsid w:val="005E2872"/>
    <w:rsid w:val="005E3D5E"/>
    <w:rsid w:val="005E501A"/>
    <w:rsid w:val="005E6000"/>
    <w:rsid w:val="005F2052"/>
    <w:rsid w:val="005F64AF"/>
    <w:rsid w:val="005F6748"/>
    <w:rsid w:val="005F7BC1"/>
    <w:rsid w:val="006009AA"/>
    <w:rsid w:val="00600C1A"/>
    <w:rsid w:val="00601445"/>
    <w:rsid w:val="006052BC"/>
    <w:rsid w:val="00605532"/>
    <w:rsid w:val="006069A9"/>
    <w:rsid w:val="006073E9"/>
    <w:rsid w:val="006102D6"/>
    <w:rsid w:val="00610A3A"/>
    <w:rsid w:val="00611A4C"/>
    <w:rsid w:val="00612050"/>
    <w:rsid w:val="00612DC3"/>
    <w:rsid w:val="00615820"/>
    <w:rsid w:val="00615DDC"/>
    <w:rsid w:val="0061742A"/>
    <w:rsid w:val="00621298"/>
    <w:rsid w:val="00621FF4"/>
    <w:rsid w:val="00626242"/>
    <w:rsid w:val="006263B5"/>
    <w:rsid w:val="0063130C"/>
    <w:rsid w:val="006317F3"/>
    <w:rsid w:val="00631C2D"/>
    <w:rsid w:val="00632BF5"/>
    <w:rsid w:val="00633EB7"/>
    <w:rsid w:val="0063455B"/>
    <w:rsid w:val="00635C69"/>
    <w:rsid w:val="0063692B"/>
    <w:rsid w:val="006404F8"/>
    <w:rsid w:val="00641AE4"/>
    <w:rsid w:val="00641C38"/>
    <w:rsid w:val="006452B0"/>
    <w:rsid w:val="00645892"/>
    <w:rsid w:val="00647757"/>
    <w:rsid w:val="00651CC9"/>
    <w:rsid w:val="006530E0"/>
    <w:rsid w:val="00653A2A"/>
    <w:rsid w:val="00655C4F"/>
    <w:rsid w:val="00656D92"/>
    <w:rsid w:val="00657538"/>
    <w:rsid w:val="00660057"/>
    <w:rsid w:val="0066049C"/>
    <w:rsid w:val="0066097F"/>
    <w:rsid w:val="00660BCF"/>
    <w:rsid w:val="00662311"/>
    <w:rsid w:val="0066265B"/>
    <w:rsid w:val="0066388B"/>
    <w:rsid w:val="00663CD0"/>
    <w:rsid w:val="00664997"/>
    <w:rsid w:val="00665209"/>
    <w:rsid w:val="00665694"/>
    <w:rsid w:val="006671A9"/>
    <w:rsid w:val="00671B0C"/>
    <w:rsid w:val="00673EFF"/>
    <w:rsid w:val="00675576"/>
    <w:rsid w:val="00676E31"/>
    <w:rsid w:val="006775C2"/>
    <w:rsid w:val="00680DC9"/>
    <w:rsid w:val="006848B8"/>
    <w:rsid w:val="00686B37"/>
    <w:rsid w:val="00690F8B"/>
    <w:rsid w:val="0069137A"/>
    <w:rsid w:val="00694B74"/>
    <w:rsid w:val="006959E6"/>
    <w:rsid w:val="00695CF6"/>
    <w:rsid w:val="00697BE0"/>
    <w:rsid w:val="006A43A1"/>
    <w:rsid w:val="006B40C2"/>
    <w:rsid w:val="006B771A"/>
    <w:rsid w:val="006C2139"/>
    <w:rsid w:val="006C2263"/>
    <w:rsid w:val="006C283B"/>
    <w:rsid w:val="006C41D5"/>
    <w:rsid w:val="006C4C4A"/>
    <w:rsid w:val="006D20B1"/>
    <w:rsid w:val="006D2386"/>
    <w:rsid w:val="006D3610"/>
    <w:rsid w:val="006D63DE"/>
    <w:rsid w:val="006E1AE2"/>
    <w:rsid w:val="006E2B87"/>
    <w:rsid w:val="006E3CE5"/>
    <w:rsid w:val="006E3E91"/>
    <w:rsid w:val="006E5B99"/>
    <w:rsid w:val="006E5EB2"/>
    <w:rsid w:val="006F08B9"/>
    <w:rsid w:val="006F2152"/>
    <w:rsid w:val="006F74F3"/>
    <w:rsid w:val="006F7CB7"/>
    <w:rsid w:val="0070096E"/>
    <w:rsid w:val="00700B39"/>
    <w:rsid w:val="00701BA3"/>
    <w:rsid w:val="00701F07"/>
    <w:rsid w:val="007023F2"/>
    <w:rsid w:val="007079A3"/>
    <w:rsid w:val="00710A08"/>
    <w:rsid w:val="00720B5E"/>
    <w:rsid w:val="00721D20"/>
    <w:rsid w:val="00721EFB"/>
    <w:rsid w:val="00726535"/>
    <w:rsid w:val="00726A1A"/>
    <w:rsid w:val="007336E3"/>
    <w:rsid w:val="00734677"/>
    <w:rsid w:val="00734E66"/>
    <w:rsid w:val="007353C4"/>
    <w:rsid w:val="00736069"/>
    <w:rsid w:val="0074059A"/>
    <w:rsid w:val="007428D2"/>
    <w:rsid w:val="007430DE"/>
    <w:rsid w:val="00745720"/>
    <w:rsid w:val="00750E55"/>
    <w:rsid w:val="00750FFC"/>
    <w:rsid w:val="00752EC1"/>
    <w:rsid w:val="00756F1E"/>
    <w:rsid w:val="00757268"/>
    <w:rsid w:val="00765417"/>
    <w:rsid w:val="00772A09"/>
    <w:rsid w:val="00773C17"/>
    <w:rsid w:val="00780207"/>
    <w:rsid w:val="007802A9"/>
    <w:rsid w:val="00781E56"/>
    <w:rsid w:val="00786F70"/>
    <w:rsid w:val="00791099"/>
    <w:rsid w:val="00791DA3"/>
    <w:rsid w:val="00792D8D"/>
    <w:rsid w:val="00792FA1"/>
    <w:rsid w:val="0079355C"/>
    <w:rsid w:val="007939B9"/>
    <w:rsid w:val="00795B95"/>
    <w:rsid w:val="007A58D5"/>
    <w:rsid w:val="007B00BE"/>
    <w:rsid w:val="007B01E9"/>
    <w:rsid w:val="007B2669"/>
    <w:rsid w:val="007B393D"/>
    <w:rsid w:val="007B5390"/>
    <w:rsid w:val="007B639F"/>
    <w:rsid w:val="007B6816"/>
    <w:rsid w:val="007B7CA8"/>
    <w:rsid w:val="007C2FAE"/>
    <w:rsid w:val="007C37B5"/>
    <w:rsid w:val="007C3FD4"/>
    <w:rsid w:val="007C48BB"/>
    <w:rsid w:val="007D3215"/>
    <w:rsid w:val="007D7557"/>
    <w:rsid w:val="007E6456"/>
    <w:rsid w:val="007F1A95"/>
    <w:rsid w:val="007F2775"/>
    <w:rsid w:val="007F4264"/>
    <w:rsid w:val="007F53CB"/>
    <w:rsid w:val="007F6802"/>
    <w:rsid w:val="0080155E"/>
    <w:rsid w:val="0080180E"/>
    <w:rsid w:val="0080197C"/>
    <w:rsid w:val="0080684D"/>
    <w:rsid w:val="00810114"/>
    <w:rsid w:val="00810BF1"/>
    <w:rsid w:val="008121D9"/>
    <w:rsid w:val="008145CC"/>
    <w:rsid w:val="008155F2"/>
    <w:rsid w:val="00815E0E"/>
    <w:rsid w:val="00815E49"/>
    <w:rsid w:val="008167A4"/>
    <w:rsid w:val="008260DA"/>
    <w:rsid w:val="00836CA6"/>
    <w:rsid w:val="008374A2"/>
    <w:rsid w:val="008374F0"/>
    <w:rsid w:val="008439EA"/>
    <w:rsid w:val="00845B04"/>
    <w:rsid w:val="00846408"/>
    <w:rsid w:val="00855D00"/>
    <w:rsid w:val="00861FAD"/>
    <w:rsid w:val="00862589"/>
    <w:rsid w:val="00863042"/>
    <w:rsid w:val="00863A7A"/>
    <w:rsid w:val="00867A08"/>
    <w:rsid w:val="008737B1"/>
    <w:rsid w:val="0087600C"/>
    <w:rsid w:val="008835E6"/>
    <w:rsid w:val="008851B0"/>
    <w:rsid w:val="008855EB"/>
    <w:rsid w:val="008860FD"/>
    <w:rsid w:val="0089311A"/>
    <w:rsid w:val="008946A7"/>
    <w:rsid w:val="00896DDE"/>
    <w:rsid w:val="00897058"/>
    <w:rsid w:val="0089726F"/>
    <w:rsid w:val="00897828"/>
    <w:rsid w:val="008A3FB6"/>
    <w:rsid w:val="008A4220"/>
    <w:rsid w:val="008A5000"/>
    <w:rsid w:val="008B0BB3"/>
    <w:rsid w:val="008B1434"/>
    <w:rsid w:val="008B2945"/>
    <w:rsid w:val="008B2E78"/>
    <w:rsid w:val="008B4119"/>
    <w:rsid w:val="008B4348"/>
    <w:rsid w:val="008B55D1"/>
    <w:rsid w:val="008B5D97"/>
    <w:rsid w:val="008B67DD"/>
    <w:rsid w:val="008B6ED8"/>
    <w:rsid w:val="008C1296"/>
    <w:rsid w:val="008C189E"/>
    <w:rsid w:val="008C1C1B"/>
    <w:rsid w:val="008C1C55"/>
    <w:rsid w:val="008C2E7A"/>
    <w:rsid w:val="008C6498"/>
    <w:rsid w:val="008D0271"/>
    <w:rsid w:val="008D0E15"/>
    <w:rsid w:val="008D28B9"/>
    <w:rsid w:val="008D5C81"/>
    <w:rsid w:val="008E0657"/>
    <w:rsid w:val="008E070D"/>
    <w:rsid w:val="008E10F7"/>
    <w:rsid w:val="008E1184"/>
    <w:rsid w:val="008E290B"/>
    <w:rsid w:val="008E3F74"/>
    <w:rsid w:val="008F04B4"/>
    <w:rsid w:val="008F2710"/>
    <w:rsid w:val="008F62D0"/>
    <w:rsid w:val="008F7ECD"/>
    <w:rsid w:val="00902210"/>
    <w:rsid w:val="009071F2"/>
    <w:rsid w:val="00907E6E"/>
    <w:rsid w:val="00907F1D"/>
    <w:rsid w:val="00910851"/>
    <w:rsid w:val="009118C6"/>
    <w:rsid w:val="0091226D"/>
    <w:rsid w:val="009154FC"/>
    <w:rsid w:val="00917A1D"/>
    <w:rsid w:val="00917F51"/>
    <w:rsid w:val="0092052D"/>
    <w:rsid w:val="00920A21"/>
    <w:rsid w:val="00923713"/>
    <w:rsid w:val="00923DB9"/>
    <w:rsid w:val="00923F0F"/>
    <w:rsid w:val="00925683"/>
    <w:rsid w:val="009265EA"/>
    <w:rsid w:val="00926F7D"/>
    <w:rsid w:val="00937C38"/>
    <w:rsid w:val="00940101"/>
    <w:rsid w:val="009434AB"/>
    <w:rsid w:val="0094412F"/>
    <w:rsid w:val="00944A7F"/>
    <w:rsid w:val="00951BC2"/>
    <w:rsid w:val="009522B7"/>
    <w:rsid w:val="009566BD"/>
    <w:rsid w:val="0095789E"/>
    <w:rsid w:val="00960B17"/>
    <w:rsid w:val="00961066"/>
    <w:rsid w:val="009630FD"/>
    <w:rsid w:val="00965C09"/>
    <w:rsid w:val="00966516"/>
    <w:rsid w:val="0097356C"/>
    <w:rsid w:val="009735CF"/>
    <w:rsid w:val="00974545"/>
    <w:rsid w:val="0097594F"/>
    <w:rsid w:val="00981CF4"/>
    <w:rsid w:val="00981E27"/>
    <w:rsid w:val="00982BD0"/>
    <w:rsid w:val="009909DB"/>
    <w:rsid w:val="00995B64"/>
    <w:rsid w:val="00996027"/>
    <w:rsid w:val="009978ED"/>
    <w:rsid w:val="009A225A"/>
    <w:rsid w:val="009A34EA"/>
    <w:rsid w:val="009A430D"/>
    <w:rsid w:val="009A64BF"/>
    <w:rsid w:val="009A6CB1"/>
    <w:rsid w:val="009B39F4"/>
    <w:rsid w:val="009B7E96"/>
    <w:rsid w:val="009C370B"/>
    <w:rsid w:val="009C64ED"/>
    <w:rsid w:val="009D1002"/>
    <w:rsid w:val="009D25B5"/>
    <w:rsid w:val="009D3365"/>
    <w:rsid w:val="009D4C69"/>
    <w:rsid w:val="009E14F1"/>
    <w:rsid w:val="009E47C1"/>
    <w:rsid w:val="009E4F06"/>
    <w:rsid w:val="009E65C3"/>
    <w:rsid w:val="009F0214"/>
    <w:rsid w:val="009F03AC"/>
    <w:rsid w:val="009F0401"/>
    <w:rsid w:val="009F07DC"/>
    <w:rsid w:val="009F3EBE"/>
    <w:rsid w:val="009F4375"/>
    <w:rsid w:val="009F6116"/>
    <w:rsid w:val="009F624C"/>
    <w:rsid w:val="00A031A1"/>
    <w:rsid w:val="00A03736"/>
    <w:rsid w:val="00A059D0"/>
    <w:rsid w:val="00A11668"/>
    <w:rsid w:val="00A120C5"/>
    <w:rsid w:val="00A1261C"/>
    <w:rsid w:val="00A14780"/>
    <w:rsid w:val="00A1529F"/>
    <w:rsid w:val="00A15AAA"/>
    <w:rsid w:val="00A16B49"/>
    <w:rsid w:val="00A16FE9"/>
    <w:rsid w:val="00A17BEF"/>
    <w:rsid w:val="00A20E9F"/>
    <w:rsid w:val="00A2137F"/>
    <w:rsid w:val="00A2233F"/>
    <w:rsid w:val="00A3066B"/>
    <w:rsid w:val="00A36792"/>
    <w:rsid w:val="00A36F82"/>
    <w:rsid w:val="00A372E8"/>
    <w:rsid w:val="00A37D87"/>
    <w:rsid w:val="00A40493"/>
    <w:rsid w:val="00A412D2"/>
    <w:rsid w:val="00A45140"/>
    <w:rsid w:val="00A45B15"/>
    <w:rsid w:val="00A46C1B"/>
    <w:rsid w:val="00A52E65"/>
    <w:rsid w:val="00A54A84"/>
    <w:rsid w:val="00A557D9"/>
    <w:rsid w:val="00A55AE9"/>
    <w:rsid w:val="00A631D6"/>
    <w:rsid w:val="00A656A7"/>
    <w:rsid w:val="00A70E84"/>
    <w:rsid w:val="00A72567"/>
    <w:rsid w:val="00A74FCE"/>
    <w:rsid w:val="00A7751B"/>
    <w:rsid w:val="00A83C7E"/>
    <w:rsid w:val="00A8421B"/>
    <w:rsid w:val="00A8667D"/>
    <w:rsid w:val="00A86A10"/>
    <w:rsid w:val="00A86E45"/>
    <w:rsid w:val="00A876DA"/>
    <w:rsid w:val="00A90704"/>
    <w:rsid w:val="00A92E05"/>
    <w:rsid w:val="00A95A5C"/>
    <w:rsid w:val="00AA0C6A"/>
    <w:rsid w:val="00AA30B2"/>
    <w:rsid w:val="00AA4240"/>
    <w:rsid w:val="00AA43B6"/>
    <w:rsid w:val="00AA773D"/>
    <w:rsid w:val="00AB011C"/>
    <w:rsid w:val="00AB40AF"/>
    <w:rsid w:val="00AC3AFE"/>
    <w:rsid w:val="00AC4ACD"/>
    <w:rsid w:val="00AC64AD"/>
    <w:rsid w:val="00AD45F8"/>
    <w:rsid w:val="00AD5500"/>
    <w:rsid w:val="00AD6AAF"/>
    <w:rsid w:val="00AD7384"/>
    <w:rsid w:val="00AD795E"/>
    <w:rsid w:val="00AE1C7C"/>
    <w:rsid w:val="00AE231A"/>
    <w:rsid w:val="00AF012A"/>
    <w:rsid w:val="00AF169E"/>
    <w:rsid w:val="00AF27B7"/>
    <w:rsid w:val="00AF4823"/>
    <w:rsid w:val="00AF6782"/>
    <w:rsid w:val="00B00B26"/>
    <w:rsid w:val="00B02BCE"/>
    <w:rsid w:val="00B0374D"/>
    <w:rsid w:val="00B04367"/>
    <w:rsid w:val="00B045D9"/>
    <w:rsid w:val="00B0709E"/>
    <w:rsid w:val="00B077EB"/>
    <w:rsid w:val="00B10011"/>
    <w:rsid w:val="00B12911"/>
    <w:rsid w:val="00B13918"/>
    <w:rsid w:val="00B1667D"/>
    <w:rsid w:val="00B16FE7"/>
    <w:rsid w:val="00B17A67"/>
    <w:rsid w:val="00B2045A"/>
    <w:rsid w:val="00B25D02"/>
    <w:rsid w:val="00B31527"/>
    <w:rsid w:val="00B3258C"/>
    <w:rsid w:val="00B33C9B"/>
    <w:rsid w:val="00B34C49"/>
    <w:rsid w:val="00B357D1"/>
    <w:rsid w:val="00B36517"/>
    <w:rsid w:val="00B373EE"/>
    <w:rsid w:val="00B40A91"/>
    <w:rsid w:val="00B42E07"/>
    <w:rsid w:val="00B46F1E"/>
    <w:rsid w:val="00B5169F"/>
    <w:rsid w:val="00B54B11"/>
    <w:rsid w:val="00B5621A"/>
    <w:rsid w:val="00B64852"/>
    <w:rsid w:val="00B73CE8"/>
    <w:rsid w:val="00B742E0"/>
    <w:rsid w:val="00B74B3D"/>
    <w:rsid w:val="00B74B93"/>
    <w:rsid w:val="00B75681"/>
    <w:rsid w:val="00B7694C"/>
    <w:rsid w:val="00B80868"/>
    <w:rsid w:val="00B82195"/>
    <w:rsid w:val="00B82885"/>
    <w:rsid w:val="00B828EA"/>
    <w:rsid w:val="00B842E1"/>
    <w:rsid w:val="00B852F4"/>
    <w:rsid w:val="00B8752C"/>
    <w:rsid w:val="00B90D5E"/>
    <w:rsid w:val="00B914ED"/>
    <w:rsid w:val="00B916B9"/>
    <w:rsid w:val="00BA1817"/>
    <w:rsid w:val="00BA18D7"/>
    <w:rsid w:val="00BA21B2"/>
    <w:rsid w:val="00BA4976"/>
    <w:rsid w:val="00BA61A9"/>
    <w:rsid w:val="00BB0500"/>
    <w:rsid w:val="00BB325D"/>
    <w:rsid w:val="00BB47D2"/>
    <w:rsid w:val="00BC0DC1"/>
    <w:rsid w:val="00BD550F"/>
    <w:rsid w:val="00BD6558"/>
    <w:rsid w:val="00BE4A53"/>
    <w:rsid w:val="00BE5B2C"/>
    <w:rsid w:val="00BE7308"/>
    <w:rsid w:val="00BE75B8"/>
    <w:rsid w:val="00BF3CAC"/>
    <w:rsid w:val="00BF6F97"/>
    <w:rsid w:val="00C00EEF"/>
    <w:rsid w:val="00C013DE"/>
    <w:rsid w:val="00C02F92"/>
    <w:rsid w:val="00C05360"/>
    <w:rsid w:val="00C0645E"/>
    <w:rsid w:val="00C139A6"/>
    <w:rsid w:val="00C1437C"/>
    <w:rsid w:val="00C14DB2"/>
    <w:rsid w:val="00C21AAC"/>
    <w:rsid w:val="00C23BD8"/>
    <w:rsid w:val="00C24ACA"/>
    <w:rsid w:val="00C30204"/>
    <w:rsid w:val="00C322FC"/>
    <w:rsid w:val="00C3470B"/>
    <w:rsid w:val="00C3644A"/>
    <w:rsid w:val="00C37819"/>
    <w:rsid w:val="00C403E6"/>
    <w:rsid w:val="00C409D9"/>
    <w:rsid w:val="00C42DEF"/>
    <w:rsid w:val="00C445C5"/>
    <w:rsid w:val="00C46CD2"/>
    <w:rsid w:val="00C5324E"/>
    <w:rsid w:val="00C573D6"/>
    <w:rsid w:val="00C617B4"/>
    <w:rsid w:val="00C61DB6"/>
    <w:rsid w:val="00C6416B"/>
    <w:rsid w:val="00C6590B"/>
    <w:rsid w:val="00C67C65"/>
    <w:rsid w:val="00C70332"/>
    <w:rsid w:val="00C7185B"/>
    <w:rsid w:val="00C71AE4"/>
    <w:rsid w:val="00C71C59"/>
    <w:rsid w:val="00C725D9"/>
    <w:rsid w:val="00C74F52"/>
    <w:rsid w:val="00C75A9D"/>
    <w:rsid w:val="00C772DB"/>
    <w:rsid w:val="00C776AA"/>
    <w:rsid w:val="00C77B3C"/>
    <w:rsid w:val="00C842B9"/>
    <w:rsid w:val="00C843EA"/>
    <w:rsid w:val="00C84F28"/>
    <w:rsid w:val="00C8634A"/>
    <w:rsid w:val="00C901C1"/>
    <w:rsid w:val="00C907B4"/>
    <w:rsid w:val="00C91536"/>
    <w:rsid w:val="00C91D4D"/>
    <w:rsid w:val="00C9261F"/>
    <w:rsid w:val="00C954E0"/>
    <w:rsid w:val="00CA00B6"/>
    <w:rsid w:val="00CA1139"/>
    <w:rsid w:val="00CB4C16"/>
    <w:rsid w:val="00CB57C4"/>
    <w:rsid w:val="00CC0D2D"/>
    <w:rsid w:val="00CC1CC9"/>
    <w:rsid w:val="00CC47F6"/>
    <w:rsid w:val="00CC4B06"/>
    <w:rsid w:val="00CD012B"/>
    <w:rsid w:val="00CD35C2"/>
    <w:rsid w:val="00CD4CE0"/>
    <w:rsid w:val="00CD7B74"/>
    <w:rsid w:val="00CE02C5"/>
    <w:rsid w:val="00CE0D1C"/>
    <w:rsid w:val="00CE0FED"/>
    <w:rsid w:val="00CE1A83"/>
    <w:rsid w:val="00CE1F85"/>
    <w:rsid w:val="00CE2897"/>
    <w:rsid w:val="00CE2898"/>
    <w:rsid w:val="00CE2B2F"/>
    <w:rsid w:val="00CE4558"/>
    <w:rsid w:val="00CE7C70"/>
    <w:rsid w:val="00CE7D0F"/>
    <w:rsid w:val="00CF0634"/>
    <w:rsid w:val="00CF15CC"/>
    <w:rsid w:val="00CF1919"/>
    <w:rsid w:val="00CF27C3"/>
    <w:rsid w:val="00CF417D"/>
    <w:rsid w:val="00CF690E"/>
    <w:rsid w:val="00CF792D"/>
    <w:rsid w:val="00D0037C"/>
    <w:rsid w:val="00D018CC"/>
    <w:rsid w:val="00D02AA5"/>
    <w:rsid w:val="00D03E98"/>
    <w:rsid w:val="00D05F18"/>
    <w:rsid w:val="00D10101"/>
    <w:rsid w:val="00D104F2"/>
    <w:rsid w:val="00D15084"/>
    <w:rsid w:val="00D17728"/>
    <w:rsid w:val="00D17DC8"/>
    <w:rsid w:val="00D2147D"/>
    <w:rsid w:val="00D2188B"/>
    <w:rsid w:val="00D21D42"/>
    <w:rsid w:val="00D220A4"/>
    <w:rsid w:val="00D2266C"/>
    <w:rsid w:val="00D251B0"/>
    <w:rsid w:val="00D25C44"/>
    <w:rsid w:val="00D27D57"/>
    <w:rsid w:val="00D31EE1"/>
    <w:rsid w:val="00D36931"/>
    <w:rsid w:val="00D36E43"/>
    <w:rsid w:val="00D4123A"/>
    <w:rsid w:val="00D44E46"/>
    <w:rsid w:val="00D46644"/>
    <w:rsid w:val="00D46787"/>
    <w:rsid w:val="00D511B4"/>
    <w:rsid w:val="00D53EC1"/>
    <w:rsid w:val="00D541F0"/>
    <w:rsid w:val="00D5424B"/>
    <w:rsid w:val="00D63BF5"/>
    <w:rsid w:val="00D63E33"/>
    <w:rsid w:val="00D64827"/>
    <w:rsid w:val="00D6522F"/>
    <w:rsid w:val="00D705A2"/>
    <w:rsid w:val="00D707EA"/>
    <w:rsid w:val="00D71914"/>
    <w:rsid w:val="00D71AAE"/>
    <w:rsid w:val="00D71E12"/>
    <w:rsid w:val="00D720A2"/>
    <w:rsid w:val="00D720C5"/>
    <w:rsid w:val="00D72FA5"/>
    <w:rsid w:val="00D76417"/>
    <w:rsid w:val="00D80E10"/>
    <w:rsid w:val="00D8298F"/>
    <w:rsid w:val="00D8317E"/>
    <w:rsid w:val="00D83199"/>
    <w:rsid w:val="00D872C9"/>
    <w:rsid w:val="00D93B7A"/>
    <w:rsid w:val="00D942E2"/>
    <w:rsid w:val="00D9576C"/>
    <w:rsid w:val="00D97845"/>
    <w:rsid w:val="00DA2F58"/>
    <w:rsid w:val="00DA341F"/>
    <w:rsid w:val="00DA6912"/>
    <w:rsid w:val="00DA715A"/>
    <w:rsid w:val="00DA7C00"/>
    <w:rsid w:val="00DB783C"/>
    <w:rsid w:val="00DC0049"/>
    <w:rsid w:val="00DC1D35"/>
    <w:rsid w:val="00DC3FC3"/>
    <w:rsid w:val="00DC49CE"/>
    <w:rsid w:val="00DC5A55"/>
    <w:rsid w:val="00DC6114"/>
    <w:rsid w:val="00DC7C02"/>
    <w:rsid w:val="00DD1463"/>
    <w:rsid w:val="00DD1E9C"/>
    <w:rsid w:val="00DD2581"/>
    <w:rsid w:val="00DD30C0"/>
    <w:rsid w:val="00DD3706"/>
    <w:rsid w:val="00DD5415"/>
    <w:rsid w:val="00DD7CEA"/>
    <w:rsid w:val="00DE00F7"/>
    <w:rsid w:val="00DE5934"/>
    <w:rsid w:val="00DE62AB"/>
    <w:rsid w:val="00DE6559"/>
    <w:rsid w:val="00DF0496"/>
    <w:rsid w:val="00DF421C"/>
    <w:rsid w:val="00DF425B"/>
    <w:rsid w:val="00DF4FA0"/>
    <w:rsid w:val="00DF6F97"/>
    <w:rsid w:val="00DF703F"/>
    <w:rsid w:val="00DF74CE"/>
    <w:rsid w:val="00E016C0"/>
    <w:rsid w:val="00E02103"/>
    <w:rsid w:val="00E03398"/>
    <w:rsid w:val="00E05897"/>
    <w:rsid w:val="00E06662"/>
    <w:rsid w:val="00E0676F"/>
    <w:rsid w:val="00E12C5A"/>
    <w:rsid w:val="00E15A71"/>
    <w:rsid w:val="00E16805"/>
    <w:rsid w:val="00E20801"/>
    <w:rsid w:val="00E228B6"/>
    <w:rsid w:val="00E24B72"/>
    <w:rsid w:val="00E255E5"/>
    <w:rsid w:val="00E310B0"/>
    <w:rsid w:val="00E3253D"/>
    <w:rsid w:val="00E34B17"/>
    <w:rsid w:val="00E34B8C"/>
    <w:rsid w:val="00E358EC"/>
    <w:rsid w:val="00E36974"/>
    <w:rsid w:val="00E40182"/>
    <w:rsid w:val="00E40F50"/>
    <w:rsid w:val="00E40FA0"/>
    <w:rsid w:val="00E434E1"/>
    <w:rsid w:val="00E446E2"/>
    <w:rsid w:val="00E44F7E"/>
    <w:rsid w:val="00E460B2"/>
    <w:rsid w:val="00E517AF"/>
    <w:rsid w:val="00E520A4"/>
    <w:rsid w:val="00E5257F"/>
    <w:rsid w:val="00E53838"/>
    <w:rsid w:val="00E55731"/>
    <w:rsid w:val="00E561DE"/>
    <w:rsid w:val="00E601E3"/>
    <w:rsid w:val="00E614B3"/>
    <w:rsid w:val="00E61BBA"/>
    <w:rsid w:val="00E638F3"/>
    <w:rsid w:val="00E639FF"/>
    <w:rsid w:val="00E63B9A"/>
    <w:rsid w:val="00E64446"/>
    <w:rsid w:val="00E64886"/>
    <w:rsid w:val="00E65FD5"/>
    <w:rsid w:val="00E661C7"/>
    <w:rsid w:val="00E66881"/>
    <w:rsid w:val="00E67648"/>
    <w:rsid w:val="00E6770B"/>
    <w:rsid w:val="00E70CC2"/>
    <w:rsid w:val="00E70FC4"/>
    <w:rsid w:val="00E73739"/>
    <w:rsid w:val="00E77094"/>
    <w:rsid w:val="00E775E5"/>
    <w:rsid w:val="00E82939"/>
    <w:rsid w:val="00E844FA"/>
    <w:rsid w:val="00E85350"/>
    <w:rsid w:val="00E85E6E"/>
    <w:rsid w:val="00E86798"/>
    <w:rsid w:val="00E90885"/>
    <w:rsid w:val="00E90D12"/>
    <w:rsid w:val="00E90D2C"/>
    <w:rsid w:val="00E918CA"/>
    <w:rsid w:val="00E93996"/>
    <w:rsid w:val="00E97B3B"/>
    <w:rsid w:val="00EA1923"/>
    <w:rsid w:val="00EA5298"/>
    <w:rsid w:val="00EA7BAD"/>
    <w:rsid w:val="00EB0B16"/>
    <w:rsid w:val="00EB2B07"/>
    <w:rsid w:val="00EB2B9E"/>
    <w:rsid w:val="00EB54F6"/>
    <w:rsid w:val="00EB5A6A"/>
    <w:rsid w:val="00EB625D"/>
    <w:rsid w:val="00EB746E"/>
    <w:rsid w:val="00EB7F12"/>
    <w:rsid w:val="00EC2C8D"/>
    <w:rsid w:val="00EC4011"/>
    <w:rsid w:val="00EC4B65"/>
    <w:rsid w:val="00EC5F72"/>
    <w:rsid w:val="00EC650D"/>
    <w:rsid w:val="00EC739E"/>
    <w:rsid w:val="00ED2EFC"/>
    <w:rsid w:val="00ED66BC"/>
    <w:rsid w:val="00ED7148"/>
    <w:rsid w:val="00ED728F"/>
    <w:rsid w:val="00ED763A"/>
    <w:rsid w:val="00EE3199"/>
    <w:rsid w:val="00EE5393"/>
    <w:rsid w:val="00EE5A46"/>
    <w:rsid w:val="00EF3292"/>
    <w:rsid w:val="00EF347F"/>
    <w:rsid w:val="00EF3A42"/>
    <w:rsid w:val="00EF4477"/>
    <w:rsid w:val="00EF4B19"/>
    <w:rsid w:val="00F03790"/>
    <w:rsid w:val="00F06F1D"/>
    <w:rsid w:val="00F10EE1"/>
    <w:rsid w:val="00F11B32"/>
    <w:rsid w:val="00F122BC"/>
    <w:rsid w:val="00F1408A"/>
    <w:rsid w:val="00F17AA1"/>
    <w:rsid w:val="00F2485F"/>
    <w:rsid w:val="00F256D5"/>
    <w:rsid w:val="00F2629E"/>
    <w:rsid w:val="00F27213"/>
    <w:rsid w:val="00F311F7"/>
    <w:rsid w:val="00F42B16"/>
    <w:rsid w:val="00F4461D"/>
    <w:rsid w:val="00F44861"/>
    <w:rsid w:val="00F45F5C"/>
    <w:rsid w:val="00F46FD8"/>
    <w:rsid w:val="00F536BC"/>
    <w:rsid w:val="00F5386E"/>
    <w:rsid w:val="00F55C93"/>
    <w:rsid w:val="00F57675"/>
    <w:rsid w:val="00F63B7E"/>
    <w:rsid w:val="00F63E76"/>
    <w:rsid w:val="00F71299"/>
    <w:rsid w:val="00F7158B"/>
    <w:rsid w:val="00F73AA4"/>
    <w:rsid w:val="00F76191"/>
    <w:rsid w:val="00F81C58"/>
    <w:rsid w:val="00F8301A"/>
    <w:rsid w:val="00F83D61"/>
    <w:rsid w:val="00F853B1"/>
    <w:rsid w:val="00F9107D"/>
    <w:rsid w:val="00F9114F"/>
    <w:rsid w:val="00FA095C"/>
    <w:rsid w:val="00FA3A13"/>
    <w:rsid w:val="00FA45E2"/>
    <w:rsid w:val="00FA67CD"/>
    <w:rsid w:val="00FA76AB"/>
    <w:rsid w:val="00FB35E6"/>
    <w:rsid w:val="00FB4A3E"/>
    <w:rsid w:val="00FB5123"/>
    <w:rsid w:val="00FB700C"/>
    <w:rsid w:val="00FB7F8B"/>
    <w:rsid w:val="00FC1603"/>
    <w:rsid w:val="00FC19A0"/>
    <w:rsid w:val="00FC3898"/>
    <w:rsid w:val="00FC75D3"/>
    <w:rsid w:val="00FD002A"/>
    <w:rsid w:val="00FD0301"/>
    <w:rsid w:val="00FD0CB8"/>
    <w:rsid w:val="00FD2F8C"/>
    <w:rsid w:val="00FD44A6"/>
    <w:rsid w:val="00FD44F9"/>
    <w:rsid w:val="00FD64E8"/>
    <w:rsid w:val="00FE0341"/>
    <w:rsid w:val="00FF49F2"/>
    <w:rsid w:val="00FF5677"/>
    <w:rsid w:val="00FF6224"/>
    <w:rsid w:val="00FF69D5"/>
    <w:rsid w:val="010F0B24"/>
    <w:rsid w:val="01B85440"/>
    <w:rsid w:val="01F40E43"/>
    <w:rsid w:val="02056D00"/>
    <w:rsid w:val="02CF55AB"/>
    <w:rsid w:val="02F14A41"/>
    <w:rsid w:val="033C527F"/>
    <w:rsid w:val="05056F38"/>
    <w:rsid w:val="06B217DC"/>
    <w:rsid w:val="06F866E3"/>
    <w:rsid w:val="08256540"/>
    <w:rsid w:val="088E23AC"/>
    <w:rsid w:val="092E49FD"/>
    <w:rsid w:val="0A2910C1"/>
    <w:rsid w:val="0B9730BE"/>
    <w:rsid w:val="0BC021B3"/>
    <w:rsid w:val="0C977DAC"/>
    <w:rsid w:val="0CEB1CA0"/>
    <w:rsid w:val="0D3B7091"/>
    <w:rsid w:val="0D484804"/>
    <w:rsid w:val="0E1F0F2A"/>
    <w:rsid w:val="0E4A4418"/>
    <w:rsid w:val="0EB40990"/>
    <w:rsid w:val="0ED35BB7"/>
    <w:rsid w:val="0F1B1A7E"/>
    <w:rsid w:val="0F7200CA"/>
    <w:rsid w:val="0F9009A6"/>
    <w:rsid w:val="101A5631"/>
    <w:rsid w:val="10455A01"/>
    <w:rsid w:val="1101437D"/>
    <w:rsid w:val="11A235B9"/>
    <w:rsid w:val="11D57FEF"/>
    <w:rsid w:val="121636F2"/>
    <w:rsid w:val="12380A2C"/>
    <w:rsid w:val="12753D03"/>
    <w:rsid w:val="130A0742"/>
    <w:rsid w:val="1324792E"/>
    <w:rsid w:val="1370278A"/>
    <w:rsid w:val="14404B61"/>
    <w:rsid w:val="14774F61"/>
    <w:rsid w:val="148B578A"/>
    <w:rsid w:val="152354B8"/>
    <w:rsid w:val="157C4399"/>
    <w:rsid w:val="15835DEF"/>
    <w:rsid w:val="1612592B"/>
    <w:rsid w:val="162163A6"/>
    <w:rsid w:val="1734467C"/>
    <w:rsid w:val="173C0FBE"/>
    <w:rsid w:val="17497180"/>
    <w:rsid w:val="17FB2C27"/>
    <w:rsid w:val="186D0D51"/>
    <w:rsid w:val="18917107"/>
    <w:rsid w:val="19C947A3"/>
    <w:rsid w:val="1B527ED0"/>
    <w:rsid w:val="1BED15EC"/>
    <w:rsid w:val="1BFF555A"/>
    <w:rsid w:val="1C1D015E"/>
    <w:rsid w:val="1CBE793B"/>
    <w:rsid w:val="1DB745A1"/>
    <w:rsid w:val="1E20560B"/>
    <w:rsid w:val="1ECF0771"/>
    <w:rsid w:val="1F234F3D"/>
    <w:rsid w:val="1F3E6EE5"/>
    <w:rsid w:val="1FC919E5"/>
    <w:rsid w:val="1FF57EC9"/>
    <w:rsid w:val="21211C7C"/>
    <w:rsid w:val="21456462"/>
    <w:rsid w:val="21676FE9"/>
    <w:rsid w:val="21A556F6"/>
    <w:rsid w:val="22602004"/>
    <w:rsid w:val="230A7239"/>
    <w:rsid w:val="2323776F"/>
    <w:rsid w:val="26584A43"/>
    <w:rsid w:val="26C53A39"/>
    <w:rsid w:val="280F6C46"/>
    <w:rsid w:val="28203476"/>
    <w:rsid w:val="283F22FD"/>
    <w:rsid w:val="28A15BEC"/>
    <w:rsid w:val="28C14052"/>
    <w:rsid w:val="29220014"/>
    <w:rsid w:val="294C59B9"/>
    <w:rsid w:val="2A4D3F5B"/>
    <w:rsid w:val="2C64158C"/>
    <w:rsid w:val="2CDD5BDE"/>
    <w:rsid w:val="2D8403E3"/>
    <w:rsid w:val="2DF21DC7"/>
    <w:rsid w:val="304F3E69"/>
    <w:rsid w:val="306C0986"/>
    <w:rsid w:val="31B05E2A"/>
    <w:rsid w:val="326D3D91"/>
    <w:rsid w:val="32C569C3"/>
    <w:rsid w:val="34834A7B"/>
    <w:rsid w:val="35784426"/>
    <w:rsid w:val="36145188"/>
    <w:rsid w:val="37BA3557"/>
    <w:rsid w:val="38403352"/>
    <w:rsid w:val="38B621EA"/>
    <w:rsid w:val="3B511B64"/>
    <w:rsid w:val="3B9C3D0B"/>
    <w:rsid w:val="3BBF7D2A"/>
    <w:rsid w:val="3C043312"/>
    <w:rsid w:val="3C9F1BE6"/>
    <w:rsid w:val="3D0E3CAE"/>
    <w:rsid w:val="3D1141CF"/>
    <w:rsid w:val="3D9B7F3D"/>
    <w:rsid w:val="3D9D1F07"/>
    <w:rsid w:val="3DE00568"/>
    <w:rsid w:val="3E343293"/>
    <w:rsid w:val="3E903AF1"/>
    <w:rsid w:val="3ED023EA"/>
    <w:rsid w:val="3F5B79D3"/>
    <w:rsid w:val="3FD53533"/>
    <w:rsid w:val="40127699"/>
    <w:rsid w:val="401E6E09"/>
    <w:rsid w:val="4096233D"/>
    <w:rsid w:val="40B17940"/>
    <w:rsid w:val="40D24A15"/>
    <w:rsid w:val="42240501"/>
    <w:rsid w:val="423C0D7B"/>
    <w:rsid w:val="43361E1D"/>
    <w:rsid w:val="439E5027"/>
    <w:rsid w:val="44305883"/>
    <w:rsid w:val="45B411BC"/>
    <w:rsid w:val="47212CC6"/>
    <w:rsid w:val="481E59F2"/>
    <w:rsid w:val="4889438B"/>
    <w:rsid w:val="48946BAE"/>
    <w:rsid w:val="49CE4E75"/>
    <w:rsid w:val="4A153638"/>
    <w:rsid w:val="4A226597"/>
    <w:rsid w:val="4A9A0E84"/>
    <w:rsid w:val="4B1030AD"/>
    <w:rsid w:val="4B8F3601"/>
    <w:rsid w:val="4BB17A13"/>
    <w:rsid w:val="4C13650C"/>
    <w:rsid w:val="4C2D5488"/>
    <w:rsid w:val="4C37734E"/>
    <w:rsid w:val="4C835898"/>
    <w:rsid w:val="4D08105F"/>
    <w:rsid w:val="4D93152D"/>
    <w:rsid w:val="4DDF69F3"/>
    <w:rsid w:val="4E5FC7AC"/>
    <w:rsid w:val="4E7C7BD7"/>
    <w:rsid w:val="4ED24F97"/>
    <w:rsid w:val="4FB45A0B"/>
    <w:rsid w:val="4FBC1B69"/>
    <w:rsid w:val="50852A71"/>
    <w:rsid w:val="50EF7247"/>
    <w:rsid w:val="510E5416"/>
    <w:rsid w:val="512F3F78"/>
    <w:rsid w:val="51303D5F"/>
    <w:rsid w:val="51B568C6"/>
    <w:rsid w:val="51FF0C43"/>
    <w:rsid w:val="52353B8B"/>
    <w:rsid w:val="52EE4CDE"/>
    <w:rsid w:val="544D5D5C"/>
    <w:rsid w:val="547025F5"/>
    <w:rsid w:val="54A56836"/>
    <w:rsid w:val="556D2448"/>
    <w:rsid w:val="557540ED"/>
    <w:rsid w:val="562D6DCE"/>
    <w:rsid w:val="572D611B"/>
    <w:rsid w:val="57A43DFA"/>
    <w:rsid w:val="58A45BB5"/>
    <w:rsid w:val="58D85B78"/>
    <w:rsid w:val="596130DF"/>
    <w:rsid w:val="59AD307A"/>
    <w:rsid w:val="5A2B5F6E"/>
    <w:rsid w:val="5A2E1E26"/>
    <w:rsid w:val="5A7E0D3B"/>
    <w:rsid w:val="5B704FC2"/>
    <w:rsid w:val="5BEA5D3C"/>
    <w:rsid w:val="5CD81B12"/>
    <w:rsid w:val="5D4A1212"/>
    <w:rsid w:val="5D962D33"/>
    <w:rsid w:val="5E026756"/>
    <w:rsid w:val="5E474750"/>
    <w:rsid w:val="5EE140E7"/>
    <w:rsid w:val="5FF38969"/>
    <w:rsid w:val="60267CEF"/>
    <w:rsid w:val="602F6597"/>
    <w:rsid w:val="60EE66B4"/>
    <w:rsid w:val="61493B64"/>
    <w:rsid w:val="61761E02"/>
    <w:rsid w:val="61B97FB9"/>
    <w:rsid w:val="627B2167"/>
    <w:rsid w:val="62803223"/>
    <w:rsid w:val="62A17C56"/>
    <w:rsid w:val="62EB72BF"/>
    <w:rsid w:val="63080F51"/>
    <w:rsid w:val="64CE7AA6"/>
    <w:rsid w:val="64E13EE3"/>
    <w:rsid w:val="64E71FD7"/>
    <w:rsid w:val="68196CE3"/>
    <w:rsid w:val="690224EF"/>
    <w:rsid w:val="6ADB63FC"/>
    <w:rsid w:val="6BA91ABE"/>
    <w:rsid w:val="6BFA1670"/>
    <w:rsid w:val="6CA77BC5"/>
    <w:rsid w:val="6DA4470E"/>
    <w:rsid w:val="6DF84687"/>
    <w:rsid w:val="6E5E5381"/>
    <w:rsid w:val="6E622233"/>
    <w:rsid w:val="70165C41"/>
    <w:rsid w:val="70C83C00"/>
    <w:rsid w:val="70EA5563"/>
    <w:rsid w:val="712723E3"/>
    <w:rsid w:val="71C201A7"/>
    <w:rsid w:val="7250388B"/>
    <w:rsid w:val="727E0F1E"/>
    <w:rsid w:val="72CE60E3"/>
    <w:rsid w:val="72F773E8"/>
    <w:rsid w:val="730A3CBE"/>
    <w:rsid w:val="73D249C4"/>
    <w:rsid w:val="74527A4A"/>
    <w:rsid w:val="74580DAA"/>
    <w:rsid w:val="74DB73B4"/>
    <w:rsid w:val="74E74270"/>
    <w:rsid w:val="75E46013"/>
    <w:rsid w:val="760433EA"/>
    <w:rsid w:val="77465CA2"/>
    <w:rsid w:val="782F4940"/>
    <w:rsid w:val="78FDB3B4"/>
    <w:rsid w:val="79441797"/>
    <w:rsid w:val="7A83644C"/>
    <w:rsid w:val="7BBD6EB6"/>
    <w:rsid w:val="7BDF69C2"/>
    <w:rsid w:val="7C0C705E"/>
    <w:rsid w:val="7CE87B99"/>
    <w:rsid w:val="7D0D15B6"/>
    <w:rsid w:val="7D307013"/>
    <w:rsid w:val="7E450AB1"/>
    <w:rsid w:val="7EB789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semiHidden="0" w:name="heading 3"/>
    <w:lsdException w:qFormat="1" w:uiPriority="1" w:semiHidden="0" w:name="heading 4"/>
    <w:lsdException w:qFormat="1" w:unhideWhenUsed="0" w:uiPriority="1" w:semiHidden="0" w:name="heading 5"/>
    <w:lsdException w:qFormat="1" w:uiPriority="1"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1"/>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34"/>
    <w:unhideWhenUsed/>
    <w:qFormat/>
    <w:uiPriority w:val="0"/>
    <w:pPr>
      <w:keepNext/>
      <w:keepLines/>
      <w:numPr>
        <w:ilvl w:val="0"/>
        <w:numId w:val="2"/>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5"/>
    <w:unhideWhenUsed/>
    <w:qFormat/>
    <w:uiPriority w:val="0"/>
    <w:pPr>
      <w:keepNext/>
      <w:keepLines/>
      <w:spacing w:line="360" w:lineRule="auto"/>
      <w:jc w:val="center"/>
      <w:outlineLvl w:val="2"/>
    </w:pPr>
    <w:rPr>
      <w:b/>
      <w:bCs/>
      <w:sz w:val="24"/>
      <w:szCs w:val="32"/>
    </w:rPr>
  </w:style>
  <w:style w:type="paragraph" w:styleId="5">
    <w:name w:val="heading 4"/>
    <w:basedOn w:val="1"/>
    <w:next w:val="1"/>
    <w:link w:val="55"/>
    <w:unhideWhenUsed/>
    <w:qFormat/>
    <w:uiPriority w:val="1"/>
    <w:pPr>
      <w:keepNext/>
      <w:keepLines/>
      <w:numPr>
        <w:ilvl w:val="2"/>
        <w:numId w:val="3"/>
      </w:numPr>
      <w:adjustRightInd w:val="0"/>
      <w:snapToGrid w:val="0"/>
      <w:spacing w:line="360" w:lineRule="auto"/>
      <w:ind w:firstLine="200" w:firstLineChars="200"/>
      <w:outlineLvl w:val="3"/>
    </w:pPr>
    <w:rPr>
      <w:rFonts w:eastAsia="仿宋" w:asciiTheme="majorHAnsi" w:hAnsiTheme="majorHAnsi" w:cstheme="majorBidi"/>
      <w:bCs/>
      <w:sz w:val="24"/>
      <w:szCs w:val="28"/>
    </w:rPr>
  </w:style>
  <w:style w:type="paragraph" w:styleId="6">
    <w:name w:val="heading 5"/>
    <w:basedOn w:val="1"/>
    <w:next w:val="1"/>
    <w:link w:val="71"/>
    <w:qFormat/>
    <w:uiPriority w:val="1"/>
    <w:pPr>
      <w:autoSpaceDE w:val="0"/>
      <w:autoSpaceDN w:val="0"/>
      <w:adjustRightInd w:val="0"/>
      <w:ind w:left="835"/>
      <w:jc w:val="left"/>
      <w:outlineLvl w:val="4"/>
    </w:pPr>
    <w:rPr>
      <w:rFonts w:ascii="Adobe ｺﾚﾌ・Std R" w:eastAsia="Adobe ｺﾚﾌ・Std R" w:cs="Adobe ｺﾚﾌ・Std R"/>
      <w:kern w:val="0"/>
      <w:szCs w:val="21"/>
    </w:rPr>
  </w:style>
  <w:style w:type="paragraph" w:styleId="7">
    <w:name w:val="heading 6"/>
    <w:basedOn w:val="1"/>
    <w:next w:val="1"/>
    <w:link w:val="36"/>
    <w:unhideWhenUsed/>
    <w:qFormat/>
    <w:uiPriority w:val="1"/>
    <w:pPr>
      <w:keepNext/>
      <w:keepLines/>
      <w:spacing w:before="240" w:after="64" w:line="320" w:lineRule="auto"/>
      <w:outlineLvl w:val="5"/>
    </w:pPr>
    <w:rPr>
      <w:rFonts w:asciiTheme="majorHAnsi" w:hAnsiTheme="majorHAnsi" w:eastAsiaTheme="majorEastAsia" w:cstheme="majorBidi"/>
      <w:b/>
      <w:bCs/>
      <w:sz w:val="24"/>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9">
    <w:name w:val="Document Map"/>
    <w:basedOn w:val="1"/>
    <w:link w:val="52"/>
    <w:qFormat/>
    <w:uiPriority w:val="0"/>
    <w:rPr>
      <w:rFonts w:ascii="宋体"/>
      <w:sz w:val="18"/>
      <w:szCs w:val="18"/>
    </w:rPr>
  </w:style>
  <w:style w:type="paragraph" w:styleId="10">
    <w:name w:val="annotation text"/>
    <w:basedOn w:val="1"/>
    <w:link w:val="42"/>
    <w:qFormat/>
    <w:uiPriority w:val="0"/>
    <w:pPr>
      <w:jc w:val="left"/>
    </w:pPr>
  </w:style>
  <w:style w:type="paragraph" w:styleId="11">
    <w:name w:val="Body Text"/>
    <w:basedOn w:val="1"/>
    <w:link w:val="72"/>
    <w:qFormat/>
    <w:uiPriority w:val="1"/>
    <w:pPr>
      <w:autoSpaceDE w:val="0"/>
      <w:autoSpaceDN w:val="0"/>
      <w:adjustRightInd w:val="0"/>
      <w:ind w:left="102"/>
      <w:jc w:val="left"/>
    </w:pPr>
    <w:rPr>
      <w:rFonts w:ascii="Adobe ｺﾚﾌ・Std R" w:eastAsia="Adobe ｺﾚﾌ・Std R" w:cs="Adobe ｺﾚﾌ・Std R"/>
      <w:kern w:val="0"/>
      <w:sz w:val="20"/>
      <w:szCs w:val="20"/>
    </w:rPr>
  </w:style>
  <w:style w:type="paragraph" w:styleId="12">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3">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4">
    <w:name w:val="Plain Text"/>
    <w:basedOn w:val="1"/>
    <w:link w:val="70"/>
    <w:qFormat/>
    <w:uiPriority w:val="0"/>
    <w:rPr>
      <w:rFonts w:ascii="宋体" w:hAnsi="Courier New"/>
      <w:szCs w:val="20"/>
    </w:rPr>
  </w:style>
  <w:style w:type="paragraph" w:styleId="15">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6">
    <w:name w:val="Balloon Text"/>
    <w:basedOn w:val="1"/>
    <w:link w:val="45"/>
    <w:qFormat/>
    <w:uiPriority w:val="0"/>
    <w:rPr>
      <w:sz w:val="18"/>
      <w:szCs w:val="18"/>
    </w:rPr>
  </w:style>
  <w:style w:type="paragraph" w:styleId="17">
    <w:name w:val="footer"/>
    <w:basedOn w:val="1"/>
    <w:link w:val="47"/>
    <w:qFormat/>
    <w:uiPriority w:val="99"/>
    <w:pPr>
      <w:tabs>
        <w:tab w:val="center" w:pos="4153"/>
        <w:tab w:val="right" w:pos="8306"/>
      </w:tabs>
      <w:snapToGrid w:val="0"/>
      <w:jc w:val="left"/>
    </w:pPr>
    <w:rPr>
      <w:sz w:val="18"/>
      <w:szCs w:val="18"/>
    </w:rPr>
  </w:style>
  <w:style w:type="paragraph" w:styleId="18">
    <w:name w:val="header"/>
    <w:basedOn w:val="1"/>
    <w:link w:val="5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unhideWhenUsed/>
    <w:qFormat/>
    <w:uiPriority w:val="39"/>
    <w:pPr>
      <w:widowControl/>
      <w:spacing w:before="50" w:beforeLines="50" w:after="50" w:afterLines="50" w:line="276" w:lineRule="auto"/>
      <w:jc w:val="left"/>
    </w:pPr>
    <w:rPr>
      <w:rFonts w:eastAsia="黑体" w:asciiTheme="minorHAnsi" w:hAnsiTheme="minorHAnsi"/>
      <w:b/>
      <w:kern w:val="0"/>
      <w:sz w:val="20"/>
      <w:szCs w:val="22"/>
    </w:rPr>
  </w:style>
  <w:style w:type="paragraph" w:styleId="20">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1">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2">
    <w:name w:val="toc 2"/>
    <w:basedOn w:val="1"/>
    <w:next w:val="1"/>
    <w:unhideWhenUsed/>
    <w:qFormat/>
    <w:uiPriority w:val="39"/>
    <w:pPr>
      <w:spacing w:before="50" w:beforeLines="50" w:after="50" w:afterLines="50"/>
      <w:ind w:left="210" w:firstLine="100" w:firstLineChars="100"/>
      <w:jc w:val="left"/>
    </w:pPr>
    <w:rPr>
      <w:rFonts w:asciiTheme="minorHAnsi" w:hAnsiTheme="minorHAnsi" w:eastAsiaTheme="minorEastAsia"/>
      <w:smallCaps/>
      <w:kern w:val="0"/>
      <w:sz w:val="20"/>
      <w:szCs w:val="22"/>
    </w:rPr>
  </w:style>
  <w:style w:type="paragraph" w:styleId="23">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5">
    <w:name w:val="Title"/>
    <w:basedOn w:val="1"/>
    <w:next w:val="1"/>
    <w:link w:val="69"/>
    <w:qFormat/>
    <w:uiPriority w:val="0"/>
    <w:pPr>
      <w:spacing w:before="240" w:after="60"/>
      <w:jc w:val="center"/>
      <w:outlineLvl w:val="0"/>
    </w:pPr>
    <w:rPr>
      <w:rFonts w:asciiTheme="majorHAnsi" w:hAnsiTheme="majorHAnsi" w:eastAsiaTheme="majorEastAsia" w:cstheme="majorBidi"/>
      <w:b/>
      <w:bCs/>
      <w:sz w:val="32"/>
      <w:szCs w:val="32"/>
    </w:rPr>
  </w:style>
  <w:style w:type="paragraph" w:styleId="26">
    <w:name w:val="annotation subject"/>
    <w:basedOn w:val="10"/>
    <w:next w:val="10"/>
    <w:link w:val="43"/>
    <w:qFormat/>
    <w:uiPriority w:val="0"/>
    <w:rPr>
      <w:b/>
      <w:bCs/>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Hyperlink"/>
    <w:basedOn w:val="29"/>
    <w:unhideWhenUsed/>
    <w:qFormat/>
    <w:uiPriority w:val="99"/>
    <w:rPr>
      <w:color w:val="0563C1" w:themeColor="hyperlink"/>
      <w:u w:val="single"/>
      <w14:textFill>
        <w14:solidFill>
          <w14:schemeClr w14:val="hlink"/>
        </w14:solidFill>
      </w14:textFill>
    </w:rPr>
  </w:style>
  <w:style w:type="character" w:styleId="32">
    <w:name w:val="annotation reference"/>
    <w:basedOn w:val="29"/>
    <w:qFormat/>
    <w:uiPriority w:val="0"/>
    <w:rPr>
      <w:sz w:val="21"/>
      <w:szCs w:val="21"/>
    </w:rPr>
  </w:style>
  <w:style w:type="character" w:customStyle="1" w:styleId="33">
    <w:name w:val="标题 1 Char"/>
    <w:basedOn w:val="29"/>
    <w:link w:val="2"/>
    <w:qFormat/>
    <w:uiPriority w:val="1"/>
    <w:rPr>
      <w:b/>
      <w:bCs/>
      <w:kern w:val="44"/>
      <w:sz w:val="44"/>
      <w:szCs w:val="44"/>
    </w:rPr>
  </w:style>
  <w:style w:type="character" w:customStyle="1" w:styleId="34">
    <w:name w:val="标题 2 Char"/>
    <w:basedOn w:val="29"/>
    <w:link w:val="3"/>
    <w:qFormat/>
    <w:uiPriority w:val="0"/>
    <w:rPr>
      <w:rFonts w:asciiTheme="majorHAnsi" w:hAnsiTheme="majorHAnsi" w:eastAsiaTheme="majorEastAsia" w:cstheme="majorBidi"/>
      <w:b/>
      <w:bCs/>
      <w:kern w:val="2"/>
      <w:sz w:val="32"/>
      <w:szCs w:val="32"/>
    </w:rPr>
  </w:style>
  <w:style w:type="character" w:customStyle="1" w:styleId="35">
    <w:name w:val="标题 3 Char"/>
    <w:basedOn w:val="29"/>
    <w:link w:val="4"/>
    <w:qFormat/>
    <w:uiPriority w:val="0"/>
    <w:rPr>
      <w:b/>
      <w:bCs/>
      <w:kern w:val="2"/>
      <w:sz w:val="24"/>
      <w:szCs w:val="32"/>
    </w:rPr>
  </w:style>
  <w:style w:type="character" w:customStyle="1" w:styleId="36">
    <w:name w:val="标题 6 Char"/>
    <w:basedOn w:val="29"/>
    <w:link w:val="7"/>
    <w:qFormat/>
    <w:uiPriority w:val="1"/>
    <w:rPr>
      <w:rFonts w:asciiTheme="majorHAnsi" w:hAnsiTheme="majorHAnsi" w:eastAsiaTheme="majorEastAsia" w:cstheme="majorBidi"/>
      <w:b/>
      <w:bCs/>
      <w:kern w:val="2"/>
      <w:sz w:val="24"/>
      <w:szCs w:val="24"/>
    </w:rPr>
  </w:style>
  <w:style w:type="paragraph" w:customStyle="1" w:styleId="37">
    <w:name w:val="Body text|2"/>
    <w:basedOn w:val="1"/>
    <w:qFormat/>
    <w:uiPriority w:val="0"/>
    <w:pPr>
      <w:spacing w:line="310" w:lineRule="exact"/>
      <w:ind w:left="760"/>
    </w:pPr>
    <w:rPr>
      <w:sz w:val="18"/>
      <w:szCs w:val="18"/>
      <w:lang w:val="zh-TW" w:eastAsia="zh-TW" w:bidi="zh-TW"/>
    </w:rPr>
  </w:style>
  <w:style w:type="paragraph" w:customStyle="1" w:styleId="38">
    <w:name w:val="Body text|1"/>
    <w:basedOn w:val="1"/>
    <w:link w:val="39"/>
    <w:qFormat/>
    <w:uiPriority w:val="0"/>
    <w:pPr>
      <w:spacing w:line="350" w:lineRule="auto"/>
      <w:ind w:firstLine="400"/>
    </w:pPr>
    <w:rPr>
      <w:rFonts w:ascii="宋体" w:hAnsi="宋体" w:cs="宋体"/>
      <w:sz w:val="19"/>
      <w:szCs w:val="19"/>
      <w:lang w:val="zh-TW" w:eastAsia="zh-TW" w:bidi="zh-TW"/>
    </w:rPr>
  </w:style>
  <w:style w:type="character" w:customStyle="1" w:styleId="39">
    <w:name w:val="Body text|1_"/>
    <w:basedOn w:val="29"/>
    <w:link w:val="38"/>
    <w:qFormat/>
    <w:uiPriority w:val="0"/>
    <w:rPr>
      <w:rFonts w:ascii="宋体" w:hAnsi="宋体" w:eastAsia="宋体" w:cs="宋体"/>
      <w:sz w:val="19"/>
      <w:szCs w:val="19"/>
      <w:lang w:val="zh-TW" w:eastAsia="zh-TW" w:bidi="zh-TW"/>
    </w:rPr>
  </w:style>
  <w:style w:type="paragraph" w:customStyle="1" w:styleId="40">
    <w:name w:val="Header or footer|1"/>
    <w:basedOn w:val="1"/>
    <w:qFormat/>
    <w:uiPriority w:val="0"/>
    <w:rPr>
      <w:sz w:val="18"/>
      <w:szCs w:val="18"/>
      <w:lang w:val="zh-TW" w:eastAsia="zh-TW" w:bidi="zh-TW"/>
    </w:rPr>
  </w:style>
  <w:style w:type="paragraph" w:styleId="41">
    <w:name w:val="List Paragraph"/>
    <w:basedOn w:val="1"/>
    <w:qFormat/>
    <w:uiPriority w:val="99"/>
    <w:pPr>
      <w:ind w:firstLine="420" w:firstLineChars="200"/>
    </w:pPr>
  </w:style>
  <w:style w:type="character" w:customStyle="1" w:styleId="42">
    <w:name w:val="批注文字 Char"/>
    <w:basedOn w:val="29"/>
    <w:link w:val="10"/>
    <w:qFormat/>
    <w:uiPriority w:val="0"/>
    <w:rPr>
      <w:kern w:val="2"/>
      <w:sz w:val="21"/>
      <w:szCs w:val="24"/>
    </w:rPr>
  </w:style>
  <w:style w:type="character" w:customStyle="1" w:styleId="43">
    <w:name w:val="批注主题 Char"/>
    <w:basedOn w:val="42"/>
    <w:link w:val="26"/>
    <w:qFormat/>
    <w:uiPriority w:val="0"/>
    <w:rPr>
      <w:b/>
      <w:bCs/>
      <w:kern w:val="2"/>
      <w:sz w:val="21"/>
      <w:szCs w:val="24"/>
    </w:rPr>
  </w:style>
  <w:style w:type="paragraph" w:customStyle="1" w:styleId="4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5">
    <w:name w:val="批注框文本 Char"/>
    <w:basedOn w:val="29"/>
    <w:link w:val="16"/>
    <w:qFormat/>
    <w:uiPriority w:val="0"/>
    <w:rPr>
      <w:kern w:val="2"/>
      <w:sz w:val="18"/>
      <w:szCs w:val="18"/>
    </w:rPr>
  </w:style>
  <w:style w:type="paragraph" w:customStyle="1" w:styleId="4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47">
    <w:name w:val="页脚 Char"/>
    <w:basedOn w:val="29"/>
    <w:link w:val="17"/>
    <w:qFormat/>
    <w:uiPriority w:val="99"/>
    <w:rPr>
      <w:kern w:val="2"/>
      <w:sz w:val="18"/>
      <w:szCs w:val="18"/>
    </w:rPr>
  </w:style>
  <w:style w:type="character" w:customStyle="1" w:styleId="48">
    <w:name w:val="Body text|4_"/>
    <w:basedOn w:val="29"/>
    <w:link w:val="49"/>
    <w:qFormat/>
    <w:uiPriority w:val="0"/>
    <w:rPr>
      <w:sz w:val="28"/>
      <w:szCs w:val="28"/>
    </w:rPr>
  </w:style>
  <w:style w:type="paragraph" w:customStyle="1" w:styleId="49">
    <w:name w:val="Body text|4"/>
    <w:basedOn w:val="1"/>
    <w:link w:val="48"/>
    <w:qFormat/>
    <w:uiPriority w:val="0"/>
    <w:pPr>
      <w:jc w:val="left"/>
    </w:pPr>
    <w:rPr>
      <w:kern w:val="0"/>
      <w:sz w:val="28"/>
      <w:szCs w:val="28"/>
    </w:rPr>
  </w:style>
  <w:style w:type="character" w:customStyle="1" w:styleId="50">
    <w:name w:val="Heading #1|1_"/>
    <w:basedOn w:val="29"/>
    <w:link w:val="51"/>
    <w:qFormat/>
    <w:uiPriority w:val="0"/>
    <w:rPr>
      <w:rFonts w:ascii="宋体" w:hAnsi="宋体" w:cs="宋体"/>
      <w:sz w:val="42"/>
      <w:szCs w:val="42"/>
      <w:lang w:val="zh-TW" w:eastAsia="zh-TW" w:bidi="zh-TW"/>
    </w:rPr>
  </w:style>
  <w:style w:type="paragraph" w:customStyle="1" w:styleId="51">
    <w:name w:val="Heading #1|1"/>
    <w:basedOn w:val="1"/>
    <w:link w:val="50"/>
    <w:qFormat/>
    <w:uiPriority w:val="0"/>
    <w:pPr>
      <w:spacing w:after="220"/>
      <w:jc w:val="center"/>
      <w:outlineLvl w:val="0"/>
    </w:pPr>
    <w:rPr>
      <w:rFonts w:ascii="宋体" w:hAnsi="宋体" w:cs="宋体"/>
      <w:kern w:val="0"/>
      <w:sz w:val="42"/>
      <w:szCs w:val="42"/>
      <w:lang w:val="zh-TW" w:eastAsia="zh-TW" w:bidi="zh-TW"/>
    </w:rPr>
  </w:style>
  <w:style w:type="character" w:customStyle="1" w:styleId="52">
    <w:name w:val="文档结构图 Char"/>
    <w:basedOn w:val="29"/>
    <w:link w:val="9"/>
    <w:qFormat/>
    <w:uiPriority w:val="0"/>
    <w:rPr>
      <w:rFonts w:ascii="宋体"/>
      <w:kern w:val="2"/>
      <w:sz w:val="18"/>
      <w:szCs w:val="18"/>
    </w:rPr>
  </w:style>
  <w:style w:type="paragraph" w:customStyle="1" w:styleId="53">
    <w:name w:val="paragraph"/>
    <w:basedOn w:val="1"/>
    <w:semiHidden/>
    <w:qFormat/>
    <w:uiPriority w:val="0"/>
    <w:pPr>
      <w:widowControl/>
      <w:spacing w:before="100" w:beforeAutospacing="1" w:after="100" w:afterAutospacing="1"/>
      <w:jc w:val="left"/>
    </w:pPr>
    <w:rPr>
      <w:rFonts w:ascii="等线" w:hAnsi="等线" w:eastAsia="等线"/>
      <w:kern w:val="0"/>
      <w:sz w:val="24"/>
    </w:rPr>
  </w:style>
  <w:style w:type="character" w:styleId="54">
    <w:name w:val="Placeholder Text"/>
    <w:basedOn w:val="29"/>
    <w:semiHidden/>
    <w:qFormat/>
    <w:uiPriority w:val="99"/>
    <w:rPr>
      <w:color w:val="808080"/>
    </w:rPr>
  </w:style>
  <w:style w:type="character" w:customStyle="1" w:styleId="55">
    <w:name w:val="标题 4 Char"/>
    <w:basedOn w:val="29"/>
    <w:link w:val="5"/>
    <w:qFormat/>
    <w:uiPriority w:val="1"/>
    <w:rPr>
      <w:rFonts w:eastAsia="仿宋" w:asciiTheme="majorHAnsi" w:hAnsiTheme="majorHAnsi" w:cstheme="majorBidi"/>
      <w:bCs/>
      <w:kern w:val="2"/>
      <w:sz w:val="24"/>
      <w:szCs w:val="28"/>
    </w:rPr>
  </w:style>
  <w:style w:type="paragraph" w:customStyle="1" w:styleId="56">
    <w:name w:val="fw2"/>
    <w:basedOn w:val="1"/>
    <w:qFormat/>
    <w:uiPriority w:val="0"/>
    <w:pPr>
      <w:widowControl/>
      <w:spacing w:before="100" w:beforeAutospacing="1" w:after="100" w:afterAutospacing="1"/>
      <w:jc w:val="left"/>
    </w:pPr>
    <w:rPr>
      <w:rFonts w:ascii="宋体" w:hAnsi="宋体" w:cs="宋体"/>
      <w:kern w:val="0"/>
      <w:sz w:val="24"/>
    </w:rPr>
  </w:style>
  <w:style w:type="character" w:customStyle="1" w:styleId="57">
    <w:name w:val="页眉 Char"/>
    <w:basedOn w:val="29"/>
    <w:link w:val="18"/>
    <w:qFormat/>
    <w:uiPriority w:val="99"/>
    <w:rPr>
      <w:kern w:val="2"/>
      <w:sz w:val="18"/>
      <w:szCs w:val="24"/>
    </w:rPr>
  </w:style>
  <w:style w:type="paragraph" w:styleId="5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59">
    <w:name w:val="正文文本 (3)_"/>
    <w:basedOn w:val="29"/>
    <w:link w:val="60"/>
    <w:qFormat/>
    <w:uiPriority w:val="0"/>
    <w:rPr>
      <w:rFonts w:ascii="宋体" w:hAnsi="宋体" w:cs="宋体"/>
      <w:sz w:val="26"/>
      <w:szCs w:val="26"/>
    </w:rPr>
  </w:style>
  <w:style w:type="paragraph" w:customStyle="1" w:styleId="60">
    <w:name w:val="正文文本 (3)"/>
    <w:basedOn w:val="1"/>
    <w:link w:val="59"/>
    <w:qFormat/>
    <w:uiPriority w:val="0"/>
    <w:pPr>
      <w:spacing w:after="420" w:line="250" w:lineRule="auto"/>
      <w:jc w:val="center"/>
    </w:pPr>
    <w:rPr>
      <w:rFonts w:ascii="宋体" w:hAnsi="宋体" w:cs="宋体"/>
      <w:kern w:val="0"/>
      <w:sz w:val="26"/>
      <w:szCs w:val="26"/>
    </w:rPr>
  </w:style>
  <w:style w:type="character" w:customStyle="1" w:styleId="61">
    <w:name w:val="表格标题_"/>
    <w:basedOn w:val="29"/>
    <w:link w:val="62"/>
    <w:qFormat/>
    <w:uiPriority w:val="0"/>
    <w:rPr>
      <w:rFonts w:ascii="MS Gothic" w:hAnsi="MS Gothic" w:eastAsia="MS Gothic" w:cs="MS Gothic"/>
      <w:sz w:val="17"/>
      <w:szCs w:val="17"/>
    </w:rPr>
  </w:style>
  <w:style w:type="paragraph" w:customStyle="1" w:styleId="62">
    <w:name w:val="表格标题"/>
    <w:basedOn w:val="1"/>
    <w:link w:val="61"/>
    <w:qFormat/>
    <w:uiPriority w:val="0"/>
    <w:pPr>
      <w:jc w:val="left"/>
    </w:pPr>
    <w:rPr>
      <w:rFonts w:ascii="MS Gothic" w:hAnsi="MS Gothic" w:eastAsia="MS Gothic" w:cs="MS Gothic"/>
      <w:kern w:val="0"/>
      <w:sz w:val="17"/>
      <w:szCs w:val="17"/>
    </w:rPr>
  </w:style>
  <w:style w:type="character" w:customStyle="1" w:styleId="63">
    <w:name w:val="其他_"/>
    <w:basedOn w:val="29"/>
    <w:link w:val="64"/>
    <w:qFormat/>
    <w:uiPriority w:val="0"/>
    <w:rPr>
      <w:rFonts w:ascii="宋体" w:hAnsi="宋体" w:cs="宋体"/>
    </w:rPr>
  </w:style>
  <w:style w:type="paragraph" w:customStyle="1" w:styleId="64">
    <w:name w:val="其他"/>
    <w:basedOn w:val="1"/>
    <w:link w:val="63"/>
    <w:qFormat/>
    <w:uiPriority w:val="0"/>
    <w:pPr>
      <w:spacing w:line="338" w:lineRule="auto"/>
      <w:ind w:firstLine="400"/>
      <w:jc w:val="left"/>
    </w:pPr>
    <w:rPr>
      <w:rFonts w:ascii="宋体" w:hAnsi="宋体" w:cs="宋体"/>
      <w:kern w:val="0"/>
      <w:sz w:val="20"/>
      <w:szCs w:val="20"/>
    </w:rPr>
  </w:style>
  <w:style w:type="character" w:customStyle="1" w:styleId="65">
    <w:name w:val="页眉或页脚_"/>
    <w:basedOn w:val="29"/>
    <w:link w:val="66"/>
    <w:qFormat/>
    <w:uiPriority w:val="0"/>
    <w:rPr>
      <w:rFonts w:eastAsia="Times New Roman"/>
    </w:rPr>
  </w:style>
  <w:style w:type="paragraph" w:customStyle="1" w:styleId="66">
    <w:name w:val="页眉或页脚"/>
    <w:basedOn w:val="1"/>
    <w:link w:val="65"/>
    <w:qFormat/>
    <w:uiPriority w:val="0"/>
    <w:pPr>
      <w:jc w:val="left"/>
    </w:pPr>
    <w:rPr>
      <w:rFonts w:eastAsia="Times New Roman"/>
      <w:kern w:val="0"/>
      <w:sz w:val="20"/>
      <w:szCs w:val="20"/>
    </w:rPr>
  </w:style>
  <w:style w:type="paragraph" w:customStyle="1" w:styleId="67">
    <w:name w:val="修订11"/>
    <w:hidden/>
    <w:semiHidden/>
    <w:qFormat/>
    <w:uiPriority w:val="99"/>
    <w:rPr>
      <w:rFonts w:ascii="Times New Roman" w:hAnsi="Times New Roman" w:eastAsia="宋体" w:cs="Times New Roman"/>
      <w:kern w:val="2"/>
      <w:sz w:val="21"/>
      <w:szCs w:val="24"/>
      <w:lang w:val="en-US" w:eastAsia="zh-CN" w:bidi="ar-SA"/>
    </w:rPr>
  </w:style>
  <w:style w:type="paragraph" w:customStyle="1" w:styleId="68">
    <w:name w:val="TOC 标题1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69">
    <w:name w:val="标题 Char"/>
    <w:basedOn w:val="29"/>
    <w:link w:val="25"/>
    <w:qFormat/>
    <w:uiPriority w:val="0"/>
    <w:rPr>
      <w:rFonts w:asciiTheme="majorHAnsi" w:hAnsiTheme="majorHAnsi" w:eastAsiaTheme="majorEastAsia" w:cstheme="majorBidi"/>
      <w:b/>
      <w:bCs/>
      <w:kern w:val="2"/>
      <w:sz w:val="32"/>
      <w:szCs w:val="32"/>
    </w:rPr>
  </w:style>
  <w:style w:type="character" w:customStyle="1" w:styleId="70">
    <w:name w:val="纯文本 Char"/>
    <w:basedOn w:val="29"/>
    <w:link w:val="14"/>
    <w:qFormat/>
    <w:uiPriority w:val="0"/>
    <w:rPr>
      <w:rFonts w:ascii="宋体" w:hAnsi="Courier New"/>
      <w:kern w:val="2"/>
      <w:sz w:val="21"/>
    </w:rPr>
  </w:style>
  <w:style w:type="character" w:customStyle="1" w:styleId="71">
    <w:name w:val="标题 5 Char"/>
    <w:basedOn w:val="29"/>
    <w:link w:val="6"/>
    <w:qFormat/>
    <w:uiPriority w:val="1"/>
    <w:rPr>
      <w:rFonts w:ascii="Adobe ｺﾚﾌ・Std R" w:eastAsia="Adobe ｺﾚﾌ・Std R" w:cs="Adobe ｺﾚﾌ・Std R"/>
      <w:sz w:val="21"/>
      <w:szCs w:val="21"/>
    </w:rPr>
  </w:style>
  <w:style w:type="character" w:customStyle="1" w:styleId="72">
    <w:name w:val="正文文本 Char"/>
    <w:basedOn w:val="29"/>
    <w:link w:val="11"/>
    <w:qFormat/>
    <w:uiPriority w:val="1"/>
    <w:rPr>
      <w:rFonts w:ascii="Adobe ｺﾚﾌ・Std R" w:eastAsia="Adobe ｺﾚﾌ・Std R" w:cs="Adobe ｺﾚﾌ・Std R"/>
    </w:rPr>
  </w:style>
  <w:style w:type="paragraph" w:customStyle="1" w:styleId="73">
    <w:name w:val="Table Paragraph"/>
    <w:basedOn w:val="1"/>
    <w:qFormat/>
    <w:uiPriority w:val="1"/>
    <w:pPr>
      <w:autoSpaceDE w:val="0"/>
      <w:autoSpaceDN w:val="0"/>
      <w:adjustRightInd w:val="0"/>
      <w:jc w:val="left"/>
    </w:pPr>
    <w:rPr>
      <w:rFonts w:eastAsiaTheme="minorEastAsia"/>
      <w:kern w:val="0"/>
      <w:sz w:val="24"/>
    </w:rPr>
  </w:style>
  <w:style w:type="character" w:customStyle="1" w:styleId="74">
    <w:name w:val="wd-highlight_3dwty"/>
    <w:basedOn w:val="29"/>
    <w:qFormat/>
    <w:uiPriority w:val="0"/>
  </w:style>
  <w:style w:type="paragraph" w:customStyle="1" w:styleId="75">
    <w:name w:val="TOC 标题2"/>
    <w:basedOn w:val="2"/>
    <w:next w:val="1"/>
    <w:unhideWhenUsed/>
    <w:qFormat/>
    <w:uiPriority w:val="39"/>
    <w:pPr>
      <w:widowControl/>
      <w:numPr>
        <w:numId w:val="0"/>
      </w:numPr>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76">
    <w:name w:val="一级条标题"/>
    <w:next w:val="1"/>
    <w:qFormat/>
    <w:uiPriority w:val="0"/>
    <w:pPr>
      <w:outlineLvl w:val="2"/>
    </w:pPr>
    <w:rPr>
      <w:rFonts w:ascii="Times New Roman" w:hAnsi="Times New Roman" w:eastAsia="黑体" w:cs="Times New Roman"/>
      <w:sz w:val="21"/>
      <w:lang w:val="en-US" w:eastAsia="zh-CN" w:bidi="ar-SA"/>
    </w:rPr>
  </w:style>
  <w:style w:type="character" w:customStyle="1" w:styleId="77">
    <w:name w:val="章 Char"/>
    <w:link w:val="78"/>
    <w:qFormat/>
    <w:uiPriority w:val="0"/>
    <w:rPr>
      <w:b/>
      <w:bCs/>
      <w:sz w:val="28"/>
      <w:szCs w:val="28"/>
    </w:rPr>
  </w:style>
  <w:style w:type="paragraph" w:customStyle="1" w:styleId="78">
    <w:name w:val="章"/>
    <w:basedOn w:val="1"/>
    <w:link w:val="77"/>
    <w:qFormat/>
    <w:uiPriority w:val="0"/>
    <w:pPr>
      <w:adjustRightInd w:val="0"/>
      <w:snapToGrid w:val="0"/>
      <w:spacing w:beforeLines="100" w:after="200" w:afterLines="100" w:line="300" w:lineRule="auto"/>
      <w:ind w:firstLine="200" w:firstLineChars="200"/>
      <w:jc w:val="center"/>
      <w:outlineLvl w:val="0"/>
    </w:pPr>
    <w:rPr>
      <w:b/>
      <w:bCs/>
      <w:kern w:val="0"/>
      <w:sz w:val="28"/>
      <w:szCs w:val="28"/>
    </w:rPr>
  </w:style>
  <w:style w:type="table" w:customStyle="1" w:styleId="79">
    <w:name w:val="Table Normal"/>
    <w:semiHidden/>
    <w:unhideWhenUsed/>
    <w:qFormat/>
    <w:uiPriority w:val="0"/>
    <w:rPr>
      <w:rFonts w:asciiTheme="minorHAnsi" w:hAnsiTheme="minorHAnsi" w:eastAsiaTheme="minorEastAsia" w:cstheme="minorBidi"/>
    </w:rPr>
    <w:tblPr>
      <w:tblCellMar>
        <w:top w:w="0" w:type="dxa"/>
        <w:left w:w="0" w:type="dxa"/>
        <w:bottom w:w="0" w:type="dxa"/>
        <w:right w:w="0" w:type="dxa"/>
      </w:tblCellMar>
    </w:tblPr>
  </w:style>
  <w:style w:type="paragraph" w:customStyle="1" w:styleId="80">
    <w:name w:val="前言、引言标题"/>
    <w:next w:val="1"/>
    <w:qFormat/>
    <w:uiPriority w:val="0"/>
    <w:pPr>
      <w:shd w:val="clear" w:color="FFFFFF" w:fill="FFFFFF"/>
      <w:jc w:val="center"/>
      <w:outlineLvl w:val="0"/>
    </w:pPr>
    <w:rPr>
      <w:rFonts w:ascii="黑体" w:hAnsi="Times New Roman" w:eastAsia="黑体" w:cs="Times New Roman"/>
      <w:sz w:val="32"/>
      <w:lang w:val="en-US" w:eastAsia="zh-CN" w:bidi="ar-SA"/>
    </w:rPr>
  </w:style>
  <w:style w:type="paragraph" w:customStyle="1" w:styleId="81">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7.e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145</Pages>
  <Words>17932</Words>
  <Characters>102215</Characters>
  <Lines>851</Lines>
  <Paragraphs>239</Paragraphs>
  <TotalTime>2</TotalTime>
  <ScaleCrop>false</ScaleCrop>
  <LinksUpToDate>false</LinksUpToDate>
  <CharactersWithSpaces>119908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2023-06-30T09:21:00Z</dcterms:created>
  <dc:creator>Administrator</dc:creator>
  <cp:lastModifiedBy>吴大伟</cp:lastModifiedBy>
  <cp:lastPrinted>2023-07-10T14:02:01Z</cp:lastPrinted>
  <dcterms:modified xsi:type="dcterms:W3CDTF">2023-07-10T14:16:32Z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B9D6F298A124473EACE84C6602EEC2FF_13</vt:lpwstr>
  </property>
</Properties>
</file>