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0935" w14:textId="77777777" w:rsidR="00425BB6" w:rsidRDefault="00000000">
      <w:pPr>
        <w:spacing w:line="58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</w:pP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支持建筑企业</w:t>
      </w: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44"/>
          <w:szCs w:val="44"/>
          <w:lang w:val="zh-CN" w:bidi="ar"/>
        </w:rPr>
        <w:t>培育</w:t>
      </w: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发展</w:t>
      </w: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“</w:t>
      </w: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城市合伙人</w:t>
      </w: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”</w:t>
      </w:r>
      <w:r>
        <w:rPr>
          <w:rFonts w:ascii="Times New Roman" w:eastAsia="方正小标宋简体" w:hAnsi="Times New Roman" w:cs="Times New Roman"/>
          <w:color w:val="000000" w:themeColor="text1"/>
          <w:kern w:val="0"/>
          <w:sz w:val="44"/>
          <w:szCs w:val="44"/>
          <w:lang w:val="zh-CN" w:bidi="ar"/>
        </w:rPr>
        <w:t>行动方案</w:t>
      </w:r>
    </w:p>
    <w:p w14:paraId="611C37CE" w14:textId="77777777" w:rsidR="00425BB6" w:rsidRDefault="00425BB6">
      <w:pPr>
        <w:spacing w:line="580" w:lineRule="exact"/>
        <w:jc w:val="center"/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6"/>
          <w:szCs w:val="36"/>
          <w:lang w:val="zh-CN" w:bidi="ar"/>
        </w:rPr>
      </w:pPr>
    </w:p>
    <w:p w14:paraId="1295B5ED" w14:textId="77777777" w:rsidR="00425BB6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为深入贯彻落实党中央、国务院关于推动城市高质量发展、城市更新、建筑业提质升级系列决策部署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val="zh-CN" w:bidi="ar"/>
        </w:rPr>
        <w:t>，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落实《四川省人民政府关于推动城市高质量发展的实施意见》（川府发〔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2026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〕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号），推动建筑业与城市高质量发展深度融合，健全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政府统筹、市场运作、多方参与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的发展机制，引导建筑企业组织模式向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转型，构建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策、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规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、投、建、营、治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一体化的城市建设运营新生态，提升城市建设品质与治理效能，特制定本行动方案。</w:t>
      </w:r>
    </w:p>
    <w:p w14:paraId="147101A5" w14:textId="77777777" w:rsidR="00425BB6" w:rsidRDefault="00000000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  <w:t>总体要求</w:t>
      </w:r>
    </w:p>
    <w:p w14:paraId="4E58C16D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（一）基本内涵</w:t>
      </w:r>
    </w:p>
    <w:p w14:paraId="3E014C10" w14:textId="77777777" w:rsidR="00425BB6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是指具备策划、规划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投资、建设、运营、治理等综合能力的独立企业或联合体，与地方政府以股权合作、长期协议等方式建立风险共担、利益共享的组织模式。其核心是更加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注重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策划和运营，让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骨干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建筑企业从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工程项目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承建商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转型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为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城市建设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共创者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。</w:t>
      </w:r>
    </w:p>
    <w:p w14:paraId="52CFD701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（二）基本原则</w:t>
      </w:r>
    </w:p>
    <w:p w14:paraId="0A782F5D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有效市场，有为政府。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发挥企业市场主体作用，依托全产业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链优势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自主参与合作创新；强化政府顶层设计与监管服务，明确合作规则与边界。</w:t>
      </w:r>
    </w:p>
    <w:p w14:paraId="3FBDA8C6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lastRenderedPageBreak/>
        <w:t>创新驱动，赋能发展。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创新合作模式、交易架构与运营机制，推动技术、管理、服务升级，提升企业全生命周期服务能力，契合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新城建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发展导向。</w:t>
      </w:r>
    </w:p>
    <w:p w14:paraId="6A00914A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试点先行，逐步推广。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优先在成都、绵阳、德阳、宜宾等建筑业基础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较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好的市（州）选取重点片区开展试点，总结可复制经验逐步推广。</w:t>
      </w:r>
    </w:p>
    <w:p w14:paraId="32D2AA29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价值共生，互利共赢。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立足城市长远发展，推动政企在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策、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规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、投、建、营、治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全环节深度协同，实现政企价值共生、多方互利共赢的局面。</w:t>
      </w:r>
    </w:p>
    <w:p w14:paraId="56D6BE69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（三）发展目标</w:t>
      </w:r>
    </w:p>
    <w:p w14:paraId="0753A1FB" w14:textId="77777777" w:rsidR="00425BB6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到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2027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年，在全省培育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5-8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家具备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实施能力的骨干建筑企业，形成一批可复制、可推广的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价值共生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示范项目。</w:t>
      </w:r>
    </w:p>
    <w:p w14:paraId="2E79D9E0" w14:textId="77777777" w:rsidR="00425BB6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到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2030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年，培育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15-20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家具备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实施能力的骨干建筑企业，打造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5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个区域知名标杆项目，建成全国领先的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产业生态，构建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策、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规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、投、建、营、治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全链条服务体系，形成政企协同、协作共赢的产业发展格局。</w:t>
      </w:r>
    </w:p>
    <w:p w14:paraId="13A828FD" w14:textId="77777777" w:rsidR="00425BB6" w:rsidRDefault="00000000">
      <w:pPr>
        <w:spacing w:line="58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  <w:t>二、重点任务</w:t>
      </w:r>
    </w:p>
    <w:p w14:paraId="353937BF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（一）培育市场主体，搭建示范项目载体</w:t>
      </w:r>
    </w:p>
    <w:p w14:paraId="6F1C58F3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lastRenderedPageBreak/>
        <w:t>1.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市场主体培育。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实施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骨干企业培育计划，培育一批擅长片区策划、存量资产盘活、产业园区运营等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企业。对具备核心竞争力的综合性企业纳入省级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企业清单重点培育扶持。支持各市（州）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引育发展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属地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企业。支持民营建筑企业参与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，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鼓励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央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国企与民企组建联合体，聚焦智慧市政、海绵城市、城市生命线等项目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。</w:t>
      </w:r>
    </w:p>
    <w:p w14:paraId="2D8D55D1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2.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试点示范引领。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建立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示范项目库，聚焦城市更新、片区开发、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TOD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开发、园区开发、存量盘活等领域，优先选取全产业链协同、社会效益显著的项目入库，实行动态跟踪管理。鼓励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企业参与老旧小区、老旧厂区、闲置楼宇等存量资产盘活项目以及城市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精修细补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、城市绿道等民生项目。</w:t>
      </w:r>
    </w:p>
    <w:p w14:paraId="2222105D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（二）聚焦全产业链，提升企业综合能力</w:t>
      </w:r>
    </w:p>
    <w:p w14:paraId="0FDA86AC" w14:textId="77777777" w:rsidR="00425BB6" w:rsidRDefault="00000000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1.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优化产业链整合能力。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充分发挥龙头企业资源整合能力，串联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策、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规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、投、建、营、治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等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上下游资源，实现各环节统筹协同，打造全产业链一体化服务能力。依托智能建造、绿色建造省级试点政策，推动建筑信息模型（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BIM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）、城市信息模型（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CIM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）、物联网、建筑机器人、智能建造装备等新技术、新产品在项目全生命周期深度融合应用，提升项目策划、设计、建设、运营等数字化水平。</w:t>
      </w:r>
    </w:p>
    <w:p w14:paraId="4D6D2184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lastRenderedPageBreak/>
        <w:t>2.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强化策划与规划能力。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支持企业通过组建、并购等方式，充实城市规划、城市体检、产业策划、项目咨询等专业力量，配合项目属地政府共同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研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判片区发展需求、功能定位及产业布局，联合制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定产业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招商、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产城融合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整体策划方案，从源头参与项目谋划。科学编制项目策划与规划方案，系统分析现状基础及存量、增量资源，综合评估区域发展潜力，明确发展目标，细化城市设计。探索推行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产业导入前置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模式，在策划、规划阶段同步嵌入资金自平衡方案，将产业招商、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运营成效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作为项目合作前置条件，实现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先引产后建设、以运营定方案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的良性发展格局。</w:t>
      </w:r>
    </w:p>
    <w:p w14:paraId="6EABA529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3.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夯实投融资运作能力。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对接金融机构聚焦中央预算内投资、超长期特别国债、地方政府专项债等支持的项目，加大配套融资支持力度。积极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搭建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投融资对接机制，定期组织银企对接，打通企业、项目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、金融机构之间的信息壁垒。协调金融机构创新推出信用贷、项目贷、无还本续贷等适配性金融产品，依托市场化机制压降企业综合融资成本。</w:t>
      </w:r>
    </w:p>
    <w:p w14:paraId="49EBF86D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  <w:t>4.</w:t>
      </w:r>
      <w:r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  <w:t>锻造科研与创新能力。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支持企业持续加大研发投入，联合高等院校、科研院所，聚焦智能建造、绿色低碳、城市更新等领域开展核心技术攻关，布局重点实验室、工程技术研究中心等创新平台。对科技创新成效显著的企业，在项目遴选、配套政策等方面予以支持。</w:t>
      </w:r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加快绿色建造技术研发与规模化应用，鼓励在</w:t>
      </w:r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项目积极</w:t>
      </w:r>
      <w:proofErr w:type="gramStart"/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开展零碳建筑</w:t>
      </w:r>
      <w:proofErr w:type="gramEnd"/>
      <w:r>
        <w:rPr>
          <w:rFonts w:ascii="Times New Roman" w:eastAsia="仿宋" w:hAnsi="Times New Roman" w:cs="Times New Roman"/>
          <w:color w:val="000000" w:themeColor="text1"/>
          <w:spacing w:val="-6"/>
          <w:kern w:val="0"/>
          <w:sz w:val="32"/>
          <w:szCs w:val="32"/>
          <w:lang w:bidi="ar"/>
        </w:rPr>
        <w:t>、低碳社区试点示范。</w:t>
      </w:r>
    </w:p>
    <w:p w14:paraId="7CA6420A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lastRenderedPageBreak/>
        <w:t>5.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提升运营与治理能力。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支持企业组建产业招商、商业运营、城市服务、物业管理等专业团队，承接市政养护、公园运营、智慧停车、公共物业等城市大管家业务。支持企业搭建项目专项治理平台，开展居民诉求协调、公共空间运维、多元共治等服务。鼓励建立政企结对机制，开展城市更新、片区开发等项目治理服务指导，提升企业基层服务治理能力。</w:t>
      </w:r>
    </w:p>
    <w:p w14:paraId="11406EAD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（三）聚焦重点领域，精准激活产业要素</w:t>
      </w:r>
    </w:p>
    <w:p w14:paraId="6FE28BD5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1.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更新改造。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支持企业参与老旧小区、老旧街区、城中村、低效厂区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等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更新改造。支持各地在现有城市更新专项资金政策框架内，对前期策划、后期长效运营予以支持，引导市场主体植入新业态激活片区存量资产。支持依法依规将污水、垃圾、综合管廊等特许经营项目纳入片区资金平衡统筹范围。</w:t>
      </w:r>
    </w:p>
    <w:p w14:paraId="611B51EE" w14:textId="77777777" w:rsidR="00425BB6" w:rsidRDefault="00000000">
      <w:pPr>
        <w:spacing w:line="580" w:lineRule="exact"/>
        <w:ind w:firstLineChars="200" w:firstLine="64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2.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片区开发。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在合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规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土地规划框架内，依托片区经营性用地出让、存量资产盘活等市场化收益实现资金平衡。依规推行片区内经营性项目与公益性项目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合理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搭配、联动开发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的统筹实施模式。政企收益分配严格依托市场化合同约定，不得通过财政补贴等形式变相兜底项目亏损。</w:t>
      </w:r>
    </w:p>
    <w:p w14:paraId="7022F27F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（四）完善监管体系，精准优化服务能力</w:t>
      </w:r>
    </w:p>
    <w:p w14:paraId="07BDE694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1.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优化审批管理。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探索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建立省级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项目审批绿色通道，对示范片区项目实行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即报即审、快速办结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。鼓励各市（州）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lastRenderedPageBreak/>
        <w:t>因地制宜梳理低风险项目场景，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探索制定项目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  <w:lang w:eastAsia="zh"/>
        </w:rPr>
        <w:t>审批豁免清单。</w:t>
      </w:r>
    </w:p>
    <w:p w14:paraId="1B4379BC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2.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强化监管机制。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建立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合作监管机制，明确政企双方权责边界，规范合作行为，防范合作风险，及时指导纠偏。加强对项目质量、安全、进度、运营等环节的监管，确保项目规范实施、长期发挥效益，落实城市基础设施生命线监管要求。建立风险预警与熔断机制，定期对项目资金专户、企业资产负债率、项目现金流、建设进度等关键指标进行动态监测，触发风险阈值及时启动协议调整或退出程序，确保风险可控。</w:t>
      </w:r>
    </w:p>
    <w:p w14:paraId="06A1DD18" w14:textId="77777777" w:rsidR="00425BB6" w:rsidRDefault="00000000">
      <w:pPr>
        <w:spacing w:line="580" w:lineRule="exact"/>
        <w:ind w:firstLineChars="200" w:firstLine="643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3.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加强政企对接。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建立政企对接服务机制，定期组织政企交流会、项目对接会，收集企业转型需求与困难问题，协调解决项目推进、资源配置等事项。</w:t>
      </w:r>
    </w:p>
    <w:p w14:paraId="0AAB9340" w14:textId="77777777" w:rsidR="00425BB6" w:rsidRDefault="00000000">
      <w:pPr>
        <w:spacing w:line="58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color w:val="000000" w:themeColor="text1"/>
          <w:kern w:val="0"/>
          <w:sz w:val="32"/>
          <w:szCs w:val="32"/>
          <w:lang w:bidi="ar"/>
        </w:rPr>
        <w:t>三、组织实施</w:t>
      </w:r>
    </w:p>
    <w:p w14:paraId="733CB432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（一）健全协调机制</w:t>
      </w:r>
    </w:p>
    <w:p w14:paraId="7AD9D9F9" w14:textId="77777777" w:rsidR="00425BB6" w:rsidRDefault="00000000">
      <w:pPr>
        <w:spacing w:line="580" w:lineRule="exact"/>
        <w:ind w:firstLineChars="200" w:firstLine="640"/>
        <w:outlineLvl w:val="1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成立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发展领导小组，统筹推进政策制定、项目重大事项等工作。各市（州）住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建部门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建立协同机制，积极协调推动项目建设，结合本地实际，制定相关配套政策。</w:t>
      </w:r>
    </w:p>
    <w:p w14:paraId="128C1062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（二）深耕项目谋划</w:t>
      </w:r>
    </w:p>
    <w:p w14:paraId="225D3ADF" w14:textId="77777777" w:rsidR="00425BB6" w:rsidRDefault="00000000">
      <w:pPr>
        <w:spacing w:line="580" w:lineRule="exact"/>
        <w:ind w:firstLineChars="200" w:firstLine="640"/>
        <w:outlineLvl w:val="1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建立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项目机会清单发布机制。定期梳理可市场化运作的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城市更新、片区开发、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TOD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开发、园区开发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、存量盘活等项目，明确合作边界、收益测算框架、风险分担预案，形成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lastRenderedPageBreak/>
        <w:t>机会清单向社会公开发布。</w:t>
      </w:r>
    </w:p>
    <w:p w14:paraId="6DA84A7C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（三）强化人才支撑</w:t>
      </w:r>
    </w:p>
    <w:p w14:paraId="6C3E7034" w14:textId="77777777" w:rsidR="00425BB6" w:rsidRDefault="00000000">
      <w:pPr>
        <w:pStyle w:val="a0"/>
        <w:spacing w:after="0" w:line="580" w:lineRule="exact"/>
        <w:ind w:firstLineChars="200" w:firstLine="6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鼓励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企业引进和培育全产业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链专业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人才。对企业引进的高端人才，符合条件的纳入省级人才计划支持范围。支持企业与高等院校合作，开展订单</w:t>
      </w:r>
      <w:proofErr w:type="gramStart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式人才</w:t>
      </w:r>
      <w:proofErr w:type="gramEnd"/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培养。建立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“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”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人才交流平台，促进人才合理流动，提供人才保障。</w:t>
      </w:r>
    </w:p>
    <w:p w14:paraId="32637028" w14:textId="77777777" w:rsidR="00425BB6" w:rsidRDefault="00000000">
      <w:pPr>
        <w:spacing w:line="580" w:lineRule="exact"/>
        <w:ind w:firstLineChars="200" w:firstLine="643"/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楷体" w:hAnsi="Times New Roman" w:cs="Times New Roman"/>
          <w:b/>
          <w:bCs/>
          <w:color w:val="000000" w:themeColor="text1"/>
          <w:kern w:val="0"/>
          <w:sz w:val="32"/>
          <w:szCs w:val="32"/>
          <w:lang w:bidi="ar"/>
        </w:rPr>
        <w:t>（四）加大宣传推广</w:t>
      </w:r>
    </w:p>
    <w:p w14:paraId="2BD26C59" w14:textId="77777777" w:rsidR="00425BB6" w:rsidRDefault="00000000">
      <w:pPr>
        <w:spacing w:line="580" w:lineRule="exact"/>
        <w:ind w:firstLineChars="200" w:firstLine="640"/>
        <w:outlineLvl w:val="1"/>
        <w:rPr>
          <w:rFonts w:ascii="Times New Roman" w:eastAsia="仿宋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通过政府官网、行业媒体、现场观摩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会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等多种形式，宣传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核心价值、试点经验和示范成效，提高社会认知度和参与积极性，吸引更多优质企业参与城市建设和发展，打造四川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城市合伙人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品牌。</w:t>
      </w:r>
    </w:p>
    <w:sectPr w:rsidR="00425BB6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159B" w14:textId="77777777" w:rsidR="000E1D15" w:rsidRDefault="000E1D15">
      <w:pPr>
        <w:spacing w:after="0" w:line="240" w:lineRule="auto"/>
      </w:pPr>
      <w:r>
        <w:separator/>
      </w:r>
    </w:p>
  </w:endnote>
  <w:endnote w:type="continuationSeparator" w:id="0">
    <w:p w14:paraId="18262DB8" w14:textId="77777777" w:rsidR="000E1D15" w:rsidRDefault="000E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5E81" w14:textId="77777777" w:rsidR="00425BB6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0B6B34" wp14:editId="541C9018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D0B944" w14:textId="77777777" w:rsidR="00425BB6" w:rsidRDefault="00000000">
                          <w:pPr>
                            <w:pStyle w:val="a4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B6B3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3pt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G1GYbbaAAAABgEAAA8AAAAA&#10;AAAAAAAAAAAAlwQAAGRycy9kb3ducmV2LnhtbFBLBQYAAAAABAAEAPMAAACeBQAAAAA=&#10;" filled="f" stroked="f" strokeweight=".5pt">
              <v:textbox style="mso-fit-shape-to-text:t" inset="0,0,0,0">
                <w:txbxContent>
                  <w:p w14:paraId="66D0B944" w14:textId="77777777" w:rsidR="00425BB6" w:rsidRDefault="00000000">
                    <w:pPr>
                      <w:pStyle w:val="a4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C5126" w14:textId="77777777" w:rsidR="000E1D15" w:rsidRDefault="000E1D15">
      <w:pPr>
        <w:spacing w:after="0" w:line="240" w:lineRule="auto"/>
      </w:pPr>
      <w:r>
        <w:separator/>
      </w:r>
    </w:p>
  </w:footnote>
  <w:footnote w:type="continuationSeparator" w:id="0">
    <w:p w14:paraId="2DBAEC43" w14:textId="77777777" w:rsidR="000E1D15" w:rsidRDefault="000E1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2E499C"/>
    <w:multiLevelType w:val="singleLevel"/>
    <w:tmpl w:val="E72E499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2960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D240367"/>
    <w:rsid w:val="FBF38B5F"/>
    <w:rsid w:val="FCFC6533"/>
    <w:rsid w:val="FEC971D2"/>
    <w:rsid w:val="FEFB3605"/>
    <w:rsid w:val="FEFCCC95"/>
    <w:rsid w:val="FF2DDD93"/>
    <w:rsid w:val="FF5F875C"/>
    <w:rsid w:val="FFCE8FB8"/>
    <w:rsid w:val="FFEB39C4"/>
    <w:rsid w:val="FFFD6902"/>
    <w:rsid w:val="00057B67"/>
    <w:rsid w:val="000E1D15"/>
    <w:rsid w:val="00121513"/>
    <w:rsid w:val="00425BB6"/>
    <w:rsid w:val="00586F00"/>
    <w:rsid w:val="00B34F7D"/>
    <w:rsid w:val="00BE2405"/>
    <w:rsid w:val="00D04210"/>
    <w:rsid w:val="03911E56"/>
    <w:rsid w:val="0D77343E"/>
    <w:rsid w:val="0DA371D4"/>
    <w:rsid w:val="189D2727"/>
    <w:rsid w:val="1D7D1B64"/>
    <w:rsid w:val="279FF5D7"/>
    <w:rsid w:val="2D2B8562"/>
    <w:rsid w:val="2EDF5A9A"/>
    <w:rsid w:val="35792B4A"/>
    <w:rsid w:val="35FFA1E5"/>
    <w:rsid w:val="36EFC74F"/>
    <w:rsid w:val="39FC1382"/>
    <w:rsid w:val="3BFD1B85"/>
    <w:rsid w:val="3D3495AE"/>
    <w:rsid w:val="3DCE4487"/>
    <w:rsid w:val="45E51A47"/>
    <w:rsid w:val="4BBA271D"/>
    <w:rsid w:val="4D3F5375"/>
    <w:rsid w:val="517A564D"/>
    <w:rsid w:val="56CF0F2F"/>
    <w:rsid w:val="571A70F6"/>
    <w:rsid w:val="580267DD"/>
    <w:rsid w:val="5D240367"/>
    <w:rsid w:val="5DD79915"/>
    <w:rsid w:val="5DFB46E8"/>
    <w:rsid w:val="5DFC3651"/>
    <w:rsid w:val="5EBBDB80"/>
    <w:rsid w:val="602034BA"/>
    <w:rsid w:val="64DF3979"/>
    <w:rsid w:val="65AE0A78"/>
    <w:rsid w:val="6C768099"/>
    <w:rsid w:val="6F6F14C8"/>
    <w:rsid w:val="70F57F0B"/>
    <w:rsid w:val="719EF9E6"/>
    <w:rsid w:val="74ED4FC8"/>
    <w:rsid w:val="74F5B2A3"/>
    <w:rsid w:val="76FDDD52"/>
    <w:rsid w:val="76FE5176"/>
    <w:rsid w:val="77CF1AB9"/>
    <w:rsid w:val="77D734CE"/>
    <w:rsid w:val="77FFDAB2"/>
    <w:rsid w:val="7AF911A8"/>
    <w:rsid w:val="7AFF7847"/>
    <w:rsid w:val="7B78EFB2"/>
    <w:rsid w:val="7BDB8CD9"/>
    <w:rsid w:val="7BF6F080"/>
    <w:rsid w:val="7D6972A0"/>
    <w:rsid w:val="7D7F9563"/>
    <w:rsid w:val="7DDE2693"/>
    <w:rsid w:val="7DEBF529"/>
    <w:rsid w:val="7DF676A4"/>
    <w:rsid w:val="7DF70CE5"/>
    <w:rsid w:val="7F7E6E6F"/>
    <w:rsid w:val="7FB5D788"/>
    <w:rsid w:val="7FC8F2BD"/>
    <w:rsid w:val="7FE7DDC3"/>
    <w:rsid w:val="7FF2CD36"/>
    <w:rsid w:val="7FF5A6C6"/>
    <w:rsid w:val="7FFF74BC"/>
    <w:rsid w:val="7FFF8C41"/>
    <w:rsid w:val="7FFFB756"/>
    <w:rsid w:val="97CA76E3"/>
    <w:rsid w:val="B5FF54C0"/>
    <w:rsid w:val="B6BFF9F1"/>
    <w:rsid w:val="BDAAC801"/>
    <w:rsid w:val="BDF6C815"/>
    <w:rsid w:val="BE75CB3E"/>
    <w:rsid w:val="BEF695CF"/>
    <w:rsid w:val="BFDB6209"/>
    <w:rsid w:val="CAF550E7"/>
    <w:rsid w:val="CFED6DAF"/>
    <w:rsid w:val="D37E53F1"/>
    <w:rsid w:val="D7B60941"/>
    <w:rsid w:val="D83BB795"/>
    <w:rsid w:val="DBDBA70E"/>
    <w:rsid w:val="DBE78728"/>
    <w:rsid w:val="DEAAD035"/>
    <w:rsid w:val="DF9ED540"/>
    <w:rsid w:val="E6F49B4B"/>
    <w:rsid w:val="E7FE8803"/>
    <w:rsid w:val="EB7B68CB"/>
    <w:rsid w:val="ED3DDCB8"/>
    <w:rsid w:val="EDB722C7"/>
    <w:rsid w:val="EDDE950D"/>
    <w:rsid w:val="EFEA50D9"/>
    <w:rsid w:val="F27716A8"/>
    <w:rsid w:val="F5EC0D4A"/>
    <w:rsid w:val="F5FFE24B"/>
    <w:rsid w:val="F77C7305"/>
    <w:rsid w:val="F7A991DE"/>
    <w:rsid w:val="F8315214"/>
    <w:rsid w:val="F87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53C8F"/>
  <w15:docId w15:val="{2C01DBB3-AA45-4B2B-8D72-F3F2EBB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1"/>
    <w:qFormat/>
    <w:rPr>
      <w:b/>
    </w:rPr>
  </w:style>
  <w:style w:type="paragraph" w:customStyle="1" w:styleId="a8">
    <w:name w:val="指南格式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/>
      <w:b/>
      <w:bCs/>
      <w:kern w:val="44"/>
      <w:sz w:val="2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470</Words>
  <Characters>2682</Characters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2026-08-04T01:33:00Z</cp:lastPrinted>
  <dcterms:created xsi:type="dcterms:W3CDTF">2026-08-04T01:16:00Z</dcterms:created>
  <dcterms:modified xsi:type="dcterms:W3CDTF">2026-08-04T01:16:00Z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BD39D1E9F2C747C7BB86B01729AEAF42_13</vt:lpwstr>
  </property>
  <property fmtid="{D5CDD505-2E9C-101B-9397-08002B2CF9AE}" pid="4" name="KSOTemplateDocerSaveRecord">
    <vt:lpwstr>eyJoZGlkIjoiZTdmNjAxMDk3NjZkM2RmZGY0NTczODdjZjViZDBjMzEiLCJ1c2VySWQiOiIxNTk4NDc2NDc5In0=</vt:lpwstr>
  </property>
</Properties>
</file>